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AB2B" w14:textId="77777777" w:rsidR="00A8122D" w:rsidRPr="00607C40" w:rsidRDefault="00A8122D" w:rsidP="00A8122D">
      <w:pPr>
        <w:spacing w:after="0" w:line="240" w:lineRule="auto"/>
        <w:rPr>
          <w:rFonts w:cstheme="minorHAnsi"/>
          <w:b/>
          <w:bCs/>
          <w:color w:val="000000" w:themeColor="text1"/>
          <w:sz w:val="36"/>
          <w:szCs w:val="36"/>
        </w:rPr>
      </w:pPr>
      <w:bookmarkStart w:id="0" w:name="_GoBack"/>
      <w:bookmarkEnd w:id="0"/>
      <w:r w:rsidRPr="00607C40">
        <w:rPr>
          <w:rFonts w:cstheme="minorHAnsi"/>
          <w:b/>
          <w:bCs/>
          <w:color w:val="000000" w:themeColor="text1"/>
          <w:sz w:val="36"/>
          <w:szCs w:val="36"/>
        </w:rPr>
        <w:t xml:space="preserve">Disaggregating Data </w:t>
      </w:r>
    </w:p>
    <w:p w14:paraId="4C226A63" w14:textId="77777777" w:rsidR="00A8122D" w:rsidRPr="00607C40" w:rsidRDefault="00A8122D" w:rsidP="00A8122D">
      <w:pPr>
        <w:spacing w:after="0" w:line="240" w:lineRule="auto"/>
        <w:rPr>
          <w:rFonts w:cstheme="minorHAnsi"/>
          <w:color w:val="000000" w:themeColor="text1"/>
          <w:sz w:val="36"/>
          <w:szCs w:val="36"/>
        </w:rPr>
      </w:pPr>
    </w:p>
    <w:p w14:paraId="79FB2FB3" w14:textId="54AA2397" w:rsidR="00A8122D" w:rsidRPr="00A8122D" w:rsidRDefault="00A8122D" w:rsidP="00A8122D">
      <w:pPr>
        <w:spacing w:after="0" w:line="240" w:lineRule="auto"/>
        <w:rPr>
          <w:rFonts w:cstheme="minorHAnsi"/>
          <w:color w:val="000000" w:themeColor="text1"/>
        </w:rPr>
      </w:pPr>
      <w:r w:rsidRPr="00607C40">
        <w:rPr>
          <w:rFonts w:cstheme="minorHAnsi"/>
          <w:color w:val="000000" w:themeColor="text1"/>
        </w:rPr>
        <w:t xml:space="preserve">As a component of Perkins programming, districts and institutions are required to disaggregate data for each of the indicators of performance for the subpopulations of interest and identify and quantify any disparities or gaps in performance. </w:t>
      </w:r>
      <w:r w:rsidRPr="00A8122D">
        <w:rPr>
          <w:i/>
          <w:iCs/>
        </w:rPr>
        <w:t>Sect. 113 (b) (4) (B)</w:t>
      </w:r>
      <w:r>
        <w:t xml:space="preserve"> </w:t>
      </w:r>
    </w:p>
    <w:p w14:paraId="079F32E2" w14:textId="77777777" w:rsidR="00A8122D" w:rsidRDefault="00A8122D" w:rsidP="00A8122D">
      <w:pPr>
        <w:spacing w:after="0"/>
      </w:pPr>
    </w:p>
    <w:p w14:paraId="41D790AB" w14:textId="77777777" w:rsidR="00A8122D" w:rsidRPr="00607C40" w:rsidRDefault="00A8122D" w:rsidP="00A8122D">
      <w:pPr>
        <w:spacing w:after="0" w:line="240" w:lineRule="auto"/>
        <w:rPr>
          <w:rFonts w:cstheme="minorHAnsi"/>
          <w:color w:val="000000" w:themeColor="text1"/>
        </w:rPr>
      </w:pPr>
      <w:r w:rsidRPr="00607C40">
        <w:rPr>
          <w:rFonts w:cstheme="minorHAnsi"/>
          <w:color w:val="000000" w:themeColor="text1"/>
        </w:rPr>
        <w:t xml:space="preserve">Examining enrollment and completion trends is not a new requirement; it </w:t>
      </w:r>
      <w:r w:rsidRPr="00607C40">
        <w:rPr>
          <w:rFonts w:cstheme="minorHAnsi"/>
          <w:color w:val="000000" w:themeColor="text1"/>
          <w:shd w:val="clear" w:color="auto" w:fill="FFFFFF"/>
        </w:rPr>
        <w:t xml:space="preserve">has been required in Perkins IV and plays a bigger and more substantive role under Perkins V. This also </w:t>
      </w:r>
      <w:r w:rsidRPr="00607C40">
        <w:rPr>
          <w:rFonts w:cstheme="minorHAnsi"/>
          <w:color w:val="000000" w:themeColor="text1"/>
        </w:rPr>
        <w:t xml:space="preserve">closely aligns with other strategic initiatives and improvement efforts (e.g., Perkins Improvement Plans, </w:t>
      </w:r>
      <w:r w:rsidRPr="00A8122D">
        <w:rPr>
          <w:rFonts w:cstheme="minorHAnsi"/>
          <w:color w:val="000000" w:themeColor="text1"/>
        </w:rPr>
        <w:t>SOA and ESSA plans</w:t>
      </w:r>
      <w:r w:rsidRPr="00607C40">
        <w:rPr>
          <w:rFonts w:cstheme="minorHAnsi"/>
          <w:color w:val="000000" w:themeColor="text1"/>
        </w:rPr>
        <w:t xml:space="preserve">, district strategic plans, educational program plans, and others). </w:t>
      </w:r>
    </w:p>
    <w:p w14:paraId="05D5C638" w14:textId="77777777" w:rsidR="00A8122D" w:rsidRPr="00607C40" w:rsidRDefault="00A8122D" w:rsidP="00A8122D">
      <w:pPr>
        <w:spacing w:after="0" w:line="240" w:lineRule="auto"/>
        <w:rPr>
          <w:rFonts w:cstheme="minorHAnsi"/>
          <w:color w:val="000000" w:themeColor="text1"/>
        </w:rPr>
      </w:pPr>
    </w:p>
    <w:p w14:paraId="7521FA81" w14:textId="53B73045" w:rsidR="00A8122D" w:rsidRPr="00607C40" w:rsidRDefault="00A8122D" w:rsidP="00A8122D">
      <w:pPr>
        <w:spacing w:after="0" w:line="240" w:lineRule="auto"/>
        <w:rPr>
          <w:rFonts w:cstheme="minorHAnsi"/>
          <w:color w:val="000000" w:themeColor="text1"/>
        </w:rPr>
      </w:pPr>
      <w:r w:rsidRPr="00607C40">
        <w:rPr>
          <w:rFonts w:cstheme="minorHAnsi"/>
          <w:color w:val="000000" w:themeColor="text1"/>
        </w:rPr>
        <w:t xml:space="preserve">The Office for CCTE recognizes that a thoughtful </w:t>
      </w:r>
      <w:r w:rsidRPr="0021434C">
        <w:rPr>
          <w:rFonts w:cstheme="minorHAnsi"/>
          <w:color w:val="000000" w:themeColor="text1"/>
        </w:rPr>
        <w:t>process</w:t>
      </w:r>
      <w:r w:rsidRPr="00607C40">
        <w:rPr>
          <w:rFonts w:cstheme="minorHAnsi"/>
          <w:i/>
          <w:iCs/>
          <w:color w:val="000000" w:themeColor="text1"/>
        </w:rPr>
        <w:t xml:space="preserve"> </w:t>
      </w:r>
      <w:r w:rsidRPr="00607C40">
        <w:rPr>
          <w:rFonts w:cstheme="minorHAnsi"/>
          <w:color w:val="000000" w:themeColor="text1"/>
        </w:rPr>
        <w:t>of examining disaggregated enrollment and completion data for patterns of disproportionality may be complex</w:t>
      </w:r>
      <w:r>
        <w:rPr>
          <w:rFonts w:cstheme="minorHAnsi"/>
          <w:color w:val="000000" w:themeColor="text1"/>
        </w:rPr>
        <w:t xml:space="preserve">, and </w:t>
      </w:r>
      <w:r w:rsidRPr="00607C40">
        <w:rPr>
          <w:rFonts w:cstheme="minorHAnsi"/>
          <w:color w:val="000000" w:themeColor="text1"/>
          <w:szCs w:val="20"/>
        </w:rPr>
        <w:t xml:space="preserve">districts may approach this requirement using varied and innovative strategies. </w:t>
      </w:r>
    </w:p>
    <w:p w14:paraId="33940E7D" w14:textId="77777777" w:rsidR="00A8122D" w:rsidRPr="00607C40" w:rsidRDefault="00A8122D" w:rsidP="00A8122D">
      <w:pPr>
        <w:spacing w:after="0" w:line="240" w:lineRule="auto"/>
        <w:rPr>
          <w:rFonts w:cstheme="minorHAnsi"/>
          <w:color w:val="000000" w:themeColor="text1"/>
        </w:rPr>
      </w:pPr>
    </w:p>
    <w:p w14:paraId="51FCB357" w14:textId="77777777" w:rsidR="00A8122D" w:rsidRPr="00607C40" w:rsidRDefault="00A8122D" w:rsidP="00A8122D">
      <w:pPr>
        <w:spacing w:after="0" w:line="240" w:lineRule="auto"/>
        <w:rPr>
          <w:rFonts w:cstheme="minorHAnsi"/>
          <w:color w:val="000000" w:themeColor="text1"/>
        </w:rPr>
      </w:pPr>
      <w:r w:rsidRPr="00607C40">
        <w:rPr>
          <w:rFonts w:cstheme="minorHAnsi"/>
          <w:color w:val="000000" w:themeColor="text1"/>
        </w:rPr>
        <w:t>If it has been a while since this was done systematically, or for districts looking to refresh this routine, start with a few steps:</w:t>
      </w:r>
    </w:p>
    <w:p w14:paraId="6678F9F4" w14:textId="77777777" w:rsidR="00A8122D" w:rsidRPr="00607C40" w:rsidRDefault="00A8122D" w:rsidP="00A8122D">
      <w:pPr>
        <w:pStyle w:val="ListParagraph"/>
        <w:numPr>
          <w:ilvl w:val="0"/>
          <w:numId w:val="2"/>
        </w:numPr>
        <w:spacing w:after="0" w:line="240" w:lineRule="auto"/>
        <w:rPr>
          <w:rFonts w:cstheme="minorHAnsi"/>
          <w:color w:val="000000" w:themeColor="text1"/>
        </w:rPr>
      </w:pPr>
      <w:r w:rsidRPr="00607C40">
        <w:rPr>
          <w:rFonts w:cstheme="minorHAnsi"/>
          <w:b/>
          <w:bCs/>
          <w:color w:val="000000" w:themeColor="text1"/>
        </w:rPr>
        <w:t>Get ready.</w:t>
      </w:r>
      <w:r w:rsidRPr="00607C40">
        <w:rPr>
          <w:rFonts w:cstheme="minorHAnsi"/>
          <w:color w:val="000000" w:themeColor="text1"/>
        </w:rPr>
        <w:t xml:space="preserve"> Get access to CVTE Reports.</w:t>
      </w:r>
      <w:r w:rsidRPr="00607C40">
        <w:rPr>
          <w:rStyle w:val="FootnoteReference"/>
          <w:rFonts w:cstheme="minorHAnsi"/>
          <w:color w:val="000000" w:themeColor="text1"/>
        </w:rPr>
        <w:footnoteReference w:id="1"/>
      </w:r>
      <w:r w:rsidRPr="00607C40">
        <w:rPr>
          <w:rFonts w:cstheme="minorHAnsi"/>
          <w:color w:val="000000" w:themeColor="text1"/>
        </w:rPr>
        <w:t xml:space="preserve"> </w:t>
      </w:r>
    </w:p>
    <w:p w14:paraId="4A19EE51" w14:textId="2339EFAD" w:rsidR="00A8122D" w:rsidRPr="00607C40" w:rsidRDefault="00A8122D" w:rsidP="00A8122D">
      <w:pPr>
        <w:pStyle w:val="ListParagraph"/>
        <w:numPr>
          <w:ilvl w:val="0"/>
          <w:numId w:val="2"/>
        </w:numPr>
        <w:spacing w:after="0" w:line="240" w:lineRule="auto"/>
        <w:rPr>
          <w:rFonts w:cstheme="minorHAnsi"/>
          <w:color w:val="000000" w:themeColor="text1"/>
        </w:rPr>
      </w:pPr>
      <w:r w:rsidRPr="00607C40">
        <w:rPr>
          <w:rFonts w:cstheme="minorHAnsi"/>
          <w:b/>
          <w:bCs/>
          <w:color w:val="000000" w:themeColor="text1"/>
        </w:rPr>
        <w:t>Partner with others</w:t>
      </w:r>
      <w:r w:rsidRPr="00607C40">
        <w:rPr>
          <w:rFonts w:cstheme="minorHAnsi"/>
          <w:color w:val="000000" w:themeColor="text1"/>
        </w:rPr>
        <w:t xml:space="preserve"> who are doing this and who can bring different perspectives, such as a school or district leader, data specialist, guidance counselors, student support staff, special education </w:t>
      </w:r>
      <w:r>
        <w:rPr>
          <w:rFonts w:cstheme="minorHAnsi"/>
          <w:color w:val="000000" w:themeColor="text1"/>
        </w:rPr>
        <w:t xml:space="preserve">school </w:t>
      </w:r>
      <w:r w:rsidRPr="00607C40">
        <w:rPr>
          <w:rFonts w:cstheme="minorHAnsi"/>
          <w:color w:val="000000" w:themeColor="text1"/>
        </w:rPr>
        <w:t xml:space="preserve">leaders, English language learner directors and others. </w:t>
      </w:r>
    </w:p>
    <w:p w14:paraId="5FD869BF" w14:textId="77777777" w:rsidR="00A8122D" w:rsidRPr="00607C40" w:rsidRDefault="00A8122D" w:rsidP="00A8122D">
      <w:pPr>
        <w:pStyle w:val="ListParagraph"/>
        <w:numPr>
          <w:ilvl w:val="0"/>
          <w:numId w:val="2"/>
        </w:numPr>
        <w:spacing w:after="0" w:line="240" w:lineRule="auto"/>
        <w:rPr>
          <w:rFonts w:cstheme="minorHAnsi"/>
          <w:color w:val="000000" w:themeColor="text1"/>
        </w:rPr>
      </w:pPr>
      <w:r w:rsidRPr="00607C40">
        <w:rPr>
          <w:rFonts w:cstheme="minorHAnsi"/>
          <w:b/>
          <w:bCs/>
          <w:color w:val="000000" w:themeColor="text1"/>
        </w:rPr>
        <w:t>Review the data.</w:t>
      </w:r>
      <w:r w:rsidRPr="00607C40">
        <w:rPr>
          <w:rFonts w:cstheme="minorHAnsi"/>
          <w:color w:val="000000" w:themeColor="text1"/>
        </w:rPr>
        <w:t xml:space="preserve"> Refer to CVTE Reports and use Tools</w:t>
      </w:r>
      <w:r w:rsidRPr="00607C40">
        <w:rPr>
          <w:rStyle w:val="FootnoteReference"/>
          <w:rFonts w:cstheme="minorHAnsi"/>
          <w:color w:val="000000" w:themeColor="text1"/>
        </w:rPr>
        <w:footnoteReference w:id="2"/>
      </w:r>
      <w:r w:rsidRPr="00607C40">
        <w:rPr>
          <w:rFonts w:cstheme="minorHAnsi"/>
          <w:color w:val="000000" w:themeColor="text1"/>
        </w:rPr>
        <w:t xml:space="preserve"> to discuss the facts and establish a common understanding, and to synthesize conclusions</w:t>
      </w:r>
      <w:r w:rsidRPr="00607C40">
        <w:rPr>
          <w:rStyle w:val="FootnoteReference"/>
          <w:rFonts w:cstheme="minorHAnsi"/>
          <w:color w:val="000000" w:themeColor="text1"/>
        </w:rPr>
        <w:footnoteReference w:id="3"/>
      </w:r>
      <w:r w:rsidRPr="00607C40">
        <w:rPr>
          <w:rFonts w:cstheme="minorHAnsi"/>
          <w:color w:val="000000" w:themeColor="text1"/>
        </w:rPr>
        <w:t>.</w:t>
      </w:r>
    </w:p>
    <w:p w14:paraId="0C5DB9CE" w14:textId="77777777" w:rsidR="00A8122D" w:rsidRPr="00607C40" w:rsidRDefault="00A8122D" w:rsidP="00A8122D">
      <w:pPr>
        <w:spacing w:after="0" w:line="240" w:lineRule="auto"/>
        <w:rPr>
          <w:rFonts w:cstheme="minorHAnsi"/>
          <w:color w:val="000000" w:themeColor="text1"/>
        </w:rPr>
      </w:pPr>
      <w:r w:rsidRPr="00607C40">
        <w:rPr>
          <w:rFonts w:cstheme="minorHAnsi"/>
          <w:color w:val="000000" w:themeColor="text1"/>
        </w:rPr>
        <w:t>This can then be used as a stepping off point for causal analysis, program improvement, and more.</w:t>
      </w:r>
    </w:p>
    <w:p w14:paraId="02ADB928" w14:textId="77777777" w:rsidR="00A8122D" w:rsidRPr="00607C40" w:rsidRDefault="00A8122D" w:rsidP="00A8122D">
      <w:pPr>
        <w:spacing w:after="0" w:line="240" w:lineRule="auto"/>
        <w:rPr>
          <w:rFonts w:cstheme="minorHAnsi"/>
          <w:color w:val="000000" w:themeColor="text1"/>
        </w:rPr>
      </w:pPr>
    </w:p>
    <w:p w14:paraId="5DA4D22D" w14:textId="77777777" w:rsidR="00A8122D" w:rsidRPr="00607C40" w:rsidRDefault="00A8122D" w:rsidP="00A8122D">
      <w:pPr>
        <w:spacing w:after="0" w:line="240" w:lineRule="auto"/>
        <w:rPr>
          <w:rFonts w:cstheme="minorHAnsi"/>
          <w:color w:val="000000" w:themeColor="text1"/>
        </w:rPr>
      </w:pPr>
      <w:r w:rsidRPr="00607C40">
        <w:rPr>
          <w:rFonts w:cstheme="minorHAnsi"/>
          <w:color w:val="000000" w:themeColor="text1"/>
        </w:rPr>
        <w:t>For new ideas and to stay aligned with upcoming requirements, r</w:t>
      </w:r>
      <w:r w:rsidRPr="00607C40">
        <w:rPr>
          <w:rFonts w:cstheme="minorHAnsi"/>
          <w:color w:val="000000" w:themeColor="text1"/>
          <w:shd w:val="clear" w:color="auto" w:fill="FFFFFF"/>
        </w:rPr>
        <w:t xml:space="preserve">efer </w:t>
      </w:r>
      <w:r w:rsidRPr="00607C40">
        <w:rPr>
          <w:rFonts w:cstheme="minorHAnsi"/>
          <w:color w:val="000000" w:themeColor="text1"/>
        </w:rPr>
        <w:t>to these resources:</w:t>
      </w:r>
    </w:p>
    <w:p w14:paraId="171FED5B" w14:textId="1DDB1C67" w:rsidR="00A8122D" w:rsidRPr="00607C40" w:rsidRDefault="00A8122D" w:rsidP="00A8122D">
      <w:pPr>
        <w:pStyle w:val="ListParagraph"/>
        <w:numPr>
          <w:ilvl w:val="0"/>
          <w:numId w:val="1"/>
        </w:numPr>
        <w:spacing w:after="0" w:line="240" w:lineRule="auto"/>
        <w:rPr>
          <w:rFonts w:cstheme="minorHAnsi"/>
          <w:color w:val="000000" w:themeColor="text1"/>
        </w:rPr>
      </w:pPr>
      <w:r w:rsidRPr="00607C40">
        <w:rPr>
          <w:rFonts w:cstheme="minorHAnsi"/>
          <w:color w:val="000000" w:themeColor="text1"/>
          <w:shd w:val="clear" w:color="auto" w:fill="FFFFFF"/>
        </w:rPr>
        <w:t xml:space="preserve">The </w:t>
      </w:r>
      <w:hyperlink r:id="rId11" w:history="1">
        <w:r w:rsidRPr="00A8122D">
          <w:rPr>
            <w:rStyle w:val="Hyperlink"/>
            <w:rFonts w:cstheme="minorHAnsi"/>
            <w:color w:val="0070C0"/>
            <w:shd w:val="clear" w:color="auto" w:fill="FFFFFF"/>
          </w:rPr>
          <w:t>Perkins V</w:t>
        </w:r>
      </w:hyperlink>
      <w:r w:rsidRPr="00607C40">
        <w:rPr>
          <w:rFonts w:cstheme="minorHAnsi"/>
          <w:color w:val="000000" w:themeColor="text1"/>
          <w:shd w:val="clear" w:color="auto" w:fill="FFFFFF"/>
        </w:rPr>
        <w:t xml:space="preserve"> Comprehensive Local Needs Assessment Guide and Worksheet have reflection questions to inform resource planning, and Parts I and VI align with </w:t>
      </w:r>
      <w:r>
        <w:rPr>
          <w:rFonts w:cstheme="minorHAnsi"/>
          <w:color w:val="000000" w:themeColor="text1"/>
          <w:shd w:val="clear" w:color="auto" w:fill="FFFFFF"/>
        </w:rPr>
        <w:t>this requirement</w:t>
      </w:r>
      <w:r w:rsidRPr="00607C40">
        <w:rPr>
          <w:rFonts w:cstheme="minorHAnsi"/>
          <w:color w:val="000000" w:themeColor="text1"/>
          <w:shd w:val="clear" w:color="auto" w:fill="FFFFFF"/>
        </w:rPr>
        <w:t>. A comprehensive local needs assessment is required under Perkins V.</w:t>
      </w:r>
    </w:p>
    <w:p w14:paraId="3EE180D8" w14:textId="70CEE916" w:rsidR="00A8122D" w:rsidRPr="00607C40" w:rsidRDefault="00A8122D" w:rsidP="00A8122D">
      <w:pPr>
        <w:pStyle w:val="ListParagraph"/>
        <w:numPr>
          <w:ilvl w:val="0"/>
          <w:numId w:val="1"/>
        </w:numPr>
        <w:spacing w:after="0" w:line="240" w:lineRule="auto"/>
        <w:rPr>
          <w:rFonts w:cstheme="minorHAnsi"/>
          <w:color w:val="000000" w:themeColor="text1"/>
        </w:rPr>
      </w:pPr>
      <w:r w:rsidRPr="00607C40">
        <w:rPr>
          <w:rFonts w:cstheme="minorHAnsi"/>
          <w:color w:val="000000" w:themeColor="text1"/>
          <w:shd w:val="clear" w:color="auto" w:fill="FFFFFF"/>
        </w:rPr>
        <w:t>A short video, </w:t>
      </w:r>
      <w:hyperlink r:id="rId12" w:tgtFrame="_blank" w:history="1">
        <w:r w:rsidRPr="00A8122D">
          <w:rPr>
            <w:rStyle w:val="Hyperlink"/>
            <w:rFonts w:cstheme="minorHAnsi"/>
            <w:color w:val="0070C0"/>
            <w:shd w:val="clear" w:color="auto" w:fill="FFFFFF"/>
          </w:rPr>
          <w:t>Using DESE's CVTE Data Resource</w:t>
        </w:r>
      </w:hyperlink>
      <w:r w:rsidRPr="00A8122D">
        <w:rPr>
          <w:rStyle w:val="Hyperlink"/>
          <w:rFonts w:cstheme="minorHAnsi"/>
          <w:color w:val="0070C0"/>
          <w:shd w:val="clear" w:color="auto" w:fill="FFFFFF"/>
        </w:rPr>
        <w:t>s</w:t>
      </w:r>
      <w:r w:rsidRPr="00607C40">
        <w:rPr>
          <w:rFonts w:cstheme="minorHAnsi"/>
          <w:color w:val="000000" w:themeColor="text1"/>
          <w:shd w:val="clear" w:color="auto" w:fill="FFFFFF"/>
        </w:rPr>
        <w:t>, shows where to find relevant reports on the DESE website.</w:t>
      </w:r>
    </w:p>
    <w:p w14:paraId="6C18AE91" w14:textId="2B7F1274" w:rsidR="00A8122D" w:rsidRPr="00607C40" w:rsidRDefault="00A8122D" w:rsidP="00A8122D">
      <w:pPr>
        <w:pStyle w:val="ListParagraph"/>
        <w:numPr>
          <w:ilvl w:val="0"/>
          <w:numId w:val="1"/>
        </w:numPr>
        <w:spacing w:after="0" w:line="240" w:lineRule="auto"/>
        <w:rPr>
          <w:rFonts w:cstheme="minorHAnsi"/>
          <w:color w:val="000000" w:themeColor="text1"/>
        </w:rPr>
      </w:pPr>
      <w:r w:rsidRPr="00607C40">
        <w:rPr>
          <w:rFonts w:cstheme="minorHAnsi"/>
          <w:color w:val="000000" w:themeColor="text1"/>
          <w:shd w:val="clear" w:color="auto" w:fill="FFFFFF"/>
        </w:rPr>
        <w:t>A guide, </w:t>
      </w:r>
      <w:hyperlink r:id="rId13" w:tgtFrame="_blank" w:history="1">
        <w:r w:rsidRPr="00A8122D">
          <w:rPr>
            <w:rStyle w:val="Hyperlink"/>
            <w:rFonts w:cstheme="minorHAnsi"/>
            <w:color w:val="0070C0"/>
            <w:shd w:val="clear" w:color="auto" w:fill="FFFFFF"/>
          </w:rPr>
          <w:t>Using Performance Outcomes to Improve CVTE Programming for Students</w:t>
        </w:r>
      </w:hyperlink>
      <w:r w:rsidRPr="00607C40">
        <w:rPr>
          <w:rFonts w:cstheme="minorHAnsi"/>
          <w:color w:val="000000" w:themeColor="text1"/>
        </w:rPr>
        <w:t xml:space="preserve">, includes definitions, links to reports, tools for examining data, discussion questions and more. </w:t>
      </w:r>
    </w:p>
    <w:p w14:paraId="09EDD130" w14:textId="77777777" w:rsidR="00A8122D" w:rsidRPr="00607C40" w:rsidRDefault="00840A23" w:rsidP="00A8122D">
      <w:pPr>
        <w:pStyle w:val="ListParagraph"/>
        <w:numPr>
          <w:ilvl w:val="0"/>
          <w:numId w:val="1"/>
        </w:numPr>
        <w:spacing w:after="0" w:line="240" w:lineRule="auto"/>
        <w:rPr>
          <w:rFonts w:cstheme="minorHAnsi"/>
          <w:color w:val="000000" w:themeColor="text1"/>
        </w:rPr>
      </w:pPr>
      <w:hyperlink r:id="rId14" w:history="1">
        <w:r w:rsidR="00A8122D" w:rsidRPr="00A8122D">
          <w:rPr>
            <w:rStyle w:val="Hyperlink"/>
            <w:rFonts w:cstheme="minorHAnsi"/>
            <w:color w:val="0070C0"/>
            <w:shd w:val="clear" w:color="auto" w:fill="FFFFFF"/>
          </w:rPr>
          <w:t>Planning for Success</w:t>
        </w:r>
      </w:hyperlink>
      <w:r w:rsidR="00A8122D" w:rsidRPr="00A8122D">
        <w:rPr>
          <w:rFonts w:cstheme="minorHAnsi"/>
          <w:color w:val="0070C0"/>
          <w:shd w:val="clear" w:color="auto" w:fill="FFFFFF"/>
        </w:rPr>
        <w:t xml:space="preserve"> </w:t>
      </w:r>
      <w:r w:rsidR="00A8122D" w:rsidRPr="00607C40">
        <w:rPr>
          <w:rFonts w:cstheme="minorHAnsi"/>
          <w:color w:val="000000" w:themeColor="text1"/>
          <w:shd w:val="clear" w:color="auto" w:fill="FFFFFF"/>
        </w:rPr>
        <w:t>is Massachusetts's recommended strategic planning and continuous improvement process. While broad in scope and not limited to districts offering CVTE, this includes a variety of schools and districts in the case studies.</w:t>
      </w:r>
    </w:p>
    <w:p w14:paraId="5D95C260" w14:textId="77777777" w:rsidR="00A8122D" w:rsidRDefault="00A8122D" w:rsidP="00A8122D">
      <w:pPr>
        <w:spacing w:after="0"/>
      </w:pPr>
    </w:p>
    <w:sectPr w:rsidR="00A812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1346" w14:textId="77777777" w:rsidR="00840A23" w:rsidRDefault="00840A23" w:rsidP="00A8122D">
      <w:pPr>
        <w:spacing w:after="0" w:line="240" w:lineRule="auto"/>
      </w:pPr>
      <w:r>
        <w:separator/>
      </w:r>
    </w:p>
  </w:endnote>
  <w:endnote w:type="continuationSeparator" w:id="0">
    <w:p w14:paraId="3F1FEE05" w14:textId="77777777" w:rsidR="00840A23" w:rsidRDefault="00840A23" w:rsidP="00A8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F999" w14:textId="77777777" w:rsidR="00840A23" w:rsidRDefault="00840A23" w:rsidP="00A8122D">
      <w:pPr>
        <w:spacing w:after="0" w:line="240" w:lineRule="auto"/>
      </w:pPr>
      <w:r>
        <w:separator/>
      </w:r>
    </w:p>
  </w:footnote>
  <w:footnote w:type="continuationSeparator" w:id="0">
    <w:p w14:paraId="4E8502A6" w14:textId="77777777" w:rsidR="00840A23" w:rsidRDefault="00840A23" w:rsidP="00A8122D">
      <w:pPr>
        <w:spacing w:after="0" w:line="240" w:lineRule="auto"/>
      </w:pPr>
      <w:r>
        <w:continuationSeparator/>
      </w:r>
    </w:p>
  </w:footnote>
  <w:footnote w:id="1">
    <w:p w14:paraId="037ED01E" w14:textId="77777777" w:rsidR="00A8122D" w:rsidRPr="0076474D" w:rsidRDefault="00A8122D" w:rsidP="00A8122D">
      <w:pPr>
        <w:pStyle w:val="FootnoteText"/>
        <w:rPr>
          <w:rFonts w:asciiTheme="majorHAnsi" w:hAnsiTheme="majorHAnsi" w:cstheme="majorHAnsi"/>
        </w:rPr>
      </w:pPr>
      <w:r>
        <w:rPr>
          <w:rStyle w:val="FootnoteReference"/>
        </w:rPr>
        <w:footnoteRef/>
      </w:r>
      <w:r>
        <w:t xml:space="preserve"> </w:t>
      </w:r>
      <w:r w:rsidRPr="00C32089">
        <w:rPr>
          <w:rFonts w:asciiTheme="majorHAnsi" w:hAnsiTheme="majorHAnsi" w:cstheme="majorHAnsi"/>
        </w:rPr>
        <w:t>See</w:t>
      </w:r>
      <w:r>
        <w:rPr>
          <w:rFonts w:asciiTheme="majorHAnsi" w:hAnsiTheme="majorHAnsi" w:cstheme="majorHAnsi"/>
        </w:rPr>
        <w:t xml:space="preserve"> </w:t>
      </w:r>
      <w:hyperlink r:id="rId1" w:tgtFrame="_blank" w:history="1">
        <w:r w:rsidRPr="00C32089">
          <w:rPr>
            <w:rStyle w:val="Hyperlink"/>
            <w:rFonts w:asciiTheme="majorHAnsi" w:hAnsiTheme="majorHAnsi" w:cstheme="majorHAnsi"/>
            <w:color w:val="194786"/>
            <w:shd w:val="clear" w:color="auto" w:fill="FFFFFF"/>
          </w:rPr>
          <w:t>Using Performance Outcomes to Improve CVTE Programming for Students</w:t>
        </w:r>
      </w:hyperlink>
      <w:r>
        <w:rPr>
          <w:rFonts w:asciiTheme="majorHAnsi" w:hAnsiTheme="majorHAnsi" w:cstheme="majorHAnsi"/>
        </w:rPr>
        <w:t xml:space="preserve"> (or Guide</w:t>
      </w:r>
      <w:r w:rsidRPr="0076474D">
        <w:rPr>
          <w:rFonts w:asciiTheme="majorHAnsi" w:hAnsiTheme="majorHAnsi" w:cstheme="majorHAnsi"/>
        </w:rPr>
        <w:t>)</w:t>
      </w:r>
      <w:r>
        <w:rPr>
          <w:rFonts w:asciiTheme="majorHAnsi" w:hAnsiTheme="majorHAnsi" w:cstheme="majorHAnsi"/>
        </w:rPr>
        <w:t>:</w:t>
      </w:r>
      <w:r w:rsidRPr="0076474D">
        <w:rPr>
          <w:rFonts w:asciiTheme="majorHAnsi" w:hAnsiTheme="majorHAnsi" w:cstheme="majorHAnsi"/>
        </w:rPr>
        <w:t xml:space="preserve"> DESE’s Data Resources, p.9.</w:t>
      </w:r>
    </w:p>
  </w:footnote>
  <w:footnote w:id="2">
    <w:p w14:paraId="3302D2C9" w14:textId="77777777" w:rsidR="00A8122D" w:rsidRPr="0076474D" w:rsidRDefault="00A8122D" w:rsidP="00A8122D">
      <w:pPr>
        <w:spacing w:after="0" w:line="240" w:lineRule="auto"/>
        <w:rPr>
          <w:rFonts w:asciiTheme="majorHAnsi" w:hAnsiTheme="majorHAnsi" w:cstheme="majorHAnsi"/>
          <w:sz w:val="20"/>
          <w:szCs w:val="20"/>
        </w:rPr>
      </w:pPr>
      <w:r w:rsidRPr="0076474D">
        <w:rPr>
          <w:rStyle w:val="FootnoteReference"/>
          <w:rFonts w:asciiTheme="majorHAnsi" w:hAnsiTheme="majorHAnsi" w:cstheme="majorHAnsi"/>
          <w:sz w:val="20"/>
          <w:szCs w:val="20"/>
        </w:rPr>
        <w:footnoteRef/>
      </w:r>
      <w:r w:rsidRPr="0076474D">
        <w:rPr>
          <w:rFonts w:asciiTheme="majorHAnsi" w:hAnsiTheme="majorHAnsi" w:cstheme="majorHAnsi"/>
          <w:sz w:val="20"/>
          <w:szCs w:val="20"/>
        </w:rPr>
        <w:t xml:space="preserve"> See Guide: Enrollment Analysis, p.29, Graduation Analysis, p.19, or other Perkins Indicators.</w:t>
      </w:r>
    </w:p>
  </w:footnote>
  <w:footnote w:id="3">
    <w:p w14:paraId="0E5D323A" w14:textId="77777777" w:rsidR="00A8122D" w:rsidRPr="00C32089" w:rsidRDefault="00A8122D" w:rsidP="00A8122D">
      <w:pPr>
        <w:spacing w:after="0" w:line="240" w:lineRule="auto"/>
        <w:rPr>
          <w:rFonts w:asciiTheme="majorHAnsi" w:hAnsiTheme="majorHAnsi" w:cstheme="majorHAnsi"/>
          <w:sz w:val="20"/>
          <w:szCs w:val="20"/>
        </w:rPr>
      </w:pPr>
      <w:r w:rsidRPr="0076474D">
        <w:rPr>
          <w:rStyle w:val="FootnoteReference"/>
          <w:rFonts w:asciiTheme="majorHAnsi" w:hAnsiTheme="majorHAnsi" w:cstheme="majorHAnsi"/>
          <w:sz w:val="20"/>
          <w:szCs w:val="20"/>
        </w:rPr>
        <w:footnoteRef/>
      </w:r>
      <w:r w:rsidRPr="0076474D">
        <w:rPr>
          <w:rFonts w:asciiTheme="majorHAnsi" w:hAnsiTheme="majorHAnsi" w:cstheme="majorHAnsi"/>
          <w:sz w:val="20"/>
          <w:szCs w:val="20"/>
        </w:rPr>
        <w:t xml:space="preserve"> See Guide: Synthesizing the Perkins Core Indicators by Subgroups, p.34, or Synthesizing Enrollment, p.35-36.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52F75"/>
    <w:multiLevelType w:val="hybridMultilevel"/>
    <w:tmpl w:val="CC08C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810FA3"/>
    <w:multiLevelType w:val="hybridMultilevel"/>
    <w:tmpl w:val="26B8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2D"/>
    <w:rsid w:val="000F3BA3"/>
    <w:rsid w:val="0021434C"/>
    <w:rsid w:val="00303349"/>
    <w:rsid w:val="005E7917"/>
    <w:rsid w:val="005F47AD"/>
    <w:rsid w:val="007378CD"/>
    <w:rsid w:val="00840A23"/>
    <w:rsid w:val="00A8122D"/>
    <w:rsid w:val="00CD3E12"/>
    <w:rsid w:val="00DA559F"/>
    <w:rsid w:val="00E21E10"/>
    <w:rsid w:val="00E900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BBD9"/>
  <w15:chartTrackingRefBased/>
  <w15:docId w15:val="{BC01EC89-CA42-4744-8782-376B2F064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2D"/>
    <w:rPr>
      <w:color w:val="0000FF"/>
      <w:u w:val="single"/>
    </w:rPr>
  </w:style>
  <w:style w:type="paragraph" w:styleId="ListParagraph">
    <w:name w:val="List Paragraph"/>
    <w:basedOn w:val="Normal"/>
    <w:uiPriority w:val="34"/>
    <w:qFormat/>
    <w:rsid w:val="00A8122D"/>
    <w:pPr>
      <w:ind w:left="720"/>
      <w:contextualSpacing/>
    </w:pPr>
  </w:style>
  <w:style w:type="paragraph" w:styleId="FootnoteText">
    <w:name w:val="footnote text"/>
    <w:basedOn w:val="Normal"/>
    <w:link w:val="FootnoteTextChar"/>
    <w:uiPriority w:val="99"/>
    <w:semiHidden/>
    <w:unhideWhenUsed/>
    <w:rsid w:val="00A812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22D"/>
    <w:rPr>
      <w:sz w:val="20"/>
      <w:szCs w:val="20"/>
    </w:rPr>
  </w:style>
  <w:style w:type="character" w:styleId="FootnoteReference">
    <w:name w:val="footnote reference"/>
    <w:basedOn w:val="DefaultParagraphFont"/>
    <w:uiPriority w:val="99"/>
    <w:semiHidden/>
    <w:unhideWhenUsed/>
    <w:rsid w:val="00A8122D"/>
    <w:rPr>
      <w:vertAlign w:val="superscript"/>
    </w:rPr>
  </w:style>
  <w:style w:type="paragraph" w:styleId="BalloonText">
    <w:name w:val="Balloon Text"/>
    <w:basedOn w:val="Normal"/>
    <w:link w:val="BalloonTextChar"/>
    <w:uiPriority w:val="99"/>
    <w:semiHidden/>
    <w:unhideWhenUsed/>
    <w:rsid w:val="0021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cte/cvte/data/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brr-c9-66pQ&amp;feature=youtu.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cte/cvte/perkins-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research/succ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te/data/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DESE-231-61976</_dlc_DocId>
    <_dlc_DocIdUrl xmlns="733efe1c-5bbe-4968-87dc-d400e65c879f">
      <Url>https://sharepoint.doemass.org/ese/webteam/cps/_layouts/DocIdRedir.aspx?ID=DESE-231-61976</Url>
      <Description>DESE-231-61976</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6660A-2C12-42F4-BBAD-2F5B019F84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4F33CC0-DAF0-499E-A8C5-26FF404209DD}">
  <ds:schemaRefs>
    <ds:schemaRef ds:uri="http://schemas.microsoft.com/sharepoint/v3/contenttype/forms"/>
  </ds:schemaRefs>
</ds:datastoreItem>
</file>

<file path=customXml/itemProps3.xml><?xml version="1.0" encoding="utf-8"?>
<ds:datastoreItem xmlns:ds="http://schemas.openxmlformats.org/officeDocument/2006/customXml" ds:itemID="{2B959F6D-8ED0-4861-8E3E-118022CE69CF}">
  <ds:schemaRefs>
    <ds:schemaRef ds:uri="http://schemas.microsoft.com/sharepoint/events"/>
  </ds:schemaRefs>
</ds:datastoreItem>
</file>

<file path=customXml/itemProps4.xml><?xml version="1.0" encoding="utf-8"?>
<ds:datastoreItem xmlns:ds="http://schemas.openxmlformats.org/officeDocument/2006/customXml" ds:itemID="{1030E90F-C01D-4449-90EC-0254802FB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Disaggregating Data in Perkins</vt:lpstr>
    </vt:vector>
  </TitlesOfParts>
  <Company>EOE</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Disaggregating Data in Perkins</dc:title>
  <dc:subject/>
  <dc:creator>DESE</dc:creator>
  <cp:keywords/>
  <dc:description/>
  <cp:lastModifiedBy>Zou, Dong (EOE)</cp:lastModifiedBy>
  <cp:revision>3</cp:revision>
  <dcterms:created xsi:type="dcterms:W3CDTF">2020-06-30T18:52:00Z</dcterms:created>
  <dcterms:modified xsi:type="dcterms:W3CDTF">2020-06-30T20:18:00Z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2020</vt:lpwstr>
  </property>
</Properties>
</file>