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316D0" w14:textId="77777777" w:rsidR="002E37AB" w:rsidRPr="002E37AB" w:rsidRDefault="005B374A" w:rsidP="00B80D31">
      <w:pPr>
        <w:spacing w:after="0" w:line="240" w:lineRule="auto"/>
        <w:jc w:val="center"/>
        <w:rPr>
          <w:b/>
          <w:sz w:val="32"/>
        </w:rPr>
      </w:pPr>
      <w:r>
        <w:rPr>
          <w:b/>
          <w:sz w:val="32"/>
        </w:rPr>
        <w:t xml:space="preserve">Perkins </w:t>
      </w:r>
      <w:r w:rsidR="00206A55">
        <w:rPr>
          <w:b/>
          <w:sz w:val="32"/>
        </w:rPr>
        <w:t>Enrollment</w:t>
      </w:r>
    </w:p>
    <w:p w14:paraId="222EE429" w14:textId="13814E6D" w:rsidR="00E10E05" w:rsidRPr="002E37AB" w:rsidRDefault="002E37AB" w:rsidP="00B80D31">
      <w:pPr>
        <w:spacing w:after="0" w:line="240" w:lineRule="auto"/>
        <w:rPr>
          <w:rFonts w:cstheme="minorHAnsi"/>
        </w:rPr>
      </w:pPr>
      <w:r w:rsidRPr="00581B9D">
        <w:t xml:space="preserve">The </w:t>
      </w:r>
      <w:r w:rsidRPr="002E37AB">
        <w:rPr>
          <w:b/>
        </w:rPr>
        <w:t xml:space="preserve">Strengthening Career and Technical Education for the 21st Century Act (Perkins V) </w:t>
      </w:r>
      <w:r w:rsidRPr="00581B9D">
        <w:t xml:space="preserve">looks to grantees to collect, report, and analyze student outcome data in order to inform </w:t>
      </w:r>
      <w:r w:rsidRPr="002E37AB">
        <w:t xml:space="preserve">program improvements to benefit students. </w:t>
      </w:r>
      <w:r w:rsidR="00E10E05" w:rsidRPr="002E37AB">
        <w:rPr>
          <w:rFonts w:cstheme="minorHAnsi"/>
          <w:b/>
        </w:rPr>
        <w:t xml:space="preserve">With Perkins V </w:t>
      </w:r>
      <w:r w:rsidR="00E10E05" w:rsidRPr="002E37AB">
        <w:rPr>
          <w:rFonts w:cstheme="minorHAnsi"/>
        </w:rPr>
        <w:t xml:space="preserve">there continues to be an opportunity to use data </w:t>
      </w:r>
      <w:r w:rsidRPr="002E37AB">
        <w:rPr>
          <w:rFonts w:cstheme="minorHAnsi"/>
        </w:rPr>
        <w:t xml:space="preserve">promote </w:t>
      </w:r>
      <w:r w:rsidRPr="002E37AB">
        <w:t>access to high-quality career and technical education courses and programs of study for all students</w:t>
      </w:r>
      <w:r>
        <w:t>,</w:t>
      </w:r>
      <w:r w:rsidRPr="002E37AB">
        <w:rPr>
          <w:rFonts w:cstheme="minorHAnsi"/>
        </w:rPr>
        <w:t xml:space="preserve"> and </w:t>
      </w:r>
      <w:r w:rsidR="00E10E05" w:rsidRPr="002E37AB">
        <w:rPr>
          <w:rFonts w:cstheme="minorHAnsi"/>
        </w:rPr>
        <w:t>to close gaps across</w:t>
      </w:r>
      <w:r w:rsidRPr="002E37AB">
        <w:rPr>
          <w:rFonts w:cstheme="minorHAnsi"/>
        </w:rPr>
        <w:t xml:space="preserve"> all students and</w:t>
      </w:r>
      <w:r w:rsidR="00E10E05" w:rsidRPr="002E37AB">
        <w:rPr>
          <w:rFonts w:cstheme="minorHAnsi"/>
        </w:rPr>
        <w:t xml:space="preserve"> popula</w:t>
      </w:r>
      <w:r w:rsidR="005B3E26" w:rsidRPr="002E37AB">
        <w:rPr>
          <w:rFonts w:cstheme="minorHAnsi"/>
        </w:rPr>
        <w:t xml:space="preserve">tion groups, including </w:t>
      </w:r>
      <w:r w:rsidRPr="002E37AB">
        <w:rPr>
          <w:rFonts w:cstheme="minorHAnsi"/>
        </w:rPr>
        <w:t xml:space="preserve">students in </w:t>
      </w:r>
      <w:r w:rsidR="005B3E26" w:rsidRPr="002E37AB">
        <w:rPr>
          <w:rFonts w:cstheme="minorHAnsi"/>
        </w:rPr>
        <w:t xml:space="preserve">the populations identified below. </w:t>
      </w:r>
    </w:p>
    <w:p w14:paraId="7BF3AE04" w14:textId="77777777" w:rsidR="0054622C" w:rsidRDefault="0054622C" w:rsidP="00B80D31">
      <w:pPr>
        <w:pStyle w:val="BodyText"/>
        <w:rPr>
          <w:rFonts w:asciiTheme="minorHAnsi" w:hAnsiTheme="minorHAnsi" w:cstheme="minorHAnsi"/>
          <w:b/>
          <w:sz w:val="22"/>
          <w:szCs w:val="22"/>
        </w:rPr>
      </w:pPr>
    </w:p>
    <w:p w14:paraId="4E67C756" w14:textId="77777777" w:rsidR="0054622C" w:rsidRPr="002E37AB" w:rsidRDefault="0054622C" w:rsidP="00B80D31">
      <w:pPr>
        <w:spacing w:after="0"/>
        <w:rPr>
          <w:rFonts w:eastAsia="Times New Roman" w:cstheme="minorHAnsi"/>
          <w:b/>
          <w:bCs/>
          <w:sz w:val="24"/>
          <w:szCs w:val="20"/>
        </w:rPr>
      </w:pPr>
      <w:r w:rsidRPr="00B43D9E">
        <w:rPr>
          <w:rFonts w:eastAsia="Times New Roman" w:cstheme="minorHAnsi"/>
          <w:b/>
          <w:bCs/>
          <w:sz w:val="24"/>
          <w:szCs w:val="20"/>
        </w:rPr>
        <w:t>Special populations – Section 3(48)</w:t>
      </w:r>
      <w:r w:rsidR="002E37AB">
        <w:rPr>
          <w:rFonts w:eastAsia="Times New Roman" w:cstheme="minorHAnsi"/>
          <w:b/>
          <w:bCs/>
          <w:sz w:val="24"/>
          <w:szCs w:val="20"/>
        </w:rPr>
        <w:t>:</w:t>
      </w:r>
    </w:p>
    <w:p w14:paraId="7E57200E"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b/>
          <w:sz w:val="20"/>
        </w:rPr>
        <w:t xml:space="preserve">A. Individuals with disabilities: </w:t>
      </w:r>
      <w:r w:rsidRPr="00B43D9E">
        <w:rPr>
          <w:rFonts w:asciiTheme="minorHAnsi" w:hAnsiTheme="minorHAnsi" w:cstheme="minorHAnsi"/>
          <w:sz w:val="20"/>
        </w:rPr>
        <w:t xml:space="preserve">The term “Individual with a disability” means an individual with any disability (as defined in section 3 of the Americans with Disabilities Act of 1990 (42 U.S.C. 12102)). </w:t>
      </w:r>
    </w:p>
    <w:p w14:paraId="6F75B5EA" w14:textId="77777777" w:rsidR="0054622C" w:rsidRPr="00B80D31" w:rsidRDefault="0054622C" w:rsidP="00B80D31">
      <w:pPr>
        <w:pStyle w:val="BodyText"/>
        <w:rPr>
          <w:rFonts w:asciiTheme="minorHAnsi" w:hAnsiTheme="minorHAnsi" w:cstheme="minorHAnsi"/>
          <w:sz w:val="20"/>
        </w:rPr>
      </w:pPr>
      <w:r w:rsidRPr="00B43D9E">
        <w:rPr>
          <w:rFonts w:asciiTheme="minorHAnsi" w:hAnsiTheme="minorHAnsi" w:cstheme="minorHAnsi"/>
          <w:b/>
          <w:sz w:val="20"/>
        </w:rPr>
        <w:t>B. individuals from economically disadvantaged</w:t>
      </w:r>
      <w:r w:rsidRPr="00B43D9E">
        <w:rPr>
          <w:rFonts w:asciiTheme="minorHAnsi" w:hAnsiTheme="minorHAnsi" w:cstheme="minorHAnsi"/>
          <w:sz w:val="20"/>
        </w:rPr>
        <w:t xml:space="preserve"> </w:t>
      </w:r>
      <w:r w:rsidRPr="00B43D9E">
        <w:rPr>
          <w:rFonts w:asciiTheme="minorHAnsi" w:hAnsiTheme="minorHAnsi" w:cstheme="minorHAnsi"/>
          <w:b/>
          <w:sz w:val="20"/>
        </w:rPr>
        <w:t>families, including low-income youth and adults</w:t>
      </w:r>
      <w:r w:rsidRPr="00B80D31">
        <w:rPr>
          <w:rFonts w:asciiTheme="minorHAnsi" w:hAnsiTheme="minorHAnsi" w:cstheme="minorHAnsi"/>
          <w:sz w:val="20"/>
        </w:rPr>
        <w:t xml:space="preserve">. “Economically disadvantaged” </w:t>
      </w:r>
      <w:r w:rsidRPr="00B80D31">
        <w:rPr>
          <w:rFonts w:asciiTheme="minorHAnsi" w:hAnsiTheme="minorHAnsi" w:cstheme="minorHAnsi"/>
          <w:color w:val="000000"/>
          <w:sz w:val="20"/>
          <w:shd w:val="clear" w:color="auto" w:fill="FFFFFF"/>
        </w:rPr>
        <w:t xml:space="preserve">is calculated based on a student's participation in one or more state-administered programs; see the </w:t>
      </w:r>
      <w:hyperlink r:id="rId9" w:history="1">
        <w:r w:rsidRPr="00B80D31">
          <w:rPr>
            <w:rStyle w:val="Hyperlink"/>
            <w:rFonts w:asciiTheme="minorHAnsi" w:hAnsiTheme="minorHAnsi" w:cstheme="minorHAnsi"/>
            <w:sz w:val="20"/>
            <w:shd w:val="clear" w:color="auto" w:fill="FFFFFF"/>
          </w:rPr>
          <w:t>full definition</w:t>
        </w:r>
      </w:hyperlink>
      <w:r w:rsidRPr="00B80D31">
        <w:rPr>
          <w:rFonts w:asciiTheme="minorHAnsi" w:hAnsiTheme="minorHAnsi" w:cstheme="minorHAnsi"/>
          <w:color w:val="000000"/>
          <w:sz w:val="20"/>
          <w:shd w:val="clear" w:color="auto" w:fill="FFFFFF"/>
        </w:rPr>
        <w:t>.</w:t>
      </w:r>
      <w:r w:rsidRPr="00B80D31">
        <w:rPr>
          <w:rFonts w:asciiTheme="minorHAnsi" w:hAnsiTheme="minorHAnsi" w:cstheme="minorHAnsi"/>
          <w:sz w:val="20"/>
        </w:rPr>
        <w:t xml:space="preserve"> The term is also applied to students enrolled in public two-year colleges and school districts who are the recipients of PELL grants.</w:t>
      </w:r>
    </w:p>
    <w:p w14:paraId="11D0C387" w14:textId="77777777" w:rsidR="0054622C" w:rsidRPr="00B43D9E" w:rsidRDefault="0054622C" w:rsidP="00B80D31">
      <w:pPr>
        <w:pStyle w:val="BodyText"/>
        <w:rPr>
          <w:rFonts w:asciiTheme="minorHAnsi" w:hAnsiTheme="minorHAnsi" w:cstheme="minorHAnsi"/>
          <w:sz w:val="20"/>
        </w:rPr>
      </w:pPr>
      <w:r w:rsidRPr="00B80D31">
        <w:rPr>
          <w:rFonts w:asciiTheme="minorHAnsi" w:hAnsiTheme="minorHAnsi" w:cstheme="minorHAnsi"/>
          <w:b/>
          <w:sz w:val="20"/>
        </w:rPr>
        <w:t>C. individuals preparing for nontraditional fields:</w:t>
      </w:r>
      <w:r w:rsidRPr="00B80D31">
        <w:rPr>
          <w:rFonts w:asciiTheme="minorHAnsi" w:hAnsiTheme="minorHAnsi" w:cstheme="minorHAnsi"/>
          <w:sz w:val="20"/>
        </w:rPr>
        <w:t xml:space="preserve"> The term “individual preparing for nontraditional field” means a student preparing for an occupation or field of work in a field nontraditional for their gender. The term</w:t>
      </w:r>
      <w:r>
        <w:rPr>
          <w:rFonts w:asciiTheme="minorHAnsi" w:hAnsiTheme="minorHAnsi" w:cstheme="minorHAnsi"/>
          <w:sz w:val="20"/>
        </w:rPr>
        <w:t xml:space="preserve"> </w:t>
      </w:r>
      <w:r w:rsidRPr="00B43D9E">
        <w:rPr>
          <w:rFonts w:asciiTheme="minorHAnsi" w:hAnsiTheme="minorHAnsi" w:cstheme="minorHAnsi"/>
          <w:sz w:val="20"/>
        </w:rPr>
        <w:t xml:space="preserve">“nontraditional field” means occupations or field of work, such as careers in computer science, technology, and other current and emerging high skill occupations, for which individuals from one gender comprise less than 25 percent of the individuals employed in each such occupation or field of work. See </w:t>
      </w:r>
      <w:hyperlink r:id="rId10" w:history="1">
        <w:r w:rsidRPr="00B43D9E">
          <w:rPr>
            <w:rStyle w:val="Hyperlink"/>
            <w:rFonts w:asciiTheme="minorHAnsi" w:hAnsiTheme="minorHAnsi" w:cstheme="minorHAnsi"/>
            <w:sz w:val="20"/>
          </w:rPr>
          <w:t>resources</w:t>
        </w:r>
      </w:hyperlink>
      <w:r w:rsidRPr="00B43D9E">
        <w:rPr>
          <w:rFonts w:asciiTheme="minorHAnsi" w:hAnsiTheme="minorHAnsi" w:cstheme="minorHAnsi"/>
          <w:sz w:val="20"/>
        </w:rPr>
        <w:t>.</w:t>
      </w:r>
    </w:p>
    <w:p w14:paraId="10E9CCB7" w14:textId="77777777" w:rsidR="0054622C" w:rsidRPr="00B43D9E" w:rsidRDefault="0054622C" w:rsidP="00B80D31">
      <w:pPr>
        <w:pStyle w:val="BodyText"/>
        <w:rPr>
          <w:rFonts w:asciiTheme="minorHAnsi" w:hAnsiTheme="minorHAnsi" w:cstheme="minorHAnsi"/>
          <w:b/>
          <w:sz w:val="20"/>
        </w:rPr>
      </w:pPr>
      <w:r w:rsidRPr="00B43D9E">
        <w:rPr>
          <w:rFonts w:asciiTheme="minorHAnsi" w:hAnsiTheme="minorHAnsi" w:cstheme="minorHAnsi"/>
          <w:b/>
          <w:sz w:val="20"/>
        </w:rPr>
        <w:t xml:space="preserve">D. single parent, including single pregnant women; </w:t>
      </w:r>
    </w:p>
    <w:p w14:paraId="745F4492"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b/>
          <w:sz w:val="20"/>
        </w:rPr>
        <w:t>E. out-of-workforce Individuals:</w:t>
      </w:r>
      <w:r w:rsidRPr="00B43D9E">
        <w:rPr>
          <w:rFonts w:asciiTheme="minorHAnsi" w:hAnsiTheme="minorHAnsi" w:cstheme="minorHAnsi"/>
          <w:sz w:val="20"/>
        </w:rPr>
        <w:t xml:space="preserve"> The term ‘“Out-of-workforce Individuals” means — </w:t>
      </w:r>
    </w:p>
    <w:p w14:paraId="05D688CF"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 xml:space="preserve">(A) an individual who is a displaced homemaker, as defined in section 3 of the Workforce Innovation and Opportunity Act (29 U.S.C. 3102); or </w:t>
      </w:r>
    </w:p>
    <w:p w14:paraId="124B12BE"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 xml:space="preserve">(B) an individual who— </w:t>
      </w:r>
    </w:p>
    <w:p w14:paraId="651AB692"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w:t>
      </w:r>
      <w:proofErr w:type="spellStart"/>
      <w:r w:rsidRPr="00B43D9E">
        <w:rPr>
          <w:rFonts w:asciiTheme="minorHAnsi" w:hAnsiTheme="minorHAnsi" w:cstheme="minorHAnsi"/>
          <w:sz w:val="20"/>
        </w:rPr>
        <w:t>i</w:t>
      </w:r>
      <w:proofErr w:type="spellEnd"/>
      <w:r w:rsidRPr="00B43D9E">
        <w:rPr>
          <w:rFonts w:asciiTheme="minorHAnsi" w:hAnsiTheme="minorHAnsi" w:cstheme="minorHAnsi"/>
          <w:sz w:val="20"/>
        </w:rPr>
        <w:t xml:space="preserve">) (I) has worked primarily without remuneration to care for a home and family, and for that reason has diminished marketable skills; or </w:t>
      </w:r>
    </w:p>
    <w:p w14:paraId="4CDAFE0B"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 xml:space="preserve">(II) is a parent whose youngest dependent child will become ineligible to receive assistance under part A of title IV of the Social Security Act (42  U.S.C. 601 et seq.) not later than 2 years after the date on which the parent applies for assistance under such title; and </w:t>
      </w:r>
    </w:p>
    <w:p w14:paraId="0850C145"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 xml:space="preserve">(ii) is unemployed or underemployed and is </w:t>
      </w:r>
      <w:proofErr w:type="gramStart"/>
      <w:r w:rsidRPr="00B43D9E">
        <w:rPr>
          <w:rFonts w:asciiTheme="minorHAnsi" w:hAnsiTheme="minorHAnsi" w:cstheme="minorHAnsi"/>
          <w:sz w:val="20"/>
        </w:rPr>
        <w:t>experiencing difficulty</w:t>
      </w:r>
      <w:proofErr w:type="gramEnd"/>
      <w:r w:rsidRPr="00B43D9E">
        <w:rPr>
          <w:rFonts w:asciiTheme="minorHAnsi" w:hAnsiTheme="minorHAnsi" w:cstheme="minorHAnsi"/>
          <w:sz w:val="20"/>
        </w:rPr>
        <w:t xml:space="preserve"> in obtaining or upgrading employment.</w:t>
      </w:r>
    </w:p>
    <w:p w14:paraId="1D131C4E"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b/>
          <w:sz w:val="20"/>
        </w:rPr>
        <w:t>F. English Learners</w:t>
      </w:r>
      <w:r w:rsidRPr="00B43D9E">
        <w:rPr>
          <w:rFonts w:asciiTheme="minorHAnsi" w:hAnsiTheme="minorHAnsi" w:cstheme="minorHAnsi"/>
          <w:sz w:val="20"/>
        </w:rPr>
        <w:t xml:space="preserve">:  The term ‘“English Learner” means – </w:t>
      </w:r>
      <w:bookmarkStart w:id="0" w:name="_GoBack"/>
      <w:bookmarkEnd w:id="0"/>
    </w:p>
    <w:p w14:paraId="0131A492"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 xml:space="preserve">(A) a secondary school student who is an English learner, as defined in section 8101  of the Elementary and Secondary Education Act of 1965; or </w:t>
      </w:r>
    </w:p>
    <w:p w14:paraId="68832C69"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(B) an adult or an out-of-school youth who has limited ability in speaking, reading, writing, or understanding the English language, and—</w:t>
      </w:r>
    </w:p>
    <w:p w14:paraId="0B4B9AE8"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sz w:val="20"/>
        </w:rPr>
        <w:t>(</w:t>
      </w:r>
      <w:proofErr w:type="spellStart"/>
      <w:r w:rsidRPr="00B43D9E">
        <w:rPr>
          <w:rFonts w:asciiTheme="minorHAnsi" w:hAnsiTheme="minorHAnsi" w:cstheme="minorHAnsi"/>
          <w:sz w:val="20"/>
        </w:rPr>
        <w:t>i</w:t>
      </w:r>
      <w:proofErr w:type="spellEnd"/>
      <w:r w:rsidRPr="00B43D9E">
        <w:rPr>
          <w:rFonts w:asciiTheme="minorHAnsi" w:hAnsiTheme="minorHAnsi" w:cstheme="minorHAnsi"/>
          <w:sz w:val="20"/>
        </w:rPr>
        <w:t>) whose native language is a language other than English; or (ii) who lives in a family or community environment in which a language other than English is the dominant language.</w:t>
      </w:r>
    </w:p>
    <w:p w14:paraId="6E825E4A" w14:textId="77777777" w:rsidR="0054622C" w:rsidRPr="00B43D9E" w:rsidRDefault="0054622C" w:rsidP="00B80D31">
      <w:pPr>
        <w:spacing w:after="0" w:line="238" w:lineRule="auto"/>
        <w:rPr>
          <w:rFonts w:cstheme="minorHAnsi"/>
          <w:sz w:val="20"/>
          <w:szCs w:val="20"/>
        </w:rPr>
      </w:pPr>
      <w:r w:rsidRPr="00B43D9E">
        <w:rPr>
          <w:rFonts w:cstheme="minorHAnsi"/>
          <w:b/>
          <w:sz w:val="20"/>
          <w:szCs w:val="20"/>
        </w:rPr>
        <w:t>G. homeless individuals</w:t>
      </w:r>
      <w:r w:rsidRPr="00B43D9E">
        <w:rPr>
          <w:rFonts w:cstheme="minorHAnsi"/>
          <w:sz w:val="20"/>
          <w:szCs w:val="20"/>
        </w:rPr>
        <w:t xml:space="preserve"> described in section 725 of the McKinney-Vento Homeless Assistance Act (42 U.S.C. 11434a);</w:t>
      </w:r>
    </w:p>
    <w:p w14:paraId="1A683CF0" w14:textId="77777777" w:rsidR="0054622C" w:rsidRPr="00B43D9E" w:rsidRDefault="0054622C" w:rsidP="00B80D31">
      <w:pPr>
        <w:spacing w:after="0"/>
        <w:rPr>
          <w:rFonts w:cstheme="minorHAnsi"/>
          <w:bCs/>
          <w:iCs/>
          <w:sz w:val="20"/>
          <w:szCs w:val="20"/>
        </w:rPr>
      </w:pPr>
      <w:r w:rsidRPr="00B43D9E">
        <w:rPr>
          <w:rFonts w:eastAsia="Times New Roman" w:cstheme="minorHAnsi"/>
          <w:b/>
          <w:sz w:val="20"/>
          <w:szCs w:val="20"/>
        </w:rPr>
        <w:t xml:space="preserve">H. youth who are in, or have aged out of, the foster care system, </w:t>
      </w:r>
      <w:r w:rsidRPr="00B43D9E">
        <w:rPr>
          <w:rFonts w:eastAsia="Times New Roman" w:cstheme="minorHAnsi"/>
          <w:bCs/>
          <w:iCs/>
          <w:sz w:val="20"/>
          <w:szCs w:val="20"/>
        </w:rPr>
        <w:t xml:space="preserve">and </w:t>
      </w:r>
    </w:p>
    <w:p w14:paraId="2BF68700" w14:textId="77777777" w:rsidR="0054622C" w:rsidRPr="00B43D9E" w:rsidRDefault="0054622C" w:rsidP="00B80D31">
      <w:pPr>
        <w:pStyle w:val="BodyText"/>
        <w:rPr>
          <w:rFonts w:asciiTheme="minorHAnsi" w:hAnsiTheme="minorHAnsi" w:cstheme="minorHAnsi"/>
          <w:b/>
          <w:sz w:val="20"/>
        </w:rPr>
      </w:pPr>
      <w:r w:rsidRPr="00B43D9E">
        <w:rPr>
          <w:rFonts w:asciiTheme="minorHAnsi" w:hAnsiTheme="minorHAnsi" w:cstheme="minorHAnsi"/>
          <w:b/>
          <w:sz w:val="20"/>
        </w:rPr>
        <w:t>I. youth with a parent who—</w:t>
      </w:r>
    </w:p>
    <w:p w14:paraId="2BA5CD3D" w14:textId="77777777" w:rsidR="0054622C" w:rsidRPr="00B43D9E" w:rsidRDefault="0054622C" w:rsidP="00B80D31">
      <w:pPr>
        <w:pStyle w:val="BodyText"/>
        <w:rPr>
          <w:rFonts w:asciiTheme="minorHAnsi" w:hAnsiTheme="minorHAnsi" w:cstheme="minorHAnsi"/>
          <w:sz w:val="20"/>
        </w:rPr>
      </w:pPr>
      <w:r w:rsidRPr="00B43D9E">
        <w:rPr>
          <w:rFonts w:asciiTheme="minorHAnsi" w:hAnsiTheme="minorHAnsi" w:cstheme="minorHAnsi"/>
          <w:b/>
          <w:sz w:val="20"/>
        </w:rPr>
        <w:t>(</w:t>
      </w:r>
      <w:proofErr w:type="spellStart"/>
      <w:r w:rsidRPr="00B43D9E">
        <w:rPr>
          <w:rFonts w:asciiTheme="minorHAnsi" w:hAnsiTheme="minorHAnsi" w:cstheme="minorHAnsi"/>
          <w:b/>
          <w:sz w:val="20"/>
        </w:rPr>
        <w:t>i</w:t>
      </w:r>
      <w:proofErr w:type="spellEnd"/>
      <w:r w:rsidRPr="00B43D9E">
        <w:rPr>
          <w:rFonts w:asciiTheme="minorHAnsi" w:hAnsiTheme="minorHAnsi" w:cstheme="minorHAnsi"/>
          <w:b/>
          <w:sz w:val="20"/>
        </w:rPr>
        <w:t>) is a member of the armed forces</w:t>
      </w:r>
      <w:r w:rsidRPr="00B43D9E">
        <w:rPr>
          <w:rFonts w:asciiTheme="minorHAnsi" w:hAnsiTheme="minorHAnsi" w:cstheme="minorHAnsi"/>
          <w:sz w:val="20"/>
        </w:rPr>
        <w:t xml:space="preserve"> (as such term is defined in section 101(a)(4) of title 10, United States Code); and</w:t>
      </w:r>
      <w:r w:rsidR="00206A55">
        <w:rPr>
          <w:rFonts w:asciiTheme="minorHAnsi" w:hAnsiTheme="minorHAnsi" w:cstheme="minorHAnsi"/>
          <w:sz w:val="20"/>
        </w:rPr>
        <w:t xml:space="preserve"> </w:t>
      </w:r>
      <w:r w:rsidRPr="00B43D9E">
        <w:rPr>
          <w:rFonts w:asciiTheme="minorHAnsi" w:hAnsiTheme="minorHAnsi" w:cstheme="minorHAnsi"/>
          <w:sz w:val="20"/>
        </w:rPr>
        <w:t xml:space="preserve">(ii) </w:t>
      </w:r>
      <w:r w:rsidRPr="00B43D9E">
        <w:rPr>
          <w:rFonts w:asciiTheme="minorHAnsi" w:hAnsiTheme="minorHAnsi" w:cstheme="minorHAnsi"/>
          <w:b/>
          <w:sz w:val="20"/>
        </w:rPr>
        <w:t>is on active duty</w:t>
      </w:r>
      <w:r w:rsidRPr="00B43D9E">
        <w:rPr>
          <w:rFonts w:asciiTheme="minorHAnsi" w:hAnsiTheme="minorHAnsi" w:cstheme="minorHAnsi"/>
          <w:sz w:val="20"/>
        </w:rPr>
        <w:t xml:space="preserve"> (as such term is defined in section 101(d)(1) of such title).</w:t>
      </w:r>
    </w:p>
    <w:p w14:paraId="2D1EB009" w14:textId="77777777" w:rsidR="00B80D31" w:rsidRDefault="00B80D31" w:rsidP="00B80D31">
      <w:pPr>
        <w:pStyle w:val="BodyText"/>
        <w:rPr>
          <w:rFonts w:asciiTheme="minorHAnsi" w:hAnsiTheme="minorHAnsi" w:cstheme="minorHAnsi"/>
          <w:b/>
          <w:sz w:val="22"/>
          <w:szCs w:val="22"/>
        </w:rPr>
      </w:pPr>
    </w:p>
    <w:p w14:paraId="3F4C0CBE" w14:textId="6DE60A1B" w:rsidR="00B80D31" w:rsidRPr="005D3A47" w:rsidRDefault="00B80D31" w:rsidP="00B80D31">
      <w:pPr>
        <w:pStyle w:val="BodyText"/>
        <w:rPr>
          <w:rFonts w:asciiTheme="minorHAnsi" w:hAnsiTheme="minorHAnsi" w:cstheme="minorHAnsi"/>
          <w:bCs/>
          <w:sz w:val="22"/>
          <w:szCs w:val="22"/>
        </w:rPr>
      </w:pPr>
      <w:r>
        <w:rPr>
          <w:rFonts w:asciiTheme="minorHAnsi" w:hAnsiTheme="minorHAnsi" w:cstheme="minorHAnsi"/>
          <w:b/>
          <w:sz w:val="22"/>
          <w:szCs w:val="22"/>
        </w:rPr>
        <w:t xml:space="preserve">Race/Ethnicity </w:t>
      </w:r>
      <w:r w:rsidRPr="005D3A47">
        <w:rPr>
          <w:rFonts w:asciiTheme="minorHAnsi" w:hAnsiTheme="minorHAnsi" w:cstheme="minorHAnsi"/>
          <w:bCs/>
          <w:sz w:val="22"/>
          <w:szCs w:val="22"/>
        </w:rPr>
        <w:t>and</w:t>
      </w:r>
      <w:r>
        <w:rPr>
          <w:rFonts w:asciiTheme="minorHAnsi" w:hAnsiTheme="minorHAnsi" w:cstheme="minorHAnsi"/>
          <w:b/>
          <w:sz w:val="22"/>
          <w:szCs w:val="22"/>
        </w:rPr>
        <w:t xml:space="preserve"> Gender </w:t>
      </w:r>
      <w:r w:rsidRPr="005D3A47">
        <w:rPr>
          <w:rFonts w:asciiTheme="minorHAnsi" w:hAnsiTheme="minorHAnsi" w:cstheme="minorHAnsi"/>
          <w:bCs/>
          <w:sz w:val="22"/>
          <w:szCs w:val="22"/>
        </w:rPr>
        <w:t xml:space="preserve">(refer to </w:t>
      </w:r>
      <w:hyperlink r:id="rId11" w:history="1">
        <w:r w:rsidRPr="005D3A47">
          <w:rPr>
            <w:rStyle w:val="Hyperlink"/>
            <w:rFonts w:asciiTheme="minorHAnsi" w:hAnsiTheme="minorHAnsi" w:cstheme="minorHAnsi"/>
            <w:bCs/>
            <w:sz w:val="22"/>
            <w:szCs w:val="22"/>
          </w:rPr>
          <w:t>SIMS</w:t>
        </w:r>
      </w:hyperlink>
      <w:r w:rsidRPr="005D3A47">
        <w:rPr>
          <w:rFonts w:asciiTheme="minorHAnsi" w:hAnsiTheme="minorHAnsi" w:cstheme="minorHAnsi"/>
          <w:bCs/>
          <w:sz w:val="22"/>
          <w:szCs w:val="22"/>
        </w:rPr>
        <w:t xml:space="preserve"> Handbook)</w:t>
      </w:r>
    </w:p>
    <w:p w14:paraId="4273C1FE" w14:textId="77777777" w:rsidR="00B80D31" w:rsidRDefault="00B80D31" w:rsidP="00B80D31">
      <w:pPr>
        <w:spacing w:after="0"/>
        <w:rPr>
          <w:rFonts w:cs="Times New Roman"/>
          <w:sz w:val="20"/>
          <w:szCs w:val="20"/>
        </w:rPr>
      </w:pPr>
    </w:p>
    <w:p w14:paraId="53CCA91F" w14:textId="64BD0DE7" w:rsidR="002E37AB" w:rsidRPr="00B80D31" w:rsidRDefault="00B80D31" w:rsidP="00B80D31">
      <w:pPr>
        <w:spacing w:after="0"/>
        <w:rPr>
          <w:rFonts w:cs="Times New Roman"/>
          <w:sz w:val="20"/>
          <w:szCs w:val="20"/>
        </w:rPr>
      </w:pPr>
      <w:r>
        <w:rPr>
          <w:rFonts w:cs="Times New Roman"/>
          <w:sz w:val="20"/>
          <w:szCs w:val="20"/>
        </w:rPr>
        <w:t>T</w:t>
      </w:r>
      <w:r w:rsidR="002E37AB" w:rsidRPr="00B80D31">
        <w:rPr>
          <w:rFonts w:cs="Times New Roman"/>
          <w:sz w:val="20"/>
          <w:szCs w:val="20"/>
        </w:rPr>
        <w:t xml:space="preserve">he Department </w:t>
      </w:r>
      <w:r>
        <w:rPr>
          <w:rFonts w:cs="Times New Roman"/>
          <w:sz w:val="20"/>
          <w:szCs w:val="20"/>
        </w:rPr>
        <w:t xml:space="preserve">also </w:t>
      </w:r>
      <w:r w:rsidR="002E37AB" w:rsidRPr="00B80D31">
        <w:rPr>
          <w:rFonts w:cs="Times New Roman"/>
          <w:sz w:val="20"/>
          <w:szCs w:val="20"/>
        </w:rPr>
        <w:t xml:space="preserve">monitors school districts </w:t>
      </w:r>
      <w:r>
        <w:rPr>
          <w:rFonts w:cs="Times New Roman"/>
          <w:sz w:val="20"/>
          <w:szCs w:val="20"/>
        </w:rPr>
        <w:t>&amp;</w:t>
      </w:r>
      <w:r w:rsidR="002E37AB" w:rsidRPr="00B80D31">
        <w:rPr>
          <w:rFonts w:cs="Times New Roman"/>
          <w:sz w:val="20"/>
          <w:szCs w:val="20"/>
        </w:rPr>
        <w:t xml:space="preserve"> two-year colleges/consortia for civil rights compliance based on the </w:t>
      </w:r>
      <w:r w:rsidR="002E37AB" w:rsidRPr="00B80D31">
        <w:rPr>
          <w:rFonts w:cs="Times New Roman"/>
          <w:b/>
          <w:sz w:val="20"/>
          <w:szCs w:val="20"/>
        </w:rPr>
        <w:t>Federal Guidelines for Eliminating Discrimination and Denial of Services on the Basis of Race, Color, National Origin, Sex and Handicap in Vocational Education Programs</w:t>
      </w:r>
      <w:r w:rsidR="002E37AB" w:rsidRPr="00B80D31">
        <w:rPr>
          <w:rFonts w:cs="Times New Roman"/>
          <w:sz w:val="20"/>
          <w:szCs w:val="20"/>
        </w:rPr>
        <w:t xml:space="preserve"> (34 CFR, Part 100, Appendix B). </w:t>
      </w:r>
      <w:r>
        <w:rPr>
          <w:rFonts w:cs="Times New Roman"/>
          <w:sz w:val="20"/>
          <w:szCs w:val="20"/>
        </w:rPr>
        <w:t>M</w:t>
      </w:r>
      <w:r w:rsidR="002E37AB" w:rsidRPr="00B80D31">
        <w:rPr>
          <w:rFonts w:cs="Times New Roman"/>
          <w:sz w:val="20"/>
          <w:szCs w:val="20"/>
        </w:rPr>
        <w:t xml:space="preserve">onitoring instruments </w:t>
      </w:r>
      <w:r>
        <w:rPr>
          <w:rFonts w:cs="Times New Roman"/>
          <w:sz w:val="20"/>
          <w:szCs w:val="20"/>
        </w:rPr>
        <w:t>&amp;</w:t>
      </w:r>
      <w:r w:rsidR="002E37AB" w:rsidRPr="00B80D31">
        <w:rPr>
          <w:rFonts w:cs="Times New Roman"/>
          <w:sz w:val="20"/>
          <w:szCs w:val="20"/>
        </w:rPr>
        <w:t xml:space="preserve"> related information </w:t>
      </w:r>
      <w:r>
        <w:rPr>
          <w:rFonts w:cs="Times New Roman"/>
          <w:sz w:val="20"/>
          <w:szCs w:val="20"/>
        </w:rPr>
        <w:t>are on</w:t>
      </w:r>
      <w:r w:rsidR="002E37AB" w:rsidRPr="00B80D31">
        <w:rPr>
          <w:rFonts w:cs="Times New Roman"/>
          <w:sz w:val="20"/>
          <w:szCs w:val="20"/>
        </w:rPr>
        <w:t xml:space="preserve"> the Department’s website</w:t>
      </w:r>
      <w:r>
        <w:rPr>
          <w:rFonts w:cs="Times New Roman"/>
          <w:sz w:val="20"/>
          <w:szCs w:val="20"/>
        </w:rPr>
        <w:t xml:space="preserve">: </w:t>
      </w:r>
      <w:hyperlink r:id="rId12" w:history="1">
        <w:r w:rsidRPr="00161575">
          <w:rPr>
            <w:rStyle w:val="Hyperlink"/>
            <w:sz w:val="20"/>
            <w:szCs w:val="20"/>
          </w:rPr>
          <w:t>http://www.doe.mass.edu/cte/monitoring/.</w:t>
        </w:r>
      </w:hyperlink>
    </w:p>
    <w:sectPr w:rsidR="002E37AB" w:rsidRPr="00B80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57A3"/>
    <w:multiLevelType w:val="hybridMultilevel"/>
    <w:tmpl w:val="87FC6998"/>
    <w:lvl w:ilvl="0" w:tplc="E6062BDC">
      <w:start w:val="1"/>
      <w:numFmt w:val="lowerRoman"/>
      <w:lvlText w:val="(%1)"/>
      <w:lvlJc w:val="left"/>
      <w:pPr>
        <w:ind w:left="1080" w:hanging="720"/>
      </w:pPr>
      <w:rPr>
        <w:rFonts w:hint="default"/>
      </w:rPr>
    </w:lvl>
    <w:lvl w:ilvl="1" w:tplc="804AF64A">
      <w:start w:val="1"/>
      <w:numFmt w:val="upperLetter"/>
      <w:lvlText w:val="(%2)"/>
      <w:lvlJc w:val="left"/>
      <w:pPr>
        <w:ind w:left="1440" w:hanging="360"/>
      </w:pPr>
      <w:rPr>
        <w:rFonts w:ascii="Cambria" w:eastAsia="Times New Roman" w:hAnsi="Cambria" w:cs="Times New Roman"/>
      </w:rPr>
    </w:lvl>
    <w:lvl w:ilvl="2" w:tplc="DE8C4B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F4"/>
    <w:rsid w:val="00206A55"/>
    <w:rsid w:val="002E37AB"/>
    <w:rsid w:val="00303349"/>
    <w:rsid w:val="0054622C"/>
    <w:rsid w:val="005B374A"/>
    <w:rsid w:val="005B3E26"/>
    <w:rsid w:val="005D3A47"/>
    <w:rsid w:val="005E1E59"/>
    <w:rsid w:val="006050F4"/>
    <w:rsid w:val="0070114E"/>
    <w:rsid w:val="007378CD"/>
    <w:rsid w:val="009B2DA2"/>
    <w:rsid w:val="00AD6EFD"/>
    <w:rsid w:val="00AF6FD7"/>
    <w:rsid w:val="00B80D31"/>
    <w:rsid w:val="00D62961"/>
    <w:rsid w:val="00DA559F"/>
    <w:rsid w:val="00E10E05"/>
    <w:rsid w:val="00FE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A1FF"/>
  <w15:chartTrackingRefBased/>
  <w15:docId w15:val="{53A532E4-3735-4A1F-84A2-D95A6CBF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50F4"/>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6050F4"/>
    <w:rPr>
      <w:rFonts w:ascii="Times New Roman" w:eastAsia="Times New Roman" w:hAnsi="Times New Roman" w:cs="Times New Roman"/>
      <w:sz w:val="26"/>
      <w:szCs w:val="20"/>
    </w:rPr>
  </w:style>
  <w:style w:type="character" w:styleId="Hyperlink">
    <w:name w:val="Hyperlink"/>
    <w:uiPriority w:val="99"/>
    <w:rsid w:val="0054622C"/>
    <w:rPr>
      <w:color w:val="0000FF"/>
      <w:u w:val="single"/>
    </w:rPr>
  </w:style>
  <w:style w:type="character" w:styleId="UnresolvedMention">
    <w:name w:val="Unresolved Mention"/>
    <w:basedOn w:val="DefaultParagraphFont"/>
    <w:uiPriority w:val="99"/>
    <w:semiHidden/>
    <w:unhideWhenUsed/>
    <w:rsid w:val="00B80D31"/>
    <w:rPr>
      <w:color w:val="605E5C"/>
      <w:shd w:val="clear" w:color="auto" w:fill="E1DFDD"/>
    </w:rPr>
  </w:style>
  <w:style w:type="character" w:styleId="CommentReference">
    <w:name w:val="annotation reference"/>
    <w:basedOn w:val="DefaultParagraphFont"/>
    <w:uiPriority w:val="99"/>
    <w:semiHidden/>
    <w:unhideWhenUsed/>
    <w:rsid w:val="005D3A47"/>
    <w:rPr>
      <w:sz w:val="16"/>
      <w:szCs w:val="16"/>
    </w:rPr>
  </w:style>
  <w:style w:type="paragraph" w:styleId="CommentText">
    <w:name w:val="annotation text"/>
    <w:basedOn w:val="Normal"/>
    <w:link w:val="CommentTextChar"/>
    <w:uiPriority w:val="99"/>
    <w:semiHidden/>
    <w:unhideWhenUsed/>
    <w:rsid w:val="005D3A47"/>
    <w:pPr>
      <w:spacing w:line="240" w:lineRule="auto"/>
    </w:pPr>
    <w:rPr>
      <w:sz w:val="20"/>
      <w:szCs w:val="20"/>
    </w:rPr>
  </w:style>
  <w:style w:type="character" w:customStyle="1" w:styleId="CommentTextChar">
    <w:name w:val="Comment Text Char"/>
    <w:basedOn w:val="DefaultParagraphFont"/>
    <w:link w:val="CommentText"/>
    <w:uiPriority w:val="99"/>
    <w:semiHidden/>
    <w:rsid w:val="005D3A47"/>
    <w:rPr>
      <w:sz w:val="20"/>
      <w:szCs w:val="20"/>
    </w:rPr>
  </w:style>
  <w:style w:type="paragraph" w:styleId="CommentSubject">
    <w:name w:val="annotation subject"/>
    <w:basedOn w:val="CommentText"/>
    <w:next w:val="CommentText"/>
    <w:link w:val="CommentSubjectChar"/>
    <w:uiPriority w:val="99"/>
    <w:semiHidden/>
    <w:unhideWhenUsed/>
    <w:rsid w:val="005D3A47"/>
    <w:rPr>
      <w:b/>
      <w:bCs/>
    </w:rPr>
  </w:style>
  <w:style w:type="character" w:customStyle="1" w:styleId="CommentSubjectChar">
    <w:name w:val="Comment Subject Char"/>
    <w:basedOn w:val="CommentTextChar"/>
    <w:link w:val="CommentSubject"/>
    <w:uiPriority w:val="99"/>
    <w:semiHidden/>
    <w:rsid w:val="005D3A47"/>
    <w:rPr>
      <w:b/>
      <w:bCs/>
      <w:sz w:val="20"/>
      <w:szCs w:val="20"/>
    </w:rPr>
  </w:style>
  <w:style w:type="paragraph" w:styleId="BalloonText">
    <w:name w:val="Balloon Text"/>
    <w:basedOn w:val="Normal"/>
    <w:link w:val="BalloonTextChar"/>
    <w:uiPriority w:val="99"/>
    <w:semiHidden/>
    <w:unhideWhenUsed/>
    <w:rsid w:val="005D3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A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te/monito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infoservices/data/sims/" TargetMode="External"/><Relationship Id="rId5" Type="http://schemas.openxmlformats.org/officeDocument/2006/relationships/numbering" Target="numbering.xml"/><Relationship Id="rId10" Type="http://schemas.openxmlformats.org/officeDocument/2006/relationships/hyperlink" Target="http://www.doe.mass.edu/ccte/cvte/ntbg/" TargetMode="External"/><Relationship Id="rId4" Type="http://schemas.openxmlformats.org/officeDocument/2006/relationships/customXml" Target="../customXml/item4.xml"/><Relationship Id="rId9" Type="http://schemas.openxmlformats.org/officeDocument/2006/relationships/hyperlink" Target="http://profiles.doe.mass.edu/help/data.aspx?section=stu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DESE-231-59599</_dlc_DocId>
    <_dlc_DocIdUrl xmlns="733efe1c-5bbe-4968-87dc-d400e65c879f">
      <Url>https://sharepoint.doemass.org/ese/webteam/cps/_layouts/DocIdRedir.aspx?ID=DESE-231-59599</Url>
      <Description>DESE-231-59599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F7627-4816-4D11-B280-5D4840CC4B99}">
  <ds:schemaRefs>
    <ds:schemaRef ds:uri="http://schemas.microsoft.com/sharepoint/events"/>
  </ds:schemaRefs>
</ds:datastoreItem>
</file>

<file path=customXml/itemProps2.xml><?xml version="1.0" encoding="utf-8"?>
<ds:datastoreItem xmlns:ds="http://schemas.openxmlformats.org/officeDocument/2006/customXml" ds:itemID="{E7CBBF5F-59EB-47B4-BDDD-7FA893B472A1}">
  <ds:schemaRefs>
    <ds:schemaRef ds:uri="http://schemas.microsoft.com/sharepoint/v3/contenttype/forms"/>
  </ds:schemaRefs>
</ds:datastoreItem>
</file>

<file path=customXml/itemProps3.xml><?xml version="1.0" encoding="utf-8"?>
<ds:datastoreItem xmlns:ds="http://schemas.openxmlformats.org/officeDocument/2006/customXml" ds:itemID="{CDF76511-43E9-42C4-8981-6407BD0B5E4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9E31C20-DE73-43D8-A8D9-4F1C698C2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603</Words>
  <Characters>3317</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Perkins Enrollment</vt:lpstr>
    </vt:vector>
  </TitlesOfParts>
  <Company>Executive Office of Education</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Enrollment</dc:title>
  <dc:subject>Perkins Enrollment</dc:subject>
  <dc:creator>Appleyard, Jennifer (DESE)</dc:creator>
  <cp:keywords/>
  <dc:description/>
  <cp:lastModifiedBy>O'Brien-Driscoll, Courtney (EOE)</cp:lastModifiedBy>
  <cp:revision>3</cp:revision>
  <dcterms:created xsi:type="dcterms:W3CDTF">2020-04-06T12:22:00Z</dcterms:created>
  <dcterms:modified xsi:type="dcterms:W3CDTF">2020-04-06T17:28:00Z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9d55cb07-0c20-4768-9dfa-c9bbbad0ce8a</vt:lpwstr>
  </property>
  <property fmtid="{D5CDD505-2E9C-101B-9397-08002B2CF9AE}" pid="4" name="metadate">
    <vt:lpwstr>Apr 6 2020</vt:lpwstr>
  </property>
</Properties>
</file>