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E31D4" w14:textId="77777777" w:rsidR="00061816" w:rsidRDefault="00061816">
      <w:pPr>
        <w:rPr>
          <w:rFonts w:asciiTheme="majorHAnsi" w:eastAsiaTheme="majorEastAsia" w:hAnsiTheme="majorHAnsi" w:cstheme="majorBidi"/>
          <w:b/>
          <w:color w:val="2E74B5" w:themeColor="accent1" w:themeShade="BF"/>
          <w:sz w:val="32"/>
          <w:szCs w:val="32"/>
        </w:rPr>
      </w:pPr>
      <w:bookmarkStart w:id="0" w:name="_GoBack"/>
      <w:bookmarkEnd w:id="0"/>
      <w:r>
        <w:rPr>
          <w:noProof/>
        </w:rPr>
        <w:drawing>
          <wp:inline distT="0" distB="0" distL="0" distR="0" wp14:anchorId="7CCEB75C" wp14:editId="215D5170">
            <wp:extent cx="2785745" cy="1350645"/>
            <wp:effectExtent l="0" t="0" r="0" b="0"/>
            <wp:docPr id="2"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12" cstate="print"/>
                    <a:srcRect/>
                    <a:stretch>
                      <a:fillRect/>
                    </a:stretch>
                  </pic:blipFill>
                  <pic:spPr bwMode="auto">
                    <a:xfrm>
                      <a:off x="0" y="0"/>
                      <a:ext cx="2785745" cy="1350645"/>
                    </a:xfrm>
                    <a:prstGeom prst="rect">
                      <a:avLst/>
                    </a:prstGeom>
                    <a:noFill/>
                    <a:ln w="9525">
                      <a:noFill/>
                      <a:miter lim="800000"/>
                      <a:headEnd/>
                      <a:tailEnd/>
                    </a:ln>
                  </pic:spPr>
                </pic:pic>
              </a:graphicData>
            </a:graphic>
          </wp:inline>
        </w:drawing>
      </w:r>
    </w:p>
    <w:p w14:paraId="24799C19" w14:textId="77777777" w:rsidR="00061816" w:rsidRDefault="00061816">
      <w:pPr>
        <w:rPr>
          <w:rFonts w:asciiTheme="majorHAnsi" w:eastAsiaTheme="majorEastAsia" w:hAnsiTheme="majorHAnsi" w:cstheme="majorBidi"/>
          <w:b/>
          <w:color w:val="2E74B5" w:themeColor="accent1" w:themeShade="BF"/>
          <w:sz w:val="32"/>
          <w:szCs w:val="32"/>
        </w:rPr>
      </w:pPr>
    </w:p>
    <w:p w14:paraId="0A040C81" w14:textId="77777777" w:rsidR="00061816" w:rsidRPr="00061816" w:rsidRDefault="00061816" w:rsidP="0050651E">
      <w:pPr>
        <w:spacing w:after="0"/>
        <w:rPr>
          <w:rFonts w:ascii="Arial" w:hAnsi="Arial" w:cs="Arial"/>
          <w:b/>
          <w:bCs/>
          <w:sz w:val="36"/>
          <w:szCs w:val="36"/>
        </w:rPr>
      </w:pPr>
      <w:r w:rsidRPr="00061816">
        <w:rPr>
          <w:rFonts w:ascii="Arial" w:hAnsi="Arial" w:cs="Arial"/>
          <w:b/>
          <w:bCs/>
          <w:sz w:val="36"/>
          <w:szCs w:val="36"/>
        </w:rPr>
        <w:t>Massachusetts Guide for Conducting a Comprehensive Local Needs Assessment</w:t>
      </w:r>
    </w:p>
    <w:tbl>
      <w:tblPr>
        <w:tblW w:w="10080" w:type="dxa"/>
        <w:tblInd w:w="-335" w:type="dxa"/>
        <w:tblLayout w:type="fixed"/>
        <w:tblCellMar>
          <w:left w:w="115" w:type="dxa"/>
          <w:right w:w="115" w:type="dxa"/>
        </w:tblCellMar>
        <w:tblLook w:val="00A0" w:firstRow="1" w:lastRow="0" w:firstColumn="1" w:lastColumn="0" w:noHBand="0" w:noVBand="0"/>
      </w:tblPr>
      <w:tblGrid>
        <w:gridCol w:w="10080"/>
      </w:tblGrid>
      <w:tr w:rsidR="0050651E" w:rsidRPr="00EB1F6F" w14:paraId="04461C1C" w14:textId="77777777" w:rsidTr="002F384A">
        <w:trPr>
          <w:cantSplit/>
          <w:trHeight w:val="240"/>
        </w:trPr>
        <w:tc>
          <w:tcPr>
            <w:tcW w:w="7020" w:type="dxa"/>
          </w:tcPr>
          <w:p w14:paraId="2DC1F0F8" w14:textId="77777777" w:rsidR="0050651E" w:rsidRPr="00EB1F6F" w:rsidRDefault="00734105" w:rsidP="0050651E">
            <w:pPr>
              <w:spacing w:after="120"/>
            </w:pPr>
            <w:r>
              <w:pict w14:anchorId="6ADFFB8B">
                <v:rect id="_x0000_i1025" style="width:0;height:1.5pt" o:hrstd="t" o:hr="t" fillcolor="#aaa" stroked="f"/>
              </w:pict>
            </w:r>
          </w:p>
        </w:tc>
      </w:tr>
    </w:tbl>
    <w:p w14:paraId="05356C70" w14:textId="58EE8511" w:rsidR="00061816" w:rsidRPr="00061816" w:rsidRDefault="00061816" w:rsidP="0050651E">
      <w:pPr>
        <w:spacing w:after="120" w:line="240" w:lineRule="auto"/>
        <w:rPr>
          <w:rFonts w:ascii="Arial" w:hAnsi="Arial" w:cs="Arial"/>
          <w:sz w:val="18"/>
          <w:szCs w:val="18"/>
        </w:rPr>
      </w:pPr>
      <w:r w:rsidRPr="00061816">
        <w:rPr>
          <w:rFonts w:ascii="Arial" w:hAnsi="Arial" w:cs="Arial"/>
          <w:sz w:val="18"/>
          <w:szCs w:val="18"/>
        </w:rPr>
        <w:t xml:space="preserve">The federal </w:t>
      </w:r>
      <w:r w:rsidRPr="00061816">
        <w:rPr>
          <w:rFonts w:ascii="Arial" w:hAnsi="Arial" w:cs="Arial"/>
          <w:b/>
          <w:sz w:val="18"/>
          <w:szCs w:val="18"/>
        </w:rPr>
        <w:t>Strengthening Career and Technical Education for the 21</w:t>
      </w:r>
      <w:r w:rsidRPr="00061816">
        <w:rPr>
          <w:rFonts w:ascii="Arial" w:hAnsi="Arial" w:cs="Arial"/>
          <w:b/>
          <w:sz w:val="18"/>
          <w:szCs w:val="18"/>
          <w:vertAlign w:val="superscript"/>
        </w:rPr>
        <w:t>st</w:t>
      </w:r>
      <w:r w:rsidRPr="00061816">
        <w:rPr>
          <w:rFonts w:ascii="Arial" w:hAnsi="Arial" w:cs="Arial"/>
          <w:b/>
          <w:sz w:val="18"/>
          <w:szCs w:val="18"/>
        </w:rPr>
        <w:t xml:space="preserve"> Century Act</w:t>
      </w:r>
      <w:r w:rsidRPr="00061816">
        <w:rPr>
          <w:rFonts w:ascii="Arial" w:hAnsi="Arial" w:cs="Arial"/>
          <w:sz w:val="18"/>
          <w:szCs w:val="18"/>
        </w:rPr>
        <w:t xml:space="preserve"> requires that funding recipients undertake a </w:t>
      </w:r>
      <w:r w:rsidRPr="00061816">
        <w:rPr>
          <w:rFonts w:ascii="Arial" w:hAnsi="Arial" w:cs="Arial"/>
          <w:b/>
          <w:sz w:val="18"/>
          <w:szCs w:val="18"/>
        </w:rPr>
        <w:t>Comprehensive Local Needs Assessment (CLNA)</w:t>
      </w:r>
      <w:r w:rsidRPr="00061816">
        <w:rPr>
          <w:rFonts w:ascii="Arial" w:hAnsi="Arial" w:cs="Arial"/>
          <w:sz w:val="18"/>
          <w:szCs w:val="18"/>
        </w:rPr>
        <w:t xml:space="preserve"> at least every two years. This document serves as a guide to that process.</w:t>
      </w:r>
    </w:p>
    <w:p w14:paraId="6D8DA9C6" w14:textId="77777777" w:rsidR="00061816" w:rsidRPr="00061816" w:rsidRDefault="00061816" w:rsidP="00061816">
      <w:pPr>
        <w:rPr>
          <w:rFonts w:ascii="Arial" w:hAnsi="Arial" w:cs="Arial"/>
          <w:sz w:val="18"/>
          <w:szCs w:val="18"/>
        </w:rPr>
      </w:pPr>
      <w:r w:rsidRPr="00061816">
        <w:rPr>
          <w:rFonts w:ascii="Arial" w:hAnsi="Arial" w:cs="Arial"/>
          <w:sz w:val="18"/>
          <w:szCs w:val="18"/>
        </w:rPr>
        <w:t>April 2020</w:t>
      </w:r>
    </w:p>
    <w:p w14:paraId="5E5530BA" w14:textId="77777777" w:rsidR="0050651E" w:rsidRDefault="0050651E" w:rsidP="00061816">
      <w:pPr>
        <w:pStyle w:val="AgencyTitle"/>
        <w:rPr>
          <w:rFonts w:cs="Arial"/>
          <w:szCs w:val="18"/>
        </w:rPr>
      </w:pPr>
    </w:p>
    <w:p w14:paraId="4E453E0D" w14:textId="77777777" w:rsidR="0050651E" w:rsidRDefault="0050651E" w:rsidP="00061816">
      <w:pPr>
        <w:pStyle w:val="AgencyTitle"/>
        <w:rPr>
          <w:rFonts w:cs="Arial"/>
          <w:szCs w:val="18"/>
        </w:rPr>
      </w:pPr>
    </w:p>
    <w:p w14:paraId="77D9E560" w14:textId="77777777" w:rsidR="0050651E" w:rsidRDefault="0050651E" w:rsidP="00061816">
      <w:pPr>
        <w:pStyle w:val="AgencyTitle"/>
        <w:rPr>
          <w:rFonts w:cs="Arial"/>
          <w:szCs w:val="18"/>
        </w:rPr>
      </w:pPr>
    </w:p>
    <w:p w14:paraId="58E3091D" w14:textId="77777777" w:rsidR="0050651E" w:rsidRDefault="0050651E" w:rsidP="00061816">
      <w:pPr>
        <w:pStyle w:val="AgencyTitle"/>
        <w:rPr>
          <w:rFonts w:cs="Arial"/>
          <w:szCs w:val="18"/>
        </w:rPr>
      </w:pPr>
    </w:p>
    <w:p w14:paraId="1E56DC69" w14:textId="77777777" w:rsidR="0050651E" w:rsidRDefault="0050651E" w:rsidP="00061816">
      <w:pPr>
        <w:pStyle w:val="AgencyTitle"/>
        <w:rPr>
          <w:rFonts w:cs="Arial"/>
          <w:szCs w:val="18"/>
        </w:rPr>
      </w:pPr>
    </w:p>
    <w:p w14:paraId="4415EE7C" w14:textId="77777777" w:rsidR="0050651E" w:rsidRDefault="0050651E" w:rsidP="00061816">
      <w:pPr>
        <w:pStyle w:val="AgencyTitle"/>
        <w:rPr>
          <w:rFonts w:cs="Arial"/>
          <w:szCs w:val="18"/>
        </w:rPr>
      </w:pPr>
    </w:p>
    <w:p w14:paraId="5820A708" w14:textId="77777777" w:rsidR="0050651E" w:rsidRDefault="0050651E" w:rsidP="00061816">
      <w:pPr>
        <w:pStyle w:val="AgencyTitle"/>
        <w:rPr>
          <w:rFonts w:cs="Arial"/>
          <w:szCs w:val="18"/>
        </w:rPr>
      </w:pPr>
    </w:p>
    <w:p w14:paraId="6D5590E6" w14:textId="77777777" w:rsidR="0050651E" w:rsidRDefault="0050651E" w:rsidP="00061816">
      <w:pPr>
        <w:pStyle w:val="AgencyTitle"/>
        <w:rPr>
          <w:rFonts w:cs="Arial"/>
          <w:szCs w:val="18"/>
        </w:rPr>
      </w:pPr>
    </w:p>
    <w:p w14:paraId="7748D4FC" w14:textId="77777777" w:rsidR="0050651E" w:rsidRDefault="0050651E" w:rsidP="00061816">
      <w:pPr>
        <w:pStyle w:val="AgencyTitle"/>
        <w:rPr>
          <w:rFonts w:cs="Arial"/>
          <w:szCs w:val="18"/>
        </w:rPr>
      </w:pPr>
    </w:p>
    <w:p w14:paraId="1B95A139" w14:textId="77777777" w:rsidR="0050651E" w:rsidRDefault="0050651E" w:rsidP="00061816">
      <w:pPr>
        <w:pStyle w:val="AgencyTitle"/>
        <w:rPr>
          <w:rFonts w:cs="Arial"/>
          <w:szCs w:val="18"/>
        </w:rPr>
      </w:pPr>
    </w:p>
    <w:p w14:paraId="5D00B613" w14:textId="77777777" w:rsidR="0050651E" w:rsidRDefault="0050651E" w:rsidP="00061816">
      <w:pPr>
        <w:pStyle w:val="AgencyTitle"/>
        <w:rPr>
          <w:rFonts w:cs="Arial"/>
          <w:szCs w:val="18"/>
        </w:rPr>
      </w:pPr>
    </w:p>
    <w:p w14:paraId="1C8E9FAB" w14:textId="77777777" w:rsidR="0050651E" w:rsidRDefault="0050651E" w:rsidP="00061816">
      <w:pPr>
        <w:pStyle w:val="AgencyTitle"/>
        <w:rPr>
          <w:rFonts w:cs="Arial"/>
          <w:szCs w:val="18"/>
        </w:rPr>
      </w:pPr>
    </w:p>
    <w:p w14:paraId="03D91990" w14:textId="77777777" w:rsidR="0050651E" w:rsidRDefault="0050651E" w:rsidP="00061816">
      <w:pPr>
        <w:pStyle w:val="AgencyTitle"/>
        <w:rPr>
          <w:rFonts w:cs="Arial"/>
          <w:szCs w:val="18"/>
        </w:rPr>
      </w:pPr>
    </w:p>
    <w:p w14:paraId="0306AC8E" w14:textId="77777777" w:rsidR="0050651E" w:rsidRDefault="0050651E" w:rsidP="00061816">
      <w:pPr>
        <w:pStyle w:val="AgencyTitle"/>
        <w:rPr>
          <w:rFonts w:cs="Arial"/>
          <w:szCs w:val="18"/>
        </w:rPr>
      </w:pPr>
    </w:p>
    <w:p w14:paraId="24975ED5" w14:textId="77777777" w:rsidR="0050651E" w:rsidRDefault="0050651E" w:rsidP="00061816">
      <w:pPr>
        <w:pStyle w:val="AgencyTitle"/>
        <w:rPr>
          <w:rFonts w:cs="Arial"/>
          <w:szCs w:val="18"/>
        </w:rPr>
      </w:pPr>
    </w:p>
    <w:p w14:paraId="38942608" w14:textId="77777777" w:rsidR="0050651E" w:rsidRDefault="0050651E" w:rsidP="00061816">
      <w:pPr>
        <w:pStyle w:val="AgencyTitle"/>
        <w:rPr>
          <w:rFonts w:cs="Arial"/>
          <w:szCs w:val="18"/>
        </w:rPr>
      </w:pPr>
    </w:p>
    <w:p w14:paraId="29B3D6D9" w14:textId="77777777" w:rsidR="0050651E" w:rsidRDefault="0050651E" w:rsidP="00061816">
      <w:pPr>
        <w:pStyle w:val="AgencyTitle"/>
        <w:rPr>
          <w:rFonts w:cs="Arial"/>
          <w:szCs w:val="18"/>
        </w:rPr>
      </w:pPr>
    </w:p>
    <w:p w14:paraId="6076CA4E" w14:textId="77777777" w:rsidR="0050651E" w:rsidRDefault="0050651E" w:rsidP="00061816">
      <w:pPr>
        <w:pStyle w:val="AgencyTitle"/>
        <w:rPr>
          <w:rFonts w:cs="Arial"/>
          <w:szCs w:val="18"/>
        </w:rPr>
      </w:pPr>
    </w:p>
    <w:p w14:paraId="41C89F04" w14:textId="77777777" w:rsidR="0050651E" w:rsidRDefault="0050651E" w:rsidP="00061816">
      <w:pPr>
        <w:pStyle w:val="AgencyTitle"/>
        <w:rPr>
          <w:rFonts w:cs="Arial"/>
          <w:szCs w:val="18"/>
        </w:rPr>
      </w:pPr>
    </w:p>
    <w:p w14:paraId="50B0070B" w14:textId="77777777" w:rsidR="0050651E" w:rsidRDefault="0050651E" w:rsidP="00061816">
      <w:pPr>
        <w:pStyle w:val="AgencyTitle"/>
        <w:rPr>
          <w:rFonts w:cs="Arial"/>
          <w:szCs w:val="18"/>
        </w:rPr>
      </w:pPr>
    </w:p>
    <w:p w14:paraId="1CDF9A1C" w14:textId="77777777" w:rsidR="0050651E" w:rsidRDefault="0050651E" w:rsidP="00061816">
      <w:pPr>
        <w:pStyle w:val="AgencyTitle"/>
        <w:rPr>
          <w:rFonts w:cs="Arial"/>
          <w:szCs w:val="18"/>
        </w:rPr>
      </w:pPr>
    </w:p>
    <w:p w14:paraId="198B8157" w14:textId="77777777" w:rsidR="0050651E" w:rsidRDefault="0050651E" w:rsidP="00061816">
      <w:pPr>
        <w:pStyle w:val="AgencyTitle"/>
        <w:rPr>
          <w:rFonts w:cs="Arial"/>
          <w:szCs w:val="18"/>
        </w:rPr>
      </w:pPr>
    </w:p>
    <w:p w14:paraId="13145418" w14:textId="77777777" w:rsidR="0050651E" w:rsidRDefault="0050651E" w:rsidP="00061816">
      <w:pPr>
        <w:pStyle w:val="AgencyTitle"/>
        <w:rPr>
          <w:rFonts w:cs="Arial"/>
          <w:szCs w:val="18"/>
        </w:rPr>
      </w:pPr>
    </w:p>
    <w:p w14:paraId="06640745" w14:textId="77777777" w:rsidR="0050651E" w:rsidRDefault="0050651E" w:rsidP="00061816">
      <w:pPr>
        <w:pStyle w:val="AgencyTitle"/>
        <w:rPr>
          <w:rFonts w:cs="Arial"/>
          <w:szCs w:val="18"/>
        </w:rPr>
      </w:pPr>
    </w:p>
    <w:p w14:paraId="7243E319" w14:textId="77777777" w:rsidR="0050651E" w:rsidRDefault="0050651E" w:rsidP="00061816">
      <w:pPr>
        <w:pStyle w:val="AgencyTitle"/>
        <w:rPr>
          <w:rFonts w:cs="Arial"/>
          <w:szCs w:val="18"/>
        </w:rPr>
      </w:pPr>
    </w:p>
    <w:p w14:paraId="20851398" w14:textId="77777777" w:rsidR="0050651E" w:rsidRDefault="0050651E" w:rsidP="00061816">
      <w:pPr>
        <w:pStyle w:val="AgencyTitle"/>
        <w:rPr>
          <w:rFonts w:cs="Arial"/>
          <w:szCs w:val="18"/>
        </w:rPr>
      </w:pPr>
    </w:p>
    <w:p w14:paraId="335B70CA" w14:textId="77777777" w:rsidR="0050651E" w:rsidRDefault="0050651E" w:rsidP="00061816">
      <w:pPr>
        <w:pStyle w:val="AgencyTitle"/>
        <w:rPr>
          <w:rFonts w:cs="Arial"/>
          <w:szCs w:val="18"/>
        </w:rPr>
      </w:pPr>
    </w:p>
    <w:p w14:paraId="42CC46C9" w14:textId="77777777" w:rsidR="0050651E" w:rsidRDefault="0050651E" w:rsidP="00061816">
      <w:pPr>
        <w:pStyle w:val="AgencyTitle"/>
        <w:rPr>
          <w:rFonts w:cs="Arial"/>
          <w:szCs w:val="18"/>
        </w:rPr>
      </w:pPr>
    </w:p>
    <w:p w14:paraId="59261B03" w14:textId="77777777" w:rsidR="0050651E" w:rsidRDefault="0050651E" w:rsidP="00061816">
      <w:pPr>
        <w:pStyle w:val="AgencyTitle"/>
        <w:rPr>
          <w:rFonts w:cs="Arial"/>
          <w:szCs w:val="18"/>
        </w:rPr>
      </w:pPr>
    </w:p>
    <w:p w14:paraId="2F945AB6" w14:textId="77777777" w:rsidR="0050651E" w:rsidRDefault="0050651E" w:rsidP="00061816">
      <w:pPr>
        <w:pStyle w:val="AgencyTitle"/>
        <w:rPr>
          <w:rFonts w:cs="Arial"/>
          <w:szCs w:val="18"/>
        </w:rPr>
      </w:pPr>
    </w:p>
    <w:p w14:paraId="6EB70DC2" w14:textId="6968B8DA" w:rsidR="00061816" w:rsidRPr="0050651E" w:rsidRDefault="00061816" w:rsidP="00061816">
      <w:pPr>
        <w:pStyle w:val="AgencyTitle"/>
        <w:rPr>
          <w:rFonts w:cs="Arial"/>
          <w:szCs w:val="18"/>
        </w:rPr>
      </w:pPr>
      <w:r w:rsidRPr="0050651E">
        <w:rPr>
          <w:rFonts w:cs="Arial"/>
          <w:szCs w:val="18"/>
        </w:rPr>
        <w:t>Massachusetts Department of Elementary and Secondary Education</w:t>
      </w:r>
    </w:p>
    <w:p w14:paraId="7F97BCFD" w14:textId="77777777" w:rsidR="00061816" w:rsidRPr="0050651E" w:rsidRDefault="00061816" w:rsidP="00061816">
      <w:pPr>
        <w:pStyle w:val="arial9"/>
        <w:rPr>
          <w:rFonts w:cs="Arial"/>
          <w:snapToGrid w:val="0"/>
          <w:szCs w:val="18"/>
        </w:rPr>
      </w:pPr>
      <w:r w:rsidRPr="0050651E">
        <w:rPr>
          <w:rFonts w:cs="Arial"/>
          <w:snapToGrid w:val="0"/>
          <w:szCs w:val="18"/>
        </w:rPr>
        <w:t>75 Pleasant Street, Malden, MA 02148-4906</w:t>
      </w:r>
    </w:p>
    <w:p w14:paraId="7B3A3D4D" w14:textId="77777777" w:rsidR="00061816" w:rsidRPr="0050651E" w:rsidRDefault="00061816" w:rsidP="00061816">
      <w:pPr>
        <w:pStyle w:val="arial9"/>
        <w:rPr>
          <w:rFonts w:cs="Arial"/>
          <w:snapToGrid w:val="0"/>
          <w:szCs w:val="18"/>
        </w:rPr>
      </w:pPr>
      <w:r w:rsidRPr="0050651E">
        <w:rPr>
          <w:rFonts w:cs="Arial"/>
          <w:snapToGrid w:val="0"/>
          <w:szCs w:val="18"/>
        </w:rPr>
        <w:t>Phone 781-338-3000  TTY: N.E.T. Relay 800-439-2370</w:t>
      </w:r>
    </w:p>
    <w:p w14:paraId="044EBBDF" w14:textId="77777777" w:rsidR="00061816" w:rsidRPr="0050651E" w:rsidRDefault="00061816" w:rsidP="00061816">
      <w:pPr>
        <w:rPr>
          <w:rFonts w:ascii="Arial" w:hAnsi="Arial" w:cs="Arial"/>
          <w:sz w:val="18"/>
          <w:szCs w:val="18"/>
        </w:rPr>
      </w:pPr>
      <w:r w:rsidRPr="0050651E">
        <w:rPr>
          <w:rFonts w:ascii="Arial" w:hAnsi="Arial" w:cs="Arial"/>
          <w:snapToGrid w:val="0"/>
          <w:sz w:val="18"/>
          <w:szCs w:val="18"/>
        </w:rPr>
        <w:t>www.doe.mass.edu</w:t>
      </w:r>
    </w:p>
    <w:p w14:paraId="63086EF2" w14:textId="6D6A5CDE" w:rsidR="00061816" w:rsidRDefault="00061816">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br w:type="page"/>
      </w:r>
    </w:p>
    <w:p w14:paraId="07AF7950" w14:textId="77777777" w:rsidR="004602BA" w:rsidRDefault="004602BA">
      <w:pPr>
        <w:rPr>
          <w:rFonts w:asciiTheme="majorHAnsi" w:eastAsiaTheme="majorEastAsia" w:hAnsiTheme="majorHAnsi" w:cstheme="majorBidi"/>
          <w:b/>
          <w:color w:val="2E74B5" w:themeColor="accent1" w:themeShade="BF"/>
          <w:sz w:val="32"/>
          <w:szCs w:val="32"/>
        </w:rPr>
      </w:pPr>
    </w:p>
    <w:p w14:paraId="2F3B4160" w14:textId="67FFFFE2" w:rsidR="00852A7A" w:rsidRPr="00F2693F" w:rsidRDefault="00852A7A" w:rsidP="00DC57AA">
      <w:pPr>
        <w:pStyle w:val="Heading1"/>
        <w:spacing w:before="120" w:after="60"/>
        <w15:collapsed/>
        <w:rPr>
          <w:b/>
        </w:rPr>
      </w:pPr>
      <w:r w:rsidRPr="00F2693F">
        <w:rPr>
          <w:b/>
        </w:rPr>
        <w:t>Introduction</w:t>
      </w:r>
    </w:p>
    <w:p w14:paraId="513061E5" w14:textId="3DD283AF" w:rsidR="00852A7A" w:rsidRPr="00B415EA" w:rsidRDefault="00852A7A" w:rsidP="00852A7A">
      <w:pPr>
        <w:spacing w:after="0" w:line="240" w:lineRule="auto"/>
      </w:pPr>
      <w:bookmarkStart w:id="1" w:name="_Hlk37404801"/>
      <w:r w:rsidRPr="00B415EA">
        <w:t xml:space="preserve">The </w:t>
      </w:r>
      <w:r w:rsidRPr="00B415EA">
        <w:rPr>
          <w:b/>
        </w:rPr>
        <w:t>Strengthening Career and Technical Education for the 21</w:t>
      </w:r>
      <w:r w:rsidRPr="00B415EA">
        <w:rPr>
          <w:b/>
          <w:vertAlign w:val="superscript"/>
        </w:rPr>
        <w:t>st</w:t>
      </w:r>
      <w:r w:rsidRPr="00B415EA">
        <w:rPr>
          <w:b/>
        </w:rPr>
        <w:t xml:space="preserve"> Century Act</w:t>
      </w:r>
      <w:r w:rsidRPr="00B415EA">
        <w:t xml:space="preserve"> (commonly known as Perkins V) recognizes, in a way that previous iterations of Perkins legislation did not, the value and importance of </w:t>
      </w:r>
      <w:r w:rsidRPr="00B415EA">
        <w:rPr>
          <w:b/>
        </w:rPr>
        <w:t>in-depth, continual programmatic self-examination to improve programs and benefit students</w:t>
      </w:r>
      <w:r w:rsidRPr="00B415EA">
        <w:t xml:space="preserve">. </w:t>
      </w:r>
      <w:r w:rsidRPr="0071159D">
        <w:t xml:space="preserve">Consequently, Perkins V </w:t>
      </w:r>
      <w:r w:rsidRPr="00E938C9">
        <w:rPr>
          <w:u w:val="single"/>
        </w:rPr>
        <w:t>requires</w:t>
      </w:r>
      <w:r w:rsidRPr="0071159D">
        <w:t xml:space="preserve"> that recipients of Perkins funding undertake a </w:t>
      </w:r>
      <w:r w:rsidRPr="00B415EA">
        <w:rPr>
          <w:b/>
        </w:rPr>
        <w:t>Comprehensive Local Needs Assessment (CLNA)</w:t>
      </w:r>
      <w:r w:rsidRPr="0071159D">
        <w:t xml:space="preserve"> at least every two years.</w:t>
      </w:r>
    </w:p>
    <w:bookmarkEnd w:id="1"/>
    <w:p w14:paraId="48287106" w14:textId="77777777" w:rsidR="00852A7A" w:rsidRPr="00B415EA" w:rsidRDefault="00852A7A" w:rsidP="00852A7A">
      <w:pPr>
        <w:spacing w:after="0" w:line="240" w:lineRule="auto"/>
      </w:pPr>
    </w:p>
    <w:p w14:paraId="5284BD0F" w14:textId="7A270584" w:rsidR="00852A7A" w:rsidRPr="00E938C9" w:rsidRDefault="00852A7A" w:rsidP="00852A7A">
      <w:pPr>
        <w:spacing w:after="0" w:line="240" w:lineRule="auto"/>
        <w:rPr>
          <w:u w:val="single"/>
        </w:rPr>
      </w:pPr>
      <w:r w:rsidRPr="00B415EA">
        <w:t>This document is designed to guide Massachusetts Perkins funding</w:t>
      </w:r>
      <w:r w:rsidR="00E938C9">
        <w:t xml:space="preserve"> </w:t>
      </w:r>
      <w:r w:rsidR="001C2CF8">
        <w:t>applicants</w:t>
      </w:r>
      <w:r w:rsidRPr="00B415EA">
        <w:t xml:space="preserve"> through the development of needs assessments based on local considerations. Ultimately, the value of any needs assessment is a function of the effort behind it and the richness of the analysis conducted. </w:t>
      </w:r>
      <w:r w:rsidRPr="00581B9D">
        <w:t xml:space="preserve">We encourage and empower districts to undertake this to the depth warranted to identify improvement areas that can best serve students, </w:t>
      </w:r>
      <w:r w:rsidRPr="00B415EA">
        <w:t xml:space="preserve">with the knowledge that </w:t>
      </w:r>
      <w:r w:rsidRPr="00E938C9">
        <w:rPr>
          <w:u w:val="single"/>
        </w:rPr>
        <w:t xml:space="preserve">the findings of this analysis will be incorporated into the Perkins grant application. </w:t>
      </w:r>
    </w:p>
    <w:p w14:paraId="0D076390" w14:textId="77777777" w:rsidR="00AC1546" w:rsidRPr="00217E6E" w:rsidRDefault="00AC1546" w:rsidP="00852A7A">
      <w:pPr>
        <w:spacing w:after="0" w:line="240" w:lineRule="auto"/>
        <w:rPr>
          <w:b/>
        </w:rPr>
      </w:pPr>
    </w:p>
    <w:p w14:paraId="04898143" w14:textId="3E0FB975" w:rsidR="00852A7A" w:rsidRPr="00B415EA" w:rsidRDefault="00852A7A" w:rsidP="00486CF2">
      <w:pPr>
        <w:pStyle w:val="Heading1"/>
        <w:spacing w:before="360" w:after="60"/>
      </w:pPr>
      <w:r w:rsidRPr="00F2693F">
        <w:rPr>
          <w:b/>
        </w:rPr>
        <w:t>Rationale</w:t>
      </w:r>
      <w:r w:rsidR="00325CFE">
        <w:rPr>
          <w:b/>
        </w:rPr>
        <w:t>, Expenditures,</w:t>
      </w:r>
      <w:r w:rsidRPr="00F2693F">
        <w:rPr>
          <w:b/>
        </w:rPr>
        <w:t xml:space="preserve"> </w:t>
      </w:r>
      <w:r w:rsidR="00325CFE">
        <w:rPr>
          <w:b/>
        </w:rPr>
        <w:t>Stakeholder involvement</w:t>
      </w:r>
    </w:p>
    <w:p w14:paraId="2A30A36F" w14:textId="2DC7F58A" w:rsidR="00852A7A" w:rsidRPr="00B415EA" w:rsidRDefault="00325CFE" w:rsidP="00852A7A">
      <w:pPr>
        <w:spacing w:after="0" w:line="240" w:lineRule="auto"/>
      </w:pPr>
      <w:r w:rsidRPr="00E938C9">
        <w:rPr>
          <w:b/>
          <w:bCs/>
        </w:rPr>
        <w:t>Rationale.</w:t>
      </w:r>
      <w:r>
        <w:t xml:space="preserve"> </w:t>
      </w:r>
      <w:r w:rsidR="002475F8" w:rsidRPr="004602BA">
        <w:rPr>
          <w:b/>
          <w:bCs/>
        </w:rPr>
        <w:t>C</w:t>
      </w:r>
      <w:r w:rsidR="00852A7A" w:rsidRPr="00B415EA">
        <w:rPr>
          <w:b/>
        </w:rPr>
        <w:t xml:space="preserve">ompletion of a </w:t>
      </w:r>
      <w:r w:rsidR="00E938C9">
        <w:rPr>
          <w:b/>
        </w:rPr>
        <w:t>CLNA</w:t>
      </w:r>
      <w:r w:rsidR="00E938C9" w:rsidRPr="00B415EA">
        <w:rPr>
          <w:b/>
        </w:rPr>
        <w:t xml:space="preserve"> </w:t>
      </w:r>
      <w:r w:rsidR="00E938C9">
        <w:rPr>
          <w:b/>
        </w:rPr>
        <w:t>is</w:t>
      </w:r>
      <w:r w:rsidR="002475F8">
        <w:rPr>
          <w:b/>
        </w:rPr>
        <w:t xml:space="preserve"> </w:t>
      </w:r>
      <w:r w:rsidR="0025505A">
        <w:rPr>
          <w:b/>
        </w:rPr>
        <w:t>required and</w:t>
      </w:r>
      <w:r w:rsidR="002475F8">
        <w:rPr>
          <w:b/>
        </w:rPr>
        <w:t xml:space="preserve"> </w:t>
      </w:r>
      <w:r w:rsidR="00852A7A" w:rsidRPr="00B415EA">
        <w:rPr>
          <w:b/>
        </w:rPr>
        <w:t>ensures that local program decision-making is data-driven.</w:t>
      </w:r>
      <w:r w:rsidR="00852A7A" w:rsidRPr="00B415EA">
        <w:t xml:space="preserve"> The needs assessment helps local leaders, in consultation and engagement with stakeholders, </w:t>
      </w:r>
      <w:r w:rsidR="00CA0E2E">
        <w:t xml:space="preserve">to </w:t>
      </w:r>
      <w:r w:rsidR="00852A7A" w:rsidRPr="00B415EA">
        <w:t xml:space="preserve">analyze data to identify and understand the local context </w:t>
      </w:r>
      <w:r w:rsidR="0025505A" w:rsidRPr="00B415EA">
        <w:t>considering</w:t>
      </w:r>
      <w:r w:rsidR="00852A7A" w:rsidRPr="00B415EA">
        <w:t xml:space="preserve"> Perkins requirements. This leads to an opportunity to</w:t>
      </w:r>
      <w:r w:rsidR="00852A7A" w:rsidRPr="0071159D">
        <w:t xml:space="preserve"> set a </w:t>
      </w:r>
      <w:r w:rsidR="00852A7A" w:rsidRPr="00B415EA">
        <w:rPr>
          <w:b/>
        </w:rPr>
        <w:t>vision</w:t>
      </w:r>
      <w:r w:rsidR="00852A7A" w:rsidRPr="0071159D">
        <w:t xml:space="preserve"> that addresses the needs over the next several years.</w:t>
      </w:r>
      <w:r w:rsidR="00703D76">
        <w:t xml:space="preserve"> Data-driven decision-making plays a key role in the success of the Commonwealth’s vocational programs.</w:t>
      </w:r>
    </w:p>
    <w:p w14:paraId="26FAA6BA" w14:textId="77777777" w:rsidR="00852A7A" w:rsidRPr="00B415EA" w:rsidRDefault="00852A7A" w:rsidP="00852A7A">
      <w:pPr>
        <w:spacing w:after="0" w:line="240" w:lineRule="auto"/>
      </w:pPr>
    </w:p>
    <w:p w14:paraId="78DAF965" w14:textId="166AE719" w:rsidR="00852A7A" w:rsidRPr="00B415EA" w:rsidRDefault="00325CFE" w:rsidP="00852A7A">
      <w:pPr>
        <w:spacing w:after="0"/>
      </w:pPr>
      <w:r w:rsidRPr="00E938C9">
        <w:rPr>
          <w:b/>
          <w:bCs/>
        </w:rPr>
        <w:t>Expenditures.</w:t>
      </w:r>
      <w:r>
        <w:t xml:space="preserve"> </w:t>
      </w:r>
      <w:r w:rsidR="00852A7A" w:rsidRPr="00B415EA">
        <w:t>Th</w:t>
      </w:r>
      <w:r>
        <w:t xml:space="preserve">e CLNA is </w:t>
      </w:r>
      <w:r w:rsidR="00B232FE">
        <w:t xml:space="preserve">both </w:t>
      </w:r>
      <w:r>
        <w:t>required</w:t>
      </w:r>
      <w:r w:rsidR="00B232FE">
        <w:t xml:space="preserve"> </w:t>
      </w:r>
      <w:r w:rsidR="00C22BDA">
        <w:t>and</w:t>
      </w:r>
      <w:r w:rsidR="00B232FE">
        <w:t xml:space="preserve"> </w:t>
      </w:r>
      <w:r w:rsidR="00852A7A" w:rsidRPr="00B415EA">
        <w:t xml:space="preserve">aids in </w:t>
      </w:r>
      <w:r w:rsidR="00852A7A" w:rsidRPr="00E938C9">
        <w:rPr>
          <w:bCs/>
        </w:rPr>
        <w:t>planning Perkins expenditures</w:t>
      </w:r>
      <w:r w:rsidR="00852A7A" w:rsidRPr="00B415EA">
        <w:t>. I</w:t>
      </w:r>
      <w:r w:rsidR="00852A7A" w:rsidRPr="0071159D">
        <w:t xml:space="preserve">n completing the institution’s Perkins application each year, </w:t>
      </w:r>
      <w:r w:rsidR="00852A7A" w:rsidRPr="00E938C9">
        <w:rPr>
          <w:b/>
          <w:bCs/>
        </w:rPr>
        <w:t xml:space="preserve">you will be required to tie proposed Perkins expenditures to needs identified in your institution’s CLNA. </w:t>
      </w:r>
      <w:r w:rsidR="00852A7A" w:rsidRPr="007E3191">
        <w:rPr>
          <w:b/>
          <w:bCs/>
        </w:rPr>
        <w:t>All</w:t>
      </w:r>
      <w:r w:rsidR="00852A7A" w:rsidRPr="00E938C9">
        <w:rPr>
          <w:b/>
          <w:bCs/>
        </w:rPr>
        <w:t xml:space="preserve"> Perkins expenditures must align with identified needs.</w:t>
      </w:r>
      <w:r w:rsidR="00852A7A" w:rsidRPr="0071159D">
        <w:t xml:space="preserve"> </w:t>
      </w:r>
    </w:p>
    <w:p w14:paraId="039E9101" w14:textId="77777777" w:rsidR="00852A7A" w:rsidRPr="0071159D" w:rsidRDefault="00852A7A" w:rsidP="00852A7A">
      <w:pPr>
        <w:spacing w:after="0"/>
      </w:pPr>
    </w:p>
    <w:p w14:paraId="752D89D5" w14:textId="1739BD60" w:rsidR="00852A7A" w:rsidRDefault="00325CFE" w:rsidP="00E938C9">
      <w:r w:rsidRPr="00E938C9">
        <w:rPr>
          <w:b/>
          <w:bCs/>
        </w:rPr>
        <w:t xml:space="preserve">Stakeholder involvement is </w:t>
      </w:r>
      <w:r w:rsidR="00C22BDA" w:rsidRPr="00E938C9">
        <w:rPr>
          <w:b/>
          <w:bCs/>
        </w:rPr>
        <w:t xml:space="preserve">required </w:t>
      </w:r>
      <w:r w:rsidR="00C22BDA">
        <w:rPr>
          <w:b/>
          <w:bCs/>
        </w:rPr>
        <w:t>and</w:t>
      </w:r>
      <w:r w:rsidR="00C22BDA" w:rsidRPr="00E938C9">
        <w:rPr>
          <w:b/>
          <w:bCs/>
        </w:rPr>
        <w:t xml:space="preserve"> crucial</w:t>
      </w:r>
      <w:r>
        <w:t>. The CLNA</w:t>
      </w:r>
      <w:r w:rsidR="00852A7A" w:rsidRPr="0071159D">
        <w:t xml:space="preserve"> provides a </w:t>
      </w:r>
      <w:r w:rsidR="00852A7A" w:rsidRPr="00B415EA">
        <w:rPr>
          <w:b/>
        </w:rPr>
        <w:t>structured way to engage</w:t>
      </w:r>
      <w:r w:rsidR="00852A7A" w:rsidRPr="0071159D">
        <w:t xml:space="preserve"> </w:t>
      </w:r>
      <w:r w:rsidR="00852A7A" w:rsidRPr="00B415EA">
        <w:rPr>
          <w:b/>
        </w:rPr>
        <w:t>key stakeholders</w:t>
      </w:r>
      <w:r w:rsidR="00EC0F15">
        <w:t xml:space="preserve"> (including Program Advisory C</w:t>
      </w:r>
      <w:r w:rsidR="00852A7A" w:rsidRPr="0071159D">
        <w:t xml:space="preserve">ommittees) regularly about the quality and impact of local programs. Advisory Committees for career vocational technical education programs are essential. Such committees advise, assist, and support school and college personnel in order to enhance planning and operation of programs. Such advice is based on adequate and timely information regarding workforce and job development demands or job market trends, technological developments, and other factors affecting the quality of the programs. (For more on establishing Advisory Committees, see the </w:t>
      </w:r>
      <w:hyperlink r:id="rId13" w:history="1">
        <w:r w:rsidR="00852A7A" w:rsidRPr="0071159D">
          <w:rPr>
            <w:rStyle w:val="Hyperlink"/>
          </w:rPr>
          <w:t>resources online</w:t>
        </w:r>
      </w:hyperlink>
      <w:r w:rsidR="00852A7A" w:rsidRPr="0071159D">
        <w:t xml:space="preserve">.) </w:t>
      </w:r>
      <w:r w:rsidR="00C22BDA">
        <w:rPr>
          <w:b/>
          <w:bCs/>
        </w:rPr>
        <w:t>T</w:t>
      </w:r>
      <w:r w:rsidR="00852A7A" w:rsidRPr="00E938C9">
        <w:rPr>
          <w:b/>
          <w:bCs/>
        </w:rPr>
        <w:t>he Perkins application</w:t>
      </w:r>
      <w:r w:rsidR="00C22BDA">
        <w:rPr>
          <w:b/>
          <w:bCs/>
        </w:rPr>
        <w:t xml:space="preserve"> will</w:t>
      </w:r>
      <w:r w:rsidR="00852A7A" w:rsidRPr="00E938C9">
        <w:rPr>
          <w:b/>
          <w:bCs/>
        </w:rPr>
        <w:t xml:space="preserve"> ask about stakeholders involved in the local needs assessment.</w:t>
      </w:r>
      <w:r w:rsidR="00852A7A" w:rsidRPr="0071159D">
        <w:t xml:space="preserve"> </w:t>
      </w:r>
      <w:r w:rsidR="008C2CA4">
        <w:t>Building</w:t>
      </w:r>
      <w:r w:rsidR="002475F8">
        <w:t xml:space="preserve"> effective committees and relationships requires planning and time.</w:t>
      </w:r>
    </w:p>
    <w:p w14:paraId="4D9156A8" w14:textId="39CB1BBC" w:rsidR="00E736CE" w:rsidRDefault="00E736CE" w:rsidP="00852A7A">
      <w:pPr>
        <w:spacing w:after="0"/>
      </w:pPr>
      <w:r>
        <w:t>Other key stakeholders may include parents, students, school staff, MassHire Boards,</w:t>
      </w:r>
      <w:r w:rsidR="008A727F">
        <w:t xml:space="preserve"> </w:t>
      </w:r>
      <w:r w:rsidR="00666B39">
        <w:t>local and regional businesses and industries,</w:t>
      </w:r>
      <w:r>
        <w:t xml:space="preserve"> school district administrators, </w:t>
      </w:r>
      <w:r w:rsidR="006F2D7B">
        <w:t xml:space="preserve">postsecondary education leaders and institutions, </w:t>
      </w:r>
      <w:r>
        <w:t xml:space="preserve">school committees, </w:t>
      </w:r>
      <w:r w:rsidR="00666B39">
        <w:t xml:space="preserve">and representatives from organizations representing out-of-school, homeless, and/or </w:t>
      </w:r>
      <w:r w:rsidR="00E534CB">
        <w:t>at-risk youth</w:t>
      </w:r>
      <w:r>
        <w:t xml:space="preserve">. This list is neither exhaustive nor required. </w:t>
      </w:r>
      <w:r w:rsidR="001C2CF8">
        <w:t>Applicants</w:t>
      </w:r>
      <w:r w:rsidR="00E938C9">
        <w:t xml:space="preserve"> </w:t>
      </w:r>
      <w:r>
        <w:t>should strive to involve the ind</w:t>
      </w:r>
      <w:r w:rsidR="00AC1546">
        <w:t>ividuals and institutions that are most important locally.</w:t>
      </w:r>
    </w:p>
    <w:p w14:paraId="6B790952" w14:textId="1D677DD6" w:rsidR="008C2CA4" w:rsidRDefault="008C2CA4" w:rsidP="00852A7A">
      <w:pPr>
        <w:spacing w:after="0"/>
      </w:pPr>
    </w:p>
    <w:p w14:paraId="265335B6" w14:textId="3F074739" w:rsidR="008C2CA4" w:rsidRDefault="008C2CA4" w:rsidP="00852A7A">
      <w:pPr>
        <w:spacing w:after="0"/>
      </w:pPr>
      <w:r w:rsidRPr="000A678A">
        <w:rPr>
          <w:b/>
          <w:bCs/>
        </w:rPr>
        <w:t>Timeline</w:t>
      </w:r>
      <w:r w:rsidRPr="000A678A">
        <w:t xml:space="preserve">. </w:t>
      </w:r>
      <w:r w:rsidR="00D65CA4" w:rsidRPr="000A678A">
        <w:t xml:space="preserve">Since the </w:t>
      </w:r>
      <w:r w:rsidR="00CA67B5">
        <w:t xml:space="preserve">Perkins V </w:t>
      </w:r>
      <w:r w:rsidR="00D65CA4" w:rsidRPr="000A678A">
        <w:t xml:space="preserve">grant application references and reflects the results of an applicant’s CLNA, the CLNA must </w:t>
      </w:r>
      <w:r w:rsidR="00CA67B5">
        <w:t xml:space="preserve">necessarily </w:t>
      </w:r>
      <w:r w:rsidR="00D65CA4" w:rsidRPr="000A678A">
        <w:t>be completed prior to submission of a Perkins grant application.</w:t>
      </w:r>
      <w:r w:rsidR="00D65CA4">
        <w:t xml:space="preserve"> </w:t>
      </w:r>
      <w:r w:rsidR="000A678A" w:rsidRPr="000A678A">
        <w:t>Perkins Grant applications may be submitted as soon as applicants have been provided with an allocation amount</w:t>
      </w:r>
      <w:r w:rsidR="00F26204">
        <w:t>. The deadline for submissions is typically in late September. The actual deadline will be announced and posted annually</w:t>
      </w:r>
      <w:r w:rsidR="004602BA">
        <w:t xml:space="preserve"> on the DESE </w:t>
      </w:r>
      <w:hyperlink r:id="rId14" w:history="1">
        <w:r w:rsidR="004602BA" w:rsidRPr="004602BA">
          <w:rPr>
            <w:rStyle w:val="Hyperlink"/>
          </w:rPr>
          <w:t>Current Grants webpage</w:t>
        </w:r>
      </w:hyperlink>
      <w:r w:rsidR="004602BA">
        <w:t>. Look for grants FC400 (Secondary) and FC401 (Postsecondary).</w:t>
      </w:r>
    </w:p>
    <w:p w14:paraId="4E8EDC40" w14:textId="59A45119" w:rsidR="00B232FE" w:rsidRDefault="00B232FE" w:rsidP="00852A7A">
      <w:pPr>
        <w:spacing w:after="0"/>
      </w:pPr>
    </w:p>
    <w:p w14:paraId="0FC821B9" w14:textId="2F857F69" w:rsidR="00B232FE" w:rsidRPr="00E938C9" w:rsidRDefault="00B232FE" w:rsidP="00852A7A">
      <w:pPr>
        <w:spacing w:after="0"/>
        <w:rPr>
          <w:b/>
          <w:bCs/>
        </w:rPr>
      </w:pPr>
      <w:r w:rsidRPr="00E938C9">
        <w:rPr>
          <w:b/>
          <w:bCs/>
        </w:rPr>
        <w:t>Key points:</w:t>
      </w:r>
    </w:p>
    <w:p w14:paraId="2F75BE4E" w14:textId="0003D603" w:rsidR="00B232FE" w:rsidRDefault="00B232FE" w:rsidP="00E938C9">
      <w:pPr>
        <w:pStyle w:val="ListParagraph"/>
        <w:numPr>
          <w:ilvl w:val="0"/>
          <w:numId w:val="31"/>
        </w:numPr>
        <w:spacing w:after="0"/>
      </w:pPr>
      <w:r>
        <w:t>Program decision-making is data driven</w:t>
      </w:r>
    </w:p>
    <w:p w14:paraId="2E35F2CE" w14:textId="4A19DEBD" w:rsidR="00B232FE" w:rsidRDefault="00B232FE" w:rsidP="00E938C9">
      <w:pPr>
        <w:pStyle w:val="ListParagraph"/>
        <w:numPr>
          <w:ilvl w:val="0"/>
          <w:numId w:val="31"/>
        </w:numPr>
        <w:spacing w:after="0"/>
      </w:pPr>
      <w:r>
        <w:t>Perkins expenditures must align with identified needs, and must be tied to CLNA</w:t>
      </w:r>
    </w:p>
    <w:p w14:paraId="5D82E202" w14:textId="4F101D48" w:rsidR="00B232FE" w:rsidRDefault="00B232FE">
      <w:pPr>
        <w:pStyle w:val="ListParagraph"/>
        <w:numPr>
          <w:ilvl w:val="0"/>
          <w:numId w:val="31"/>
        </w:numPr>
        <w:spacing w:after="0"/>
      </w:pPr>
      <w:r>
        <w:t>Stakeholder involvement is crucial, and acquiring input requires planning and time</w:t>
      </w:r>
    </w:p>
    <w:p w14:paraId="384021D6" w14:textId="666EAAD1" w:rsidR="008C2CA4" w:rsidRPr="0071159D" w:rsidRDefault="008C2CA4" w:rsidP="00E938C9">
      <w:pPr>
        <w:pStyle w:val="ListParagraph"/>
        <w:numPr>
          <w:ilvl w:val="0"/>
          <w:numId w:val="31"/>
        </w:numPr>
        <w:spacing w:after="0"/>
      </w:pPr>
      <w:r>
        <w:t>The CLNA Guide will be used to complete the Perkins V application</w:t>
      </w:r>
    </w:p>
    <w:p w14:paraId="7B89B275" w14:textId="77777777" w:rsidR="00852A7A" w:rsidRPr="0071159D" w:rsidRDefault="00852A7A" w:rsidP="00852A7A">
      <w:pPr>
        <w:spacing w:after="0"/>
        <w:rPr>
          <w:b/>
        </w:rPr>
      </w:pPr>
    </w:p>
    <w:p w14:paraId="49860C8C" w14:textId="01CF833C" w:rsidR="00852A7A" w:rsidRPr="00F2693F" w:rsidRDefault="00852A7A" w:rsidP="00486CF2">
      <w:pPr>
        <w:pStyle w:val="Heading1"/>
        <w:spacing w:before="360" w:after="60"/>
        <w:rPr>
          <w:b/>
        </w:rPr>
      </w:pPr>
      <w:r w:rsidRPr="00F2693F">
        <w:rPr>
          <w:b/>
        </w:rPr>
        <w:t xml:space="preserve">Building on Ongoing Improvement Efforts </w:t>
      </w:r>
    </w:p>
    <w:p w14:paraId="369C3233" w14:textId="1D32C048" w:rsidR="00852A7A" w:rsidRDefault="00852A7A" w:rsidP="00852A7A">
      <w:pPr>
        <w:spacing w:after="0"/>
      </w:pPr>
      <w:r>
        <w:t xml:space="preserve">Many will find that completing a </w:t>
      </w:r>
      <w:r w:rsidR="00325CFE">
        <w:t>CLNA</w:t>
      </w:r>
      <w:r>
        <w:t xml:space="preserve"> builds on ongoing improvement efforts already in place</w:t>
      </w:r>
      <w:r w:rsidR="001E62F5">
        <w:t>;</w:t>
      </w:r>
      <w:r>
        <w:t xml:space="preserve"> for example</w:t>
      </w:r>
      <w:r w:rsidR="00CA67B5">
        <w:t>:</w:t>
      </w:r>
      <w:r>
        <w:t xml:space="preserve"> </w:t>
      </w:r>
      <w:r w:rsidRPr="00581B9D">
        <w:t>ESSA plans, district strategic plans,</w:t>
      </w:r>
      <w:r>
        <w:t xml:space="preserve"> </w:t>
      </w:r>
      <w:r w:rsidR="008C2CA4">
        <w:t xml:space="preserve">educational program plans, </w:t>
      </w:r>
      <w:r>
        <w:t xml:space="preserve">and others. It may also be that the assessment illuminates new areas, or areas that deserve renewed consideration and reflection. </w:t>
      </w:r>
    </w:p>
    <w:p w14:paraId="7878363A" w14:textId="77777777" w:rsidR="00852A7A" w:rsidRPr="00217E6E" w:rsidRDefault="00852A7A" w:rsidP="00496580">
      <w:pPr>
        <w:spacing w:after="0"/>
        <w:rPr>
          <w:rFonts w:asciiTheme="majorHAnsi" w:eastAsiaTheme="majorEastAsia" w:hAnsiTheme="majorHAnsi" w:cstheme="majorBidi"/>
          <w:b/>
          <w:color w:val="2E74B5" w:themeColor="accent1" w:themeShade="BF"/>
        </w:rPr>
      </w:pPr>
    </w:p>
    <w:p w14:paraId="67D4ABA3" w14:textId="77777777" w:rsidR="00F2693F" w:rsidRPr="00496580" w:rsidRDefault="00852A7A" w:rsidP="00486CF2">
      <w:pPr>
        <w:pStyle w:val="Heading1"/>
        <w:spacing w:before="360" w:after="60"/>
        <w:rPr>
          <w:b/>
        </w:rPr>
      </w:pPr>
      <w:r w:rsidRPr="00496580">
        <w:rPr>
          <w:b/>
        </w:rPr>
        <w:t xml:space="preserve">What’s Next? </w:t>
      </w:r>
    </w:p>
    <w:p w14:paraId="545FB8D9" w14:textId="154430F9" w:rsidR="00852A7A" w:rsidRPr="0071159D" w:rsidRDefault="00852A7A" w:rsidP="00852A7A">
      <w:pPr>
        <w:spacing w:after="0"/>
        <w:rPr>
          <w:b/>
        </w:rPr>
      </w:pPr>
      <w:r w:rsidRPr="0071159D">
        <w:t>Complete the CLNA using this Guide</w:t>
      </w:r>
      <w:r w:rsidR="00CA67B5">
        <w:t>. C</w:t>
      </w:r>
      <w:r w:rsidRPr="0071159D">
        <w:t>over the required sections and</w:t>
      </w:r>
      <w:r w:rsidR="003571A0">
        <w:t xml:space="preserve">, if it is helpful, </w:t>
      </w:r>
      <w:r w:rsidRPr="0071159D">
        <w:t xml:space="preserve">capture notes in the </w:t>
      </w:r>
      <w:hyperlink r:id="rId15" w:history="1">
        <w:r w:rsidR="00703D76" w:rsidRPr="003571A0">
          <w:rPr>
            <w:rStyle w:val="Hyperlink"/>
          </w:rPr>
          <w:t xml:space="preserve">CLNA </w:t>
        </w:r>
        <w:r w:rsidRPr="003571A0">
          <w:rPr>
            <w:rStyle w:val="Hyperlink"/>
          </w:rPr>
          <w:t>Worksheet</w:t>
        </w:r>
      </w:hyperlink>
      <w:r w:rsidR="001E62F5">
        <w:rPr>
          <w:rStyle w:val="Hyperlink"/>
        </w:rPr>
        <w:t>,</w:t>
      </w:r>
      <w:r w:rsidR="000D38CE">
        <w:t xml:space="preserve"> </w:t>
      </w:r>
      <w:r w:rsidRPr="0071159D">
        <w:t xml:space="preserve">consulting and engaging stakeholders </w:t>
      </w:r>
      <w:r w:rsidR="00CA67B5">
        <w:t>as appropriate for each section. The methods by which applicants consult and engage with stakeholders are left to your discretion. By</w:t>
      </w:r>
      <w:r w:rsidR="00253DE4">
        <w:t xml:space="preserve"> using this Guide you will cover,</w:t>
      </w:r>
      <w:r w:rsidRPr="00B415EA">
        <w:t xml:space="preserve"> </w:t>
      </w:r>
      <w:r w:rsidR="00253DE4">
        <w:t xml:space="preserve">in order, </w:t>
      </w:r>
      <w:r w:rsidRPr="00B415EA">
        <w:t xml:space="preserve">the elements </w:t>
      </w:r>
      <w:r w:rsidR="00253DE4">
        <w:t xml:space="preserve">required by the </w:t>
      </w:r>
      <w:hyperlink r:id="rId16" w:history="1">
        <w:r w:rsidR="00253DE4" w:rsidRPr="00262F9B">
          <w:rPr>
            <w:rStyle w:val="Hyperlink"/>
          </w:rPr>
          <w:t>Perkins V law</w:t>
        </w:r>
      </w:hyperlink>
      <w:r w:rsidR="00262F9B">
        <w:t xml:space="preserve"> (see REQUIREMENTS, p. 60)</w:t>
      </w:r>
      <w:r w:rsidR="00C41990">
        <w:t>.</w:t>
      </w:r>
    </w:p>
    <w:p w14:paraId="51D0ABB5" w14:textId="77777777" w:rsidR="00852A7A" w:rsidRPr="0071159D" w:rsidRDefault="00852A7A" w:rsidP="00852A7A">
      <w:pPr>
        <w:spacing w:after="0"/>
      </w:pPr>
    </w:p>
    <w:p w14:paraId="4D582136" w14:textId="13F05F78" w:rsidR="00852A7A" w:rsidRPr="0071159D" w:rsidRDefault="00852A7A" w:rsidP="00852A7A">
      <w:pPr>
        <w:spacing w:after="0"/>
      </w:pPr>
      <w:r w:rsidRPr="0071159D">
        <w:t>Once you have completed Parts I-VI</w:t>
      </w:r>
      <w:r w:rsidR="008C2CA4">
        <w:t xml:space="preserve"> of the CLNA Components section</w:t>
      </w:r>
      <w:r w:rsidRPr="0071159D">
        <w:t>, merge the analyses into one set of findings</w:t>
      </w:r>
      <w:r w:rsidR="008C2CA4">
        <w:t xml:space="preserve"> (see the last section, “Putting It All Together – the </w:t>
      </w:r>
      <w:r w:rsidR="00262F9B">
        <w:t>F</w:t>
      </w:r>
      <w:r w:rsidR="008C2CA4">
        <w:t>indings”)</w:t>
      </w:r>
      <w:r w:rsidRPr="0071159D">
        <w:t>. Using th</w:t>
      </w:r>
      <w:r w:rsidR="001C2CF8">
        <w:t>es</w:t>
      </w:r>
      <w:r w:rsidR="008C2CA4">
        <w:t>e findings</w:t>
      </w:r>
      <w:r w:rsidRPr="0071159D">
        <w:t xml:space="preserve">, engage stakeholders in </w:t>
      </w:r>
      <w:r w:rsidR="00262F9B">
        <w:t xml:space="preserve">creating a plan </w:t>
      </w:r>
      <w:r w:rsidR="00F74971">
        <w:t>that prioritizes the use of Perkins funding.</w:t>
      </w:r>
    </w:p>
    <w:p w14:paraId="48FEE205" w14:textId="77777777" w:rsidR="00852A7A" w:rsidRPr="0071159D" w:rsidRDefault="00852A7A" w:rsidP="00852A7A">
      <w:pPr>
        <w:spacing w:after="0"/>
      </w:pPr>
    </w:p>
    <w:p w14:paraId="7531A5A4" w14:textId="74177D12" w:rsidR="00852A7A" w:rsidRPr="0071159D" w:rsidRDefault="00852A7A" w:rsidP="00852A7A">
      <w:pPr>
        <w:spacing w:after="0"/>
      </w:pPr>
      <w:r w:rsidRPr="0071159D">
        <w:t xml:space="preserve">While compiling components to complete </w:t>
      </w:r>
      <w:r w:rsidR="0038385E">
        <w:t>your</w:t>
      </w:r>
      <w:r w:rsidR="0038385E" w:rsidRPr="0071159D">
        <w:t xml:space="preserve"> </w:t>
      </w:r>
      <w:r w:rsidRPr="0071159D">
        <w:t>CLNA may not take long,</w:t>
      </w:r>
      <w:r w:rsidRPr="00B415EA">
        <w:rPr>
          <w:b/>
        </w:rPr>
        <w:t xml:space="preserve"> engaging stakeholders</w:t>
      </w:r>
      <w:r w:rsidRPr="0071159D">
        <w:t xml:space="preserve"> in reviewing, discussing and prioritizing the components and making programmatic decisions will likely involve conversations over </w:t>
      </w:r>
      <w:r w:rsidR="0038385E">
        <w:t>weeks or</w:t>
      </w:r>
      <w:r w:rsidR="0038385E" w:rsidRPr="0071159D">
        <w:t xml:space="preserve"> </w:t>
      </w:r>
      <w:r w:rsidRPr="0071159D">
        <w:t>months</w:t>
      </w:r>
      <w:r w:rsidRPr="0038385E">
        <w:t>. Establish a plan that</w:t>
      </w:r>
      <w:r w:rsidRPr="0071159D">
        <w:t xml:space="preserve"> includes engaging partners, examining ongoing improvement efforts, and d</w:t>
      </w:r>
      <w:r w:rsidR="00EC0F15">
        <w:t>elving</w:t>
      </w:r>
      <w:r w:rsidRPr="0071159D">
        <w:t xml:space="preserve"> into historical data with an eye toward understanding root causes and changes. </w:t>
      </w:r>
    </w:p>
    <w:p w14:paraId="0CAC7DE4" w14:textId="77777777" w:rsidR="00852A7A" w:rsidRPr="0071159D" w:rsidRDefault="00852A7A" w:rsidP="00852A7A">
      <w:pPr>
        <w:spacing w:after="0" w:line="240" w:lineRule="auto"/>
        <w:rPr>
          <w:b/>
        </w:rPr>
      </w:pPr>
    </w:p>
    <w:p w14:paraId="50664A4D" w14:textId="24FF12ED" w:rsidR="00852A7A" w:rsidRPr="0071159D" w:rsidRDefault="00852A7A" w:rsidP="00852A7A">
      <w:pPr>
        <w:spacing w:after="0"/>
        <w:rPr>
          <w:u w:val="single"/>
        </w:rPr>
      </w:pPr>
      <w:r w:rsidRPr="0071159D">
        <w:t xml:space="preserve">As you complete the assessment, questions may arise. Refer to </w:t>
      </w:r>
      <w:r w:rsidR="00355334">
        <w:t>DESE’s online</w:t>
      </w:r>
      <w:r w:rsidR="00355334" w:rsidRPr="0071159D">
        <w:t xml:space="preserve"> </w:t>
      </w:r>
      <w:hyperlink r:id="rId17" w:history="1">
        <w:r w:rsidR="00355334">
          <w:rPr>
            <w:rStyle w:val="Hyperlink"/>
          </w:rPr>
          <w:t>Perkins V Resources</w:t>
        </w:r>
      </w:hyperlink>
      <w:r w:rsidRPr="0071159D">
        <w:t xml:space="preserve"> or</w:t>
      </w:r>
      <w:r w:rsidRPr="00B415EA">
        <w:t xml:space="preserve"> contact your </w:t>
      </w:r>
      <w:hyperlink r:id="rId18" w:history="1">
        <w:r w:rsidRPr="00B415EA">
          <w:rPr>
            <w:rStyle w:val="Hyperlink"/>
          </w:rPr>
          <w:t>liaison from the Office for College, Career, and Technical Education</w:t>
        </w:r>
      </w:hyperlink>
      <w:r w:rsidRPr="00B415EA">
        <w:t>.</w:t>
      </w:r>
    </w:p>
    <w:p w14:paraId="01C7DAA2" w14:textId="77777777" w:rsidR="00FA6512" w:rsidRDefault="004B09CD" w:rsidP="00486CF2">
      <w:pPr>
        <w:pStyle w:val="Heading1"/>
        <w:spacing w:before="360" w:after="60"/>
        <w:rPr>
          <w:b/>
        </w:rPr>
      </w:pPr>
      <w:r w:rsidRPr="004B09CD">
        <w:rPr>
          <w:b/>
        </w:rPr>
        <w:t>CLNA Components</w:t>
      </w:r>
    </w:p>
    <w:p w14:paraId="3B68C386" w14:textId="53E48B7B" w:rsidR="00A27F4A" w:rsidRPr="00FA6512" w:rsidRDefault="00993D43" w:rsidP="00486CF2">
      <w:pPr>
        <w:pStyle w:val="Heading2"/>
        <w:rPr>
          <w:b/>
        </w:rPr>
      </w:pPr>
      <w:r w:rsidRPr="00FA6512">
        <w:rPr>
          <w:b/>
        </w:rPr>
        <w:t>Part I: Performance on Core Indicators</w:t>
      </w:r>
    </w:p>
    <w:p w14:paraId="5479234B" w14:textId="7BC5697B" w:rsidR="0004179F" w:rsidRPr="00C41990" w:rsidRDefault="0004179F" w:rsidP="00486CF2">
      <w:pPr>
        <w:pStyle w:val="Heading3"/>
        <w:spacing w:after="120"/>
        <w:ind w:left="720"/>
        <w:rPr>
          <w:b/>
        </w:rPr>
      </w:pPr>
      <w:r w:rsidRPr="00C41990">
        <w:rPr>
          <w:b/>
        </w:rPr>
        <w:t xml:space="preserve">How are our students performing? What improvements can we make to ensure </w:t>
      </w:r>
      <w:r w:rsidR="00B1329E" w:rsidRPr="00C41990">
        <w:rPr>
          <w:b/>
        </w:rPr>
        <w:t>we support all students</w:t>
      </w:r>
      <w:r w:rsidRPr="00C41990">
        <w:rPr>
          <w:b/>
        </w:rPr>
        <w:t>?</w:t>
      </w:r>
    </w:p>
    <w:p w14:paraId="08DEF735" w14:textId="0D79A8AD" w:rsidR="00036AD9" w:rsidRPr="00581B9D" w:rsidRDefault="00993D43" w:rsidP="005660B2">
      <w:pPr>
        <w:spacing w:line="240" w:lineRule="auto"/>
      </w:pPr>
      <w:r w:rsidRPr="00581B9D">
        <w:t xml:space="preserve">The Strengthening Career and Technical Education for the 21st Century Act (Perkins V) </w:t>
      </w:r>
      <w:r w:rsidR="00DF7551">
        <w:t>asks all</w:t>
      </w:r>
      <w:r w:rsidR="00036AD9" w:rsidRPr="00581B9D">
        <w:t xml:space="preserve"> </w:t>
      </w:r>
      <w:r w:rsidR="001C2CF8">
        <w:t>applicants</w:t>
      </w:r>
      <w:r w:rsidR="00036AD9" w:rsidRPr="00581B9D">
        <w:t xml:space="preserve"> to collect, report, and analyze student outcome data to inform program improvements </w:t>
      </w:r>
      <w:r w:rsidR="00DF7551">
        <w:t>that</w:t>
      </w:r>
      <w:r w:rsidR="00DF7551" w:rsidRPr="00581B9D">
        <w:t xml:space="preserve"> </w:t>
      </w:r>
      <w:r w:rsidR="00036AD9" w:rsidRPr="00581B9D">
        <w:t>benefit students.</w:t>
      </w:r>
    </w:p>
    <w:p w14:paraId="6CBE67D2" w14:textId="1AEBA440" w:rsidR="0083269E" w:rsidRDefault="00036AD9" w:rsidP="005660B2">
      <w:pPr>
        <w:spacing w:line="240" w:lineRule="auto"/>
      </w:pPr>
      <w:r w:rsidRPr="00581B9D">
        <w:t xml:space="preserve">In this section, </w:t>
      </w:r>
      <w:r w:rsidR="001C2CF8">
        <w:t>applicants</w:t>
      </w:r>
      <w:r w:rsidRPr="00581B9D">
        <w:t>, using core indicator</w:t>
      </w:r>
      <w:r w:rsidR="00080FC9" w:rsidRPr="00581B9D">
        <w:t>s</w:t>
      </w:r>
      <w:r w:rsidR="008B2A48">
        <w:t xml:space="preserve">, </w:t>
      </w:r>
      <w:r w:rsidR="0083269E" w:rsidRPr="00581B9D">
        <w:t>determine overall progress in achieving targets</w:t>
      </w:r>
      <w:r w:rsidR="00080FC9" w:rsidRPr="00581B9D">
        <w:t>,</w:t>
      </w:r>
      <w:r w:rsidR="0083269E" w:rsidRPr="00581B9D">
        <w:t xml:space="preserve"> progress for subpopulations of students</w:t>
      </w:r>
      <w:r w:rsidR="00080FC9" w:rsidRPr="00581B9D">
        <w:t>,</w:t>
      </w:r>
      <w:r w:rsidR="0083269E" w:rsidRPr="00581B9D">
        <w:t xml:space="preserve"> and progress by specific CTE program.</w:t>
      </w:r>
    </w:p>
    <w:p w14:paraId="5FA1CCA3" w14:textId="11564491" w:rsidR="00036AD9" w:rsidRPr="00384368" w:rsidRDefault="00080FC9" w:rsidP="00486CF2">
      <w:pPr>
        <w:pStyle w:val="Heading4"/>
      </w:pPr>
      <w:r w:rsidRPr="00384368">
        <w:lastRenderedPageBreak/>
        <w:t>C</w:t>
      </w:r>
      <w:r w:rsidR="0083269E" w:rsidRPr="00384368">
        <w:t xml:space="preserve">omparisons </w:t>
      </w:r>
      <w:r w:rsidRPr="00384368">
        <w:t xml:space="preserve">can </w:t>
      </w:r>
      <w:r w:rsidR="0083269E" w:rsidRPr="00384368">
        <w:t>include</w:t>
      </w:r>
      <w:r w:rsidRPr="00384368">
        <w:t>:</w:t>
      </w:r>
      <w:r w:rsidR="00036AD9" w:rsidRPr="00384368">
        <w:t xml:space="preserve"> </w:t>
      </w:r>
    </w:p>
    <w:p w14:paraId="4007C7E5" w14:textId="461991FD" w:rsidR="00630963" w:rsidRPr="00931DE5" w:rsidRDefault="007E0A5C" w:rsidP="005660B2">
      <w:pPr>
        <w:numPr>
          <w:ilvl w:val="1"/>
          <w:numId w:val="4"/>
        </w:numPr>
        <w:tabs>
          <w:tab w:val="num" w:pos="1080"/>
        </w:tabs>
        <w:spacing w:after="0" w:line="240" w:lineRule="auto"/>
        <w:ind w:left="540" w:hanging="270"/>
      </w:pPr>
      <w:r w:rsidRPr="00931DE5">
        <w:t>Members of special populations</w:t>
      </w:r>
      <w:r w:rsidR="0090281B">
        <w:rPr>
          <w:rStyle w:val="FootnoteReference"/>
        </w:rPr>
        <w:footnoteReference w:id="1"/>
      </w:r>
      <w:r w:rsidRPr="00931DE5">
        <w:t xml:space="preserve"> vs. </w:t>
      </w:r>
      <w:r w:rsidR="00931DE5">
        <w:t xml:space="preserve">non-member students or </w:t>
      </w:r>
      <w:r w:rsidR="00080FC9" w:rsidRPr="00931DE5">
        <w:t>all students</w:t>
      </w:r>
      <w:r w:rsidR="0083269E" w:rsidRPr="00931DE5">
        <w:t>;</w:t>
      </w:r>
    </w:p>
    <w:p w14:paraId="058C6301" w14:textId="7E2B1D4A" w:rsidR="00630963" w:rsidRPr="00C52F7D" w:rsidRDefault="007E0A5C" w:rsidP="005660B2">
      <w:pPr>
        <w:numPr>
          <w:ilvl w:val="1"/>
          <w:numId w:val="4"/>
        </w:numPr>
        <w:tabs>
          <w:tab w:val="num" w:pos="1080"/>
        </w:tabs>
        <w:spacing w:after="0" w:line="240" w:lineRule="auto"/>
        <w:ind w:left="540" w:hanging="270"/>
      </w:pPr>
      <w:r w:rsidRPr="00D842C6">
        <w:t>Comparisons by gender, race</w:t>
      </w:r>
      <w:r w:rsidR="00080FC9" w:rsidRPr="00D842C6">
        <w:t>/</w:t>
      </w:r>
      <w:r w:rsidRPr="00E432B5">
        <w:t>ethnicity</w:t>
      </w:r>
      <w:r w:rsidR="0083269E" w:rsidRPr="00C52F7D">
        <w:t>; and</w:t>
      </w:r>
    </w:p>
    <w:p w14:paraId="75BEC36D" w14:textId="3DC7DDD1" w:rsidR="0083269E" w:rsidRPr="00F30BB2" w:rsidRDefault="0083269E" w:rsidP="005660B2">
      <w:pPr>
        <w:numPr>
          <w:ilvl w:val="1"/>
          <w:numId w:val="4"/>
        </w:numPr>
        <w:tabs>
          <w:tab w:val="num" w:pos="1080"/>
        </w:tabs>
        <w:spacing w:after="0" w:line="240" w:lineRule="auto"/>
        <w:ind w:left="540" w:hanging="270"/>
      </w:pPr>
      <w:r w:rsidRPr="00403BA8">
        <w:t>Comparisons across the CTE programs offered</w:t>
      </w:r>
      <w:r w:rsidR="00F30BB2">
        <w:t>.</w:t>
      </w:r>
    </w:p>
    <w:p w14:paraId="20EA97D1" w14:textId="4C68D80C" w:rsidR="00A926D4" w:rsidRPr="00A926D4" w:rsidRDefault="00A926D4" w:rsidP="00486CF2">
      <w:pPr>
        <w:pStyle w:val="Heading4"/>
      </w:pPr>
      <w:r w:rsidRPr="00A926D4">
        <w:t>Your institution’s analysis should attempt to answer the following questions:</w:t>
      </w:r>
    </w:p>
    <w:p w14:paraId="11F81FC4" w14:textId="77ABB39E" w:rsidR="00E50970" w:rsidRDefault="00E50970" w:rsidP="005660B2">
      <w:pPr>
        <w:numPr>
          <w:ilvl w:val="1"/>
          <w:numId w:val="4"/>
        </w:numPr>
        <w:spacing w:after="0" w:line="240" w:lineRule="auto"/>
        <w:ind w:left="540" w:hanging="270"/>
      </w:pPr>
      <w:r>
        <w:t xml:space="preserve">When looking at </w:t>
      </w:r>
      <w:r w:rsidRPr="00E938C9">
        <w:rPr>
          <w:i/>
          <w:iCs/>
        </w:rPr>
        <w:t>all</w:t>
      </w:r>
      <w:r>
        <w:t xml:space="preserve"> students, for which indicator(s) does our school meet/exceed targets, and for which indicator(s) does our school not meet targets? </w:t>
      </w:r>
    </w:p>
    <w:p w14:paraId="2DD310DC" w14:textId="38210C50" w:rsidR="00E50970" w:rsidRDefault="00E50970" w:rsidP="002E38FB">
      <w:pPr>
        <w:numPr>
          <w:ilvl w:val="1"/>
          <w:numId w:val="4"/>
        </w:numPr>
        <w:spacing w:after="0" w:line="240" w:lineRule="auto"/>
        <w:ind w:left="540" w:hanging="270"/>
      </w:pPr>
      <w:r>
        <w:t>When looking at student population groups, for which indicators(s) does our school meet/exceed targets, and for which indicator(s) does our school not meet targets?</w:t>
      </w:r>
    </w:p>
    <w:p w14:paraId="1CEB1361" w14:textId="169E584C" w:rsidR="00630963" w:rsidRPr="00D842C6" w:rsidRDefault="0083269E" w:rsidP="005660B2">
      <w:pPr>
        <w:numPr>
          <w:ilvl w:val="1"/>
          <w:numId w:val="4"/>
        </w:numPr>
        <w:spacing w:after="0" w:line="240" w:lineRule="auto"/>
        <w:ind w:left="540" w:hanging="270"/>
      </w:pPr>
      <w:r w:rsidRPr="00931DE5">
        <w:t>For each indicator, w</w:t>
      </w:r>
      <w:r w:rsidR="007E0A5C" w:rsidRPr="00931DE5">
        <w:t xml:space="preserve">here </w:t>
      </w:r>
      <w:r w:rsidR="00E50970">
        <w:t xml:space="preserve">are </w:t>
      </w:r>
      <w:r w:rsidR="007E0A5C" w:rsidRPr="00931DE5">
        <w:t xml:space="preserve">the biggest performance </w:t>
      </w:r>
      <w:r w:rsidRPr="00931DE5">
        <w:t>gaps (overall, by program, and by subpopulation)?</w:t>
      </w:r>
    </w:p>
    <w:p w14:paraId="01532212" w14:textId="77777777" w:rsidR="00630963" w:rsidRPr="00403BA8" w:rsidRDefault="007E0A5C" w:rsidP="005660B2">
      <w:pPr>
        <w:numPr>
          <w:ilvl w:val="1"/>
          <w:numId w:val="4"/>
        </w:numPr>
        <w:spacing w:after="0" w:line="240" w:lineRule="auto"/>
        <w:ind w:left="540" w:hanging="270"/>
      </w:pPr>
      <w:r w:rsidRPr="00403BA8">
        <w:t>Which programs show the highest outcomes</w:t>
      </w:r>
      <w:r w:rsidR="0083269E" w:rsidRPr="00403BA8">
        <w:t>, overall and by subpopulation</w:t>
      </w:r>
      <w:r w:rsidRPr="00403BA8">
        <w:t xml:space="preserve">? Which show the lowest? </w:t>
      </w:r>
    </w:p>
    <w:p w14:paraId="1AC06FB3" w14:textId="39173E2C" w:rsidR="00E50970" w:rsidRDefault="00F30BB2" w:rsidP="005E0874">
      <w:pPr>
        <w:numPr>
          <w:ilvl w:val="1"/>
          <w:numId w:val="4"/>
        </w:numPr>
        <w:spacing w:after="0" w:line="240" w:lineRule="auto"/>
        <w:ind w:left="540" w:hanging="270"/>
      </w:pPr>
      <w:r>
        <w:t xml:space="preserve">Thinking expansively and considering </w:t>
      </w:r>
      <w:r w:rsidRPr="00D30DE1">
        <w:rPr>
          <w:i/>
        </w:rPr>
        <w:t xml:space="preserve">all that is within </w:t>
      </w:r>
      <w:r w:rsidR="003A2EF1">
        <w:rPr>
          <w:i/>
        </w:rPr>
        <w:t>our</w:t>
      </w:r>
      <w:r w:rsidRPr="00D30DE1">
        <w:rPr>
          <w:i/>
        </w:rPr>
        <w:t xml:space="preserve"> school’s control</w:t>
      </w:r>
      <w:r>
        <w:t>, w</w:t>
      </w:r>
      <w:r w:rsidR="007E0A5C" w:rsidRPr="00E50970">
        <w:t xml:space="preserve">hat potential root causes </w:t>
      </w:r>
      <w:r w:rsidR="00E50970">
        <w:t xml:space="preserve">may </w:t>
      </w:r>
      <w:r w:rsidR="007E0A5C" w:rsidRPr="00E50970">
        <w:t xml:space="preserve">explain </w:t>
      </w:r>
      <w:r w:rsidR="0029574F" w:rsidRPr="00E50970">
        <w:t xml:space="preserve">differences </w:t>
      </w:r>
      <w:r w:rsidR="007E0A5C" w:rsidRPr="00E50970">
        <w:t>in outcomes within and across programs?</w:t>
      </w:r>
      <w:r w:rsidR="00D73A2B" w:rsidRPr="00E50970">
        <w:t xml:space="preserve"> </w:t>
      </w:r>
      <w:r w:rsidR="005E0874" w:rsidRPr="00E50970">
        <w:t xml:space="preserve">Which of </w:t>
      </w:r>
      <w:r w:rsidR="00E50970">
        <w:t xml:space="preserve">the </w:t>
      </w:r>
      <w:r w:rsidR="005E0874" w:rsidRPr="00E50970">
        <w:t xml:space="preserve">possible root causes are within </w:t>
      </w:r>
      <w:r w:rsidR="003A2EF1">
        <w:t>our</w:t>
      </w:r>
      <w:r w:rsidR="00E50970">
        <w:t xml:space="preserve"> school’s </w:t>
      </w:r>
      <w:r w:rsidR="005E0874" w:rsidRPr="00E50970">
        <w:t xml:space="preserve">collective ability to influence </w:t>
      </w:r>
      <w:r>
        <w:t>and</w:t>
      </w:r>
      <w:r w:rsidR="005E0874" w:rsidRPr="00E50970">
        <w:t xml:space="preserve"> change? </w:t>
      </w:r>
    </w:p>
    <w:p w14:paraId="406F341E" w14:textId="20C11B88" w:rsidR="005E0874" w:rsidRPr="00E50970" w:rsidRDefault="00D73A2B" w:rsidP="005E0874">
      <w:pPr>
        <w:numPr>
          <w:ilvl w:val="1"/>
          <w:numId w:val="4"/>
        </w:numPr>
        <w:spacing w:after="0" w:line="240" w:lineRule="auto"/>
        <w:ind w:left="540" w:hanging="270"/>
      </w:pPr>
      <w:r w:rsidRPr="00E50970">
        <w:t>In what ways are these potential root causes similar across indicators, programs, and/or subpopulations? In what ways are potential root causes specific to indicators, programs, and/or subpopulations?</w:t>
      </w:r>
      <w:r w:rsidR="007E0A5C" w:rsidRPr="00E50970">
        <w:t xml:space="preserve"> </w:t>
      </w:r>
    </w:p>
    <w:p w14:paraId="12DE2204" w14:textId="40C2624C" w:rsidR="00500602" w:rsidRPr="00E52DA3" w:rsidRDefault="00500602" w:rsidP="00486CF2">
      <w:pPr>
        <w:pStyle w:val="Heading4"/>
      </w:pPr>
      <w:r w:rsidRPr="00E52DA3">
        <w:t>Resources</w:t>
      </w:r>
    </w:p>
    <w:p w14:paraId="7581AAA0" w14:textId="03611FC6" w:rsidR="00993D43" w:rsidRPr="00931DE5" w:rsidRDefault="00734105" w:rsidP="005660B2">
      <w:pPr>
        <w:pStyle w:val="ListParagraph"/>
        <w:numPr>
          <w:ilvl w:val="0"/>
          <w:numId w:val="22"/>
        </w:numPr>
        <w:spacing w:line="240" w:lineRule="auto"/>
      </w:pPr>
      <w:hyperlink r:id="rId19" w:history="1">
        <w:r w:rsidR="00993D43" w:rsidRPr="00931DE5">
          <w:rPr>
            <w:rStyle w:val="Hyperlink"/>
          </w:rPr>
          <w:t>Guide: Using Performance Outcomes to Improve CVTE Programs for Students</w:t>
        </w:r>
      </w:hyperlink>
      <w:r w:rsidR="00993D43" w:rsidRPr="00931DE5">
        <w:t xml:space="preserve"> </w:t>
      </w:r>
    </w:p>
    <w:p w14:paraId="37865C09" w14:textId="77777777" w:rsidR="00F26204" w:rsidRPr="00F26204" w:rsidRDefault="00E939C1" w:rsidP="0004757B">
      <w:pPr>
        <w:pStyle w:val="ListParagraph"/>
        <w:numPr>
          <w:ilvl w:val="0"/>
          <w:numId w:val="22"/>
        </w:numPr>
        <w:spacing w:line="240" w:lineRule="auto"/>
      </w:pPr>
      <w:bookmarkStart w:id="2" w:name="_Hlk37059296"/>
      <w:r w:rsidRPr="00E939C1">
        <w:t>Perkins</w:t>
      </w:r>
      <w:r w:rsidR="00993D43" w:rsidRPr="00581B9D">
        <w:t xml:space="preserve"> </w:t>
      </w:r>
      <w:r w:rsidR="00914784" w:rsidRPr="00581B9D">
        <w:t>Core Indicator R</w:t>
      </w:r>
      <w:r w:rsidR="00500602" w:rsidRPr="00581B9D">
        <w:t xml:space="preserve">eports  </w:t>
      </w:r>
      <w:bookmarkEnd w:id="2"/>
      <w:r w:rsidR="00F26204">
        <w:rPr>
          <w:rFonts w:eastAsia="Times New Roman"/>
        </w:rPr>
        <w:t xml:space="preserve">[See </w:t>
      </w:r>
      <w:hyperlink r:id="rId20" w:history="1">
        <w:r w:rsidR="00F26204">
          <w:rPr>
            <w:rStyle w:val="Hyperlink"/>
            <w:rFonts w:eastAsia="Times New Roman"/>
          </w:rPr>
          <w:t>Guide: Using Performance Outcomes to Improve CVTE Programming for Students</w:t>
        </w:r>
      </w:hyperlink>
      <w:r w:rsidR="00F26204">
        <w:rPr>
          <w:rFonts w:eastAsia="Times New Roman"/>
        </w:rPr>
        <w:t xml:space="preserve"> for details on using CVTE Reports, and DESE’s </w:t>
      </w:r>
      <w:hyperlink r:id="rId21" w:history="1">
        <w:r w:rsidR="00F26204">
          <w:rPr>
            <w:rStyle w:val="Hyperlink"/>
            <w:rFonts w:eastAsia="Times New Roman"/>
          </w:rPr>
          <w:t>Perkins V</w:t>
        </w:r>
      </w:hyperlink>
      <w:r w:rsidR="00F26204">
        <w:rPr>
          <w:rFonts w:eastAsia="Times New Roman"/>
        </w:rPr>
        <w:t xml:space="preserve"> webpage for more on Perkins V Core Indicators.]  </w:t>
      </w:r>
    </w:p>
    <w:p w14:paraId="13234B2A" w14:textId="40F2A3E5" w:rsidR="00993D43" w:rsidRPr="00931DE5" w:rsidRDefault="00734105" w:rsidP="0004757B">
      <w:pPr>
        <w:pStyle w:val="ListParagraph"/>
        <w:numPr>
          <w:ilvl w:val="0"/>
          <w:numId w:val="22"/>
        </w:numPr>
        <w:spacing w:line="240" w:lineRule="auto"/>
      </w:pPr>
      <w:hyperlink r:id="rId22" w:history="1">
        <w:r w:rsidR="00993D43" w:rsidRPr="00931DE5">
          <w:rPr>
            <w:rStyle w:val="Hyperlink"/>
          </w:rPr>
          <w:t>Planning for Success Root Cause Analysis</w:t>
        </w:r>
      </w:hyperlink>
      <w:r w:rsidR="00C032EA">
        <w:rPr>
          <w:rStyle w:val="Hyperlink"/>
        </w:rPr>
        <w:t xml:space="preserve"> </w:t>
      </w:r>
    </w:p>
    <w:p w14:paraId="1920D960" w14:textId="0CB7CA10" w:rsidR="00630963" w:rsidRPr="00217E6E" w:rsidRDefault="003905C2" w:rsidP="00486CF2">
      <w:pPr>
        <w:pStyle w:val="Heading2"/>
        <w:spacing w:before="240"/>
        <w:rPr>
          <w:b/>
        </w:rPr>
      </w:pPr>
      <w:r w:rsidRPr="00217E6E">
        <w:rPr>
          <w:b/>
        </w:rPr>
        <w:t>Part II: Alignment to Labor Market N</w:t>
      </w:r>
      <w:r w:rsidR="007E0A5C" w:rsidRPr="00217E6E">
        <w:rPr>
          <w:b/>
        </w:rPr>
        <w:t>eeds</w:t>
      </w:r>
    </w:p>
    <w:p w14:paraId="1C4007AD" w14:textId="17A4A0EF" w:rsidR="0029574F" w:rsidRPr="00C41990" w:rsidRDefault="0029574F" w:rsidP="00486CF2">
      <w:pPr>
        <w:pStyle w:val="Heading3"/>
        <w:spacing w:after="120"/>
        <w:ind w:left="720"/>
        <w:rPr>
          <w:b/>
        </w:rPr>
      </w:pPr>
      <w:r w:rsidRPr="00C41990">
        <w:rPr>
          <w:b/>
        </w:rPr>
        <w:t>How well are our programs aligned with state, regional, and lo</w:t>
      </w:r>
      <w:r w:rsidR="0004179F" w:rsidRPr="00C41990">
        <w:rPr>
          <w:b/>
        </w:rPr>
        <w:t xml:space="preserve">cal workforce and career needs?  </w:t>
      </w:r>
      <w:r w:rsidR="00576E3E" w:rsidRPr="00C41990">
        <w:rPr>
          <w:b/>
        </w:rPr>
        <w:t xml:space="preserve">What </w:t>
      </w:r>
      <w:r w:rsidRPr="00C41990">
        <w:rPr>
          <w:b/>
        </w:rPr>
        <w:t>programming c</w:t>
      </w:r>
      <w:r w:rsidR="0004179F" w:rsidRPr="00C41990">
        <w:rPr>
          <w:b/>
        </w:rPr>
        <w:t xml:space="preserve">hanges </w:t>
      </w:r>
      <w:r w:rsidR="00576E3E" w:rsidRPr="00C41990">
        <w:rPr>
          <w:b/>
        </w:rPr>
        <w:t xml:space="preserve">might </w:t>
      </w:r>
      <w:r w:rsidR="0004179F" w:rsidRPr="00C41990">
        <w:rPr>
          <w:b/>
        </w:rPr>
        <w:t>we consider</w:t>
      </w:r>
      <w:r w:rsidR="00576E3E" w:rsidRPr="00C41990">
        <w:rPr>
          <w:b/>
        </w:rPr>
        <w:t xml:space="preserve"> for closer alignment</w:t>
      </w:r>
      <w:r w:rsidR="0004179F" w:rsidRPr="00C41990">
        <w:rPr>
          <w:b/>
        </w:rPr>
        <w:t>?</w:t>
      </w:r>
    </w:p>
    <w:p w14:paraId="5F734A23" w14:textId="442619B8" w:rsidR="00A27F4A" w:rsidRDefault="00A27F4A" w:rsidP="005660B2">
      <w:pPr>
        <w:spacing w:line="240" w:lineRule="auto"/>
      </w:pPr>
      <w:r w:rsidRPr="00581B9D">
        <w:t xml:space="preserve">Perkins V </w:t>
      </w:r>
      <w:r w:rsidR="00DF7551">
        <w:t>emphasizes</w:t>
      </w:r>
      <w:r w:rsidR="00DF7551" w:rsidRPr="00581B9D">
        <w:t xml:space="preserve"> </w:t>
      </w:r>
      <w:r w:rsidRPr="00581B9D">
        <w:t xml:space="preserve">alignment between local and regional workforce needs and the CTE programs to meet those needs. School districts and postsecondary institutions are expected to make </w:t>
      </w:r>
      <w:r w:rsidR="009B753D" w:rsidRPr="00581B9D">
        <w:t xml:space="preserve">programmatic </w:t>
      </w:r>
      <w:r w:rsidRPr="00581B9D">
        <w:t xml:space="preserve">decisions grounded </w:t>
      </w:r>
      <w:r w:rsidR="002125B6" w:rsidRPr="00581B9D">
        <w:t xml:space="preserve">in </w:t>
      </w:r>
      <w:r w:rsidRPr="00581B9D">
        <w:t xml:space="preserve">an analysis of local and regional needs. </w:t>
      </w:r>
      <w:r w:rsidR="00993D43" w:rsidRPr="00581B9D">
        <w:t>Through a</w:t>
      </w:r>
      <w:r w:rsidRPr="00581B9D">
        <w:t>nalysis and regional consultation</w:t>
      </w:r>
      <w:r w:rsidR="00993D43" w:rsidRPr="00581B9D">
        <w:t xml:space="preserve">, </w:t>
      </w:r>
      <w:r w:rsidR="001C2CF8">
        <w:t>applicants</w:t>
      </w:r>
      <w:r w:rsidRPr="00581B9D">
        <w:t xml:space="preserve"> </w:t>
      </w:r>
      <w:r w:rsidR="00993D43" w:rsidRPr="00581B9D">
        <w:t xml:space="preserve">can </w:t>
      </w:r>
      <w:r w:rsidRPr="00581B9D">
        <w:t xml:space="preserve">determine </w:t>
      </w:r>
      <w:r w:rsidR="00993D43" w:rsidRPr="00581B9D">
        <w:t xml:space="preserve">whether </w:t>
      </w:r>
      <w:r w:rsidRPr="00581B9D">
        <w:t xml:space="preserve">programs should be </w:t>
      </w:r>
      <w:r w:rsidR="00EC0F15">
        <w:t xml:space="preserve">expanded, </w:t>
      </w:r>
      <w:r w:rsidRPr="00581B9D">
        <w:t>added</w:t>
      </w:r>
      <w:r w:rsidR="004602BA">
        <w:t>,</w:t>
      </w:r>
      <w:r w:rsidRPr="00581B9D">
        <w:t xml:space="preserve"> </w:t>
      </w:r>
      <w:r w:rsidR="009B753D" w:rsidRPr="00581B9D">
        <w:t xml:space="preserve">or phased out. </w:t>
      </w:r>
    </w:p>
    <w:p w14:paraId="15FEBD1F" w14:textId="77777777" w:rsidR="00A926D4" w:rsidRPr="00A926D4" w:rsidRDefault="00A926D4" w:rsidP="00486CF2">
      <w:pPr>
        <w:pStyle w:val="Heading4"/>
      </w:pPr>
      <w:r w:rsidRPr="00A926D4">
        <w:t>Your institution’s analysis should attempt to answer the following questions:</w:t>
      </w:r>
    </w:p>
    <w:p w14:paraId="66C7BB9B" w14:textId="27905E5C" w:rsidR="00630963" w:rsidRPr="00E50970" w:rsidRDefault="007E0A5C" w:rsidP="003A2EF1">
      <w:pPr>
        <w:numPr>
          <w:ilvl w:val="1"/>
          <w:numId w:val="7"/>
        </w:numPr>
        <w:tabs>
          <w:tab w:val="clear" w:pos="1440"/>
          <w:tab w:val="num" w:pos="1170"/>
        </w:tabs>
        <w:spacing w:after="0" w:line="240" w:lineRule="auto"/>
        <w:ind w:left="630"/>
      </w:pPr>
      <w:r w:rsidRPr="00931DE5">
        <w:t xml:space="preserve">What industries and occupations are expected to grow most in </w:t>
      </w:r>
      <w:r w:rsidR="003E67C1" w:rsidRPr="00931DE5">
        <w:t>our</w:t>
      </w:r>
      <w:r w:rsidRPr="00931DE5">
        <w:t xml:space="preserve"> local region? </w:t>
      </w:r>
      <w:r w:rsidR="003A2EF1">
        <w:t xml:space="preserve"> [</w:t>
      </w:r>
      <w:r w:rsidRPr="00931DE5">
        <w:t xml:space="preserve">“Local region” </w:t>
      </w:r>
      <w:r w:rsidRPr="00E50970">
        <w:t>is the area represented by a local MassHire Workforce Board</w:t>
      </w:r>
      <w:r w:rsidR="00576E3E">
        <w:t>,</w:t>
      </w:r>
      <w:r w:rsidRPr="00E50970">
        <w:t xml:space="preserve"> or two or more MassHire Board catchment areas.</w:t>
      </w:r>
      <w:r w:rsidR="003A2EF1">
        <w:t>]</w:t>
      </w:r>
    </w:p>
    <w:p w14:paraId="17752924" w14:textId="57F0E7D1" w:rsidR="00630963" w:rsidRPr="00576E3E" w:rsidRDefault="007E0A5C" w:rsidP="005660B2">
      <w:pPr>
        <w:numPr>
          <w:ilvl w:val="1"/>
          <w:numId w:val="7"/>
        </w:numPr>
        <w:tabs>
          <w:tab w:val="clear" w:pos="1440"/>
          <w:tab w:val="num" w:pos="1170"/>
        </w:tabs>
        <w:spacing w:after="0" w:line="240" w:lineRule="auto"/>
        <w:ind w:left="630"/>
      </w:pPr>
      <w:r w:rsidRPr="00576E3E">
        <w:lastRenderedPageBreak/>
        <w:t>Regionally,</w:t>
      </w:r>
      <w:r w:rsidR="003A2EF1">
        <w:t xml:space="preserve"> to what </w:t>
      </w:r>
      <w:r w:rsidR="00394995">
        <w:t>extent</w:t>
      </w:r>
      <w:r w:rsidRPr="00576E3E">
        <w:t xml:space="preserve"> is there a need for </w:t>
      </w:r>
      <w:r w:rsidR="00EC0F15">
        <w:t xml:space="preserve">new or expanded </w:t>
      </w:r>
      <w:r w:rsidRPr="00576E3E">
        <w:t>C</w:t>
      </w:r>
      <w:r w:rsidR="003A2EF1">
        <w:t xml:space="preserve">TE programming to meet existing </w:t>
      </w:r>
      <w:r w:rsidRPr="00576E3E">
        <w:t>industry/</w:t>
      </w:r>
      <w:r w:rsidR="003A2EF1">
        <w:t xml:space="preserve"> </w:t>
      </w:r>
      <w:r w:rsidRPr="00576E3E">
        <w:t xml:space="preserve">occupational demand that </w:t>
      </w:r>
      <w:r w:rsidR="003E67C1" w:rsidRPr="00576E3E">
        <w:t>our</w:t>
      </w:r>
      <w:r w:rsidR="003A2EF1">
        <w:t xml:space="preserve"> school</w:t>
      </w:r>
      <w:r w:rsidRPr="00576E3E">
        <w:t xml:space="preserve"> might consider addressing?</w:t>
      </w:r>
    </w:p>
    <w:p w14:paraId="04B7F8EA" w14:textId="01DC7B15" w:rsidR="00630963" w:rsidRPr="00D842C6" w:rsidRDefault="007E0A5C" w:rsidP="005660B2">
      <w:pPr>
        <w:numPr>
          <w:ilvl w:val="1"/>
          <w:numId w:val="7"/>
        </w:numPr>
        <w:tabs>
          <w:tab w:val="clear" w:pos="1440"/>
          <w:tab w:val="num" w:pos="1170"/>
        </w:tabs>
        <w:spacing w:after="0" w:line="240" w:lineRule="auto"/>
        <w:ind w:left="630"/>
      </w:pPr>
      <w:r w:rsidRPr="00576E3E">
        <w:t xml:space="preserve">Does </w:t>
      </w:r>
      <w:r w:rsidR="003A2EF1">
        <w:t>our school</w:t>
      </w:r>
      <w:r w:rsidRPr="00576E3E">
        <w:t xml:space="preserve"> offer CTE programs aligned with industries and/or occupations with weak or non-existent demand?</w:t>
      </w:r>
      <w:r w:rsidR="003A2EF1">
        <w:t xml:space="preserve"> What are those programs?</w:t>
      </w:r>
    </w:p>
    <w:p w14:paraId="20D4CA47" w14:textId="18F5B017" w:rsidR="00630963" w:rsidRPr="00576E3E" w:rsidRDefault="0029574F" w:rsidP="005660B2">
      <w:pPr>
        <w:numPr>
          <w:ilvl w:val="1"/>
          <w:numId w:val="7"/>
        </w:numPr>
        <w:tabs>
          <w:tab w:val="clear" w:pos="1440"/>
          <w:tab w:val="num" w:pos="1170"/>
        </w:tabs>
        <w:spacing w:after="0" w:line="240" w:lineRule="auto"/>
        <w:ind w:left="630"/>
      </w:pPr>
      <w:r w:rsidRPr="00D842C6">
        <w:t>What a</w:t>
      </w:r>
      <w:r w:rsidR="007E0A5C" w:rsidRPr="00D842C6">
        <w:t xml:space="preserve">re the emerging industries and/or occupations in </w:t>
      </w:r>
      <w:r w:rsidR="007E0A5C" w:rsidRPr="00576E3E">
        <w:t>the</w:t>
      </w:r>
      <w:r w:rsidR="003A2EF1">
        <w:t xml:space="preserve"> region, if any, </w:t>
      </w:r>
      <w:r w:rsidR="007E0A5C" w:rsidRPr="00576E3E">
        <w:t>to which all students should be exposed?</w:t>
      </w:r>
    </w:p>
    <w:p w14:paraId="1E60D226" w14:textId="50850A2F" w:rsidR="00630963" w:rsidRPr="00576E3E" w:rsidRDefault="00ED646A" w:rsidP="005660B2">
      <w:pPr>
        <w:numPr>
          <w:ilvl w:val="1"/>
          <w:numId w:val="7"/>
        </w:numPr>
        <w:tabs>
          <w:tab w:val="clear" w:pos="1440"/>
          <w:tab w:val="num" w:pos="1170"/>
        </w:tabs>
        <w:spacing w:after="0" w:line="240" w:lineRule="auto"/>
        <w:ind w:left="630"/>
      </w:pPr>
      <w:r w:rsidRPr="00576E3E">
        <w:t>What</w:t>
      </w:r>
      <w:r w:rsidR="007E0A5C" w:rsidRPr="00576E3E">
        <w:t xml:space="preserve"> skills and/or knowledge gaps</w:t>
      </w:r>
      <w:r w:rsidRPr="00576E3E">
        <w:t xml:space="preserve">, if any, </w:t>
      </w:r>
      <w:r w:rsidR="007E0A5C" w:rsidRPr="00576E3E">
        <w:t xml:space="preserve">exist in </w:t>
      </w:r>
      <w:r w:rsidR="00A926D4">
        <w:t>our</w:t>
      </w:r>
      <w:r w:rsidR="007E0A5C" w:rsidRPr="00576E3E">
        <w:t xml:space="preserve"> programs, according to industry partners/experts?</w:t>
      </w:r>
    </w:p>
    <w:p w14:paraId="4B395C43" w14:textId="6C10FAC0" w:rsidR="00914784" w:rsidRDefault="003A2EF1" w:rsidP="005660B2">
      <w:pPr>
        <w:numPr>
          <w:ilvl w:val="1"/>
          <w:numId w:val="7"/>
        </w:numPr>
        <w:tabs>
          <w:tab w:val="clear" w:pos="1440"/>
          <w:tab w:val="num" w:pos="1170"/>
        </w:tabs>
        <w:spacing w:after="0" w:line="240" w:lineRule="auto"/>
        <w:ind w:left="630"/>
      </w:pPr>
      <w:r>
        <w:t xml:space="preserve">Does </w:t>
      </w:r>
      <w:r w:rsidR="00914784" w:rsidRPr="00576E3E">
        <w:t xml:space="preserve">our </w:t>
      </w:r>
      <w:r>
        <w:t>school</w:t>
      </w:r>
      <w:r w:rsidR="00914784" w:rsidRPr="00576E3E">
        <w:t xml:space="preserve"> offer (or intend to offer) programs meet</w:t>
      </w:r>
      <w:r w:rsidR="00576E3E">
        <w:t>ing other</w:t>
      </w:r>
      <w:r w:rsidR="001B6723">
        <w:t xml:space="preserve"> </w:t>
      </w:r>
      <w:r w:rsidR="00914784" w:rsidRPr="00576E3E">
        <w:t xml:space="preserve">needs </w:t>
      </w:r>
      <w:r w:rsidR="0070427A" w:rsidRPr="00E52DA3">
        <w:rPr>
          <w:i/>
        </w:rPr>
        <w:t xml:space="preserve">not </w:t>
      </w:r>
      <w:r w:rsidR="0070427A" w:rsidRPr="001B6723">
        <w:t>identified</w:t>
      </w:r>
      <w:r w:rsidR="0070427A" w:rsidRPr="00E52DA3">
        <w:rPr>
          <w:i/>
        </w:rPr>
        <w:t xml:space="preserve"> </w:t>
      </w:r>
      <w:r w:rsidR="0070427A" w:rsidRPr="00576E3E">
        <w:t>by our local MassHire Board</w:t>
      </w:r>
      <w:r w:rsidR="001B6723">
        <w:t>?</w:t>
      </w:r>
      <w:r w:rsidR="0070427A" w:rsidRPr="00576E3E">
        <w:t xml:space="preserve"> If yes, on what basis </w:t>
      </w:r>
      <w:r w:rsidR="00E73242">
        <w:t>have we determined</w:t>
      </w:r>
      <w:r w:rsidR="0070427A" w:rsidRPr="00576E3E">
        <w:t xml:space="preserve"> the need for the programs?</w:t>
      </w:r>
    </w:p>
    <w:p w14:paraId="0FA0FB85" w14:textId="3F59CFA5" w:rsidR="001C2CF8" w:rsidRPr="001C2CF8" w:rsidRDefault="001C2CF8" w:rsidP="00EF56DE">
      <w:pPr>
        <w:spacing w:before="120" w:after="0" w:line="240" w:lineRule="auto"/>
        <w:rPr>
          <w:rFonts w:eastAsiaTheme="majorEastAsia" w:cstheme="majorBidi"/>
          <w:b/>
          <w:i/>
          <w:iCs/>
          <w:color w:val="2E74B5" w:themeColor="accent1" w:themeShade="BF"/>
        </w:rPr>
      </w:pPr>
      <w:r w:rsidRPr="001C2CF8">
        <w:rPr>
          <w:rFonts w:eastAsiaTheme="majorEastAsia" w:cstheme="majorBidi"/>
          <w:b/>
          <w:i/>
          <w:iCs/>
          <w:color w:val="2E74B5" w:themeColor="accent1" w:themeShade="BF"/>
        </w:rPr>
        <w:t>Suggested Actions</w:t>
      </w:r>
    </w:p>
    <w:p w14:paraId="58E21B71" w14:textId="418ED73E" w:rsidR="000D38CE" w:rsidRPr="001C2CF8" w:rsidRDefault="000D38CE" w:rsidP="00C16D5B">
      <w:pPr>
        <w:numPr>
          <w:ilvl w:val="1"/>
          <w:numId w:val="7"/>
        </w:numPr>
        <w:tabs>
          <w:tab w:val="clear" w:pos="1440"/>
          <w:tab w:val="num" w:pos="1170"/>
        </w:tabs>
        <w:spacing w:after="0" w:line="240" w:lineRule="auto"/>
        <w:ind w:left="630"/>
      </w:pPr>
      <w:r w:rsidRPr="001C2CF8">
        <w:t>Engage Advisory boards and other stakeholders in this discussion</w:t>
      </w:r>
      <w:r w:rsidR="007B2323" w:rsidRPr="001C2CF8">
        <w:t>.</w:t>
      </w:r>
    </w:p>
    <w:p w14:paraId="1FE43AB8" w14:textId="675E1D6D" w:rsidR="007B2323" w:rsidRPr="001C2CF8" w:rsidRDefault="007B2323" w:rsidP="00C16D5B">
      <w:pPr>
        <w:numPr>
          <w:ilvl w:val="1"/>
          <w:numId w:val="7"/>
        </w:numPr>
        <w:tabs>
          <w:tab w:val="clear" w:pos="1440"/>
          <w:tab w:val="num" w:pos="1170"/>
        </w:tabs>
        <w:spacing w:after="0" w:line="240" w:lineRule="auto"/>
        <w:ind w:left="630"/>
      </w:pPr>
      <w:r w:rsidRPr="001C2CF8">
        <w:t>Consider these six indicators for successful program development: projected job growth</w:t>
      </w:r>
      <w:r w:rsidR="00235F42">
        <w:t>;</w:t>
      </w:r>
      <w:r w:rsidRPr="001C2CF8">
        <w:t xml:space="preserve"> living wage</w:t>
      </w:r>
      <w:r w:rsidR="00235F42">
        <w:t>;</w:t>
      </w:r>
      <w:r w:rsidR="00235F42" w:rsidRPr="001C2CF8">
        <w:t xml:space="preserve"> </w:t>
      </w:r>
      <w:r w:rsidRPr="001C2CF8">
        <w:t>student interest</w:t>
      </w:r>
      <w:r w:rsidR="00235F42">
        <w:t>;</w:t>
      </w:r>
      <w:r w:rsidR="00235F42" w:rsidRPr="001C2CF8">
        <w:t xml:space="preserve"> </w:t>
      </w:r>
      <w:r w:rsidRPr="001C2CF8">
        <w:t>emerging technologies</w:t>
      </w:r>
      <w:r w:rsidR="00235F42">
        <w:t>;</w:t>
      </w:r>
      <w:r w:rsidR="00235F42" w:rsidRPr="001C2CF8">
        <w:t xml:space="preserve"> </w:t>
      </w:r>
      <w:r w:rsidRPr="001C2CF8">
        <w:t>existence of a strategic industry partner</w:t>
      </w:r>
      <w:r w:rsidR="00235F42">
        <w:t>;</w:t>
      </w:r>
      <w:r w:rsidR="00235F42" w:rsidRPr="001C2CF8">
        <w:t xml:space="preserve"> </w:t>
      </w:r>
      <w:r w:rsidRPr="001C2CF8">
        <w:t>and the locations and extent of other training programs.</w:t>
      </w:r>
    </w:p>
    <w:p w14:paraId="35A5C544" w14:textId="648EFFB2" w:rsidR="00500602" w:rsidRPr="00384368" w:rsidRDefault="00500602" w:rsidP="00486CF2">
      <w:pPr>
        <w:pStyle w:val="Heading4"/>
      </w:pPr>
      <w:r w:rsidRPr="00384368">
        <w:t>Resources</w:t>
      </w:r>
    </w:p>
    <w:p w14:paraId="39DE6568" w14:textId="45921467" w:rsidR="00D37FFB" w:rsidRPr="00223458" w:rsidRDefault="00D37FFB" w:rsidP="00E52DA3">
      <w:pPr>
        <w:pStyle w:val="ListParagraph"/>
        <w:numPr>
          <w:ilvl w:val="0"/>
          <w:numId w:val="28"/>
        </w:numPr>
        <w:spacing w:after="0" w:line="240" w:lineRule="auto"/>
        <w:ind w:left="630"/>
      </w:pPr>
      <w:r w:rsidRPr="00E938C9">
        <w:t>Your Educational Program Plan, such as that submitted to the Mass. School Building Authority, will be useful in answering this section.</w:t>
      </w:r>
    </w:p>
    <w:p w14:paraId="5B7AEAD2" w14:textId="65E5BF07" w:rsidR="00500602" w:rsidRPr="00576E3E" w:rsidRDefault="00734105" w:rsidP="00E52DA3">
      <w:pPr>
        <w:pStyle w:val="ListParagraph"/>
        <w:numPr>
          <w:ilvl w:val="0"/>
          <w:numId w:val="28"/>
        </w:numPr>
        <w:spacing w:after="0" w:line="240" w:lineRule="auto"/>
        <w:ind w:left="630"/>
        <w:rPr>
          <w:u w:val="single"/>
        </w:rPr>
      </w:pPr>
      <w:hyperlink r:id="rId23" w:history="1">
        <w:r w:rsidR="0070427A" w:rsidRPr="00931DE5">
          <w:rPr>
            <w:rStyle w:val="Hyperlink"/>
          </w:rPr>
          <w:t>MassHire Workforce Board Regional Workforce Blueprints</w:t>
        </w:r>
      </w:hyperlink>
      <w:r w:rsidR="0070427A" w:rsidRPr="00931DE5">
        <w:t xml:space="preserve"> analyze workforce conditions for each of seven regions of the state and provide listings of priority and critical industries and occupations for each region.</w:t>
      </w:r>
      <w:r w:rsidR="00500602" w:rsidRPr="00576E3E">
        <w:rPr>
          <w:u w:val="single"/>
        </w:rPr>
        <w:t xml:space="preserve"> </w:t>
      </w:r>
    </w:p>
    <w:p w14:paraId="5388A270" w14:textId="31092834" w:rsidR="006A0911" w:rsidRPr="00931DE5" w:rsidRDefault="0070427A" w:rsidP="00E52DA3">
      <w:pPr>
        <w:pStyle w:val="ListParagraph"/>
        <w:numPr>
          <w:ilvl w:val="0"/>
          <w:numId w:val="28"/>
        </w:numPr>
        <w:spacing w:after="0" w:line="240" w:lineRule="auto"/>
        <w:ind w:left="630"/>
      </w:pPr>
      <w:r w:rsidRPr="00931DE5">
        <w:t xml:space="preserve">OCCTE’s </w:t>
      </w:r>
      <w:hyperlink r:id="rId24" w:history="1">
        <w:r w:rsidRPr="00202DB1">
          <w:rPr>
            <w:rStyle w:val="Hyperlink"/>
          </w:rPr>
          <w:t>Pathway/Program Mapping Tool</w:t>
        </w:r>
      </w:hyperlink>
      <w:r w:rsidRPr="00931DE5">
        <w:t xml:space="preserve"> provides a visual and tabular listing of </w:t>
      </w:r>
      <w:r w:rsidR="00576E3E">
        <w:t>H</w:t>
      </w:r>
      <w:r w:rsidRPr="00931DE5">
        <w:t xml:space="preserve">igh </w:t>
      </w:r>
      <w:r w:rsidR="00576E3E">
        <w:t>Q</w:t>
      </w:r>
      <w:r w:rsidRPr="00931DE5">
        <w:t xml:space="preserve">uality </w:t>
      </w:r>
      <w:r w:rsidR="00576E3E">
        <w:t>C</w:t>
      </w:r>
      <w:r w:rsidRPr="00931DE5">
        <w:t xml:space="preserve">ollege and </w:t>
      </w:r>
      <w:r w:rsidR="00576E3E">
        <w:t>C</w:t>
      </w:r>
      <w:r w:rsidRPr="00931DE5">
        <w:t xml:space="preserve">areer </w:t>
      </w:r>
      <w:r w:rsidR="00576E3E">
        <w:t>P</w:t>
      </w:r>
      <w:r w:rsidRPr="00931DE5">
        <w:t>athway</w:t>
      </w:r>
      <w:r w:rsidR="00576E3E">
        <w:t>s</w:t>
      </w:r>
      <w:r w:rsidRPr="00931DE5">
        <w:t xml:space="preserve"> offered in public educational institutions throughout the Commonwealth.</w:t>
      </w:r>
    </w:p>
    <w:p w14:paraId="1EAC2933" w14:textId="7E0DBC3E" w:rsidR="00C41990" w:rsidRPr="00EF56DE" w:rsidRDefault="0083373C" w:rsidP="00EF56DE">
      <w:pPr>
        <w:pStyle w:val="ListParagraph"/>
        <w:numPr>
          <w:ilvl w:val="0"/>
          <w:numId w:val="28"/>
        </w:numPr>
        <w:spacing w:after="0" w:line="240" w:lineRule="auto"/>
        <w:ind w:left="630"/>
      </w:pPr>
      <w:r w:rsidRPr="00931DE5">
        <w:t xml:space="preserve">A sophisticated </w:t>
      </w:r>
      <w:hyperlink r:id="rId25" w:history="1">
        <w:r w:rsidRPr="00931DE5">
          <w:rPr>
            <w:rStyle w:val="Hyperlink"/>
          </w:rPr>
          <w:t>Workforce Supply and Demand Data Tool</w:t>
        </w:r>
      </w:hyperlink>
      <w:r w:rsidRPr="00931DE5">
        <w:t>, developed by the Executive Office for Labor and Workforce Development, allows users to conduct research into a wide range of occupations.</w:t>
      </w:r>
      <w:r w:rsidR="00253DE4">
        <w:t xml:space="preserve"> The linked website offers a single, clickable link to an Excel table that downloads to the desktop. </w:t>
      </w:r>
      <w:r w:rsidR="00235F42">
        <w:t>Effective use of the tool</w:t>
      </w:r>
      <w:r w:rsidR="00253DE4">
        <w:t xml:space="preserve"> requires a </w:t>
      </w:r>
      <w:r w:rsidR="00253DE4" w:rsidRPr="008B2A48">
        <w:rPr>
          <w:i/>
          <w:iCs/>
        </w:rPr>
        <w:t>large</w:t>
      </w:r>
      <w:r w:rsidR="00253DE4">
        <w:t xml:space="preserve"> viewing screen. </w:t>
      </w:r>
      <w:r w:rsidRPr="00931DE5">
        <w:t xml:space="preserve"> </w:t>
      </w:r>
    </w:p>
    <w:p w14:paraId="5C8CC75D" w14:textId="0360410C" w:rsidR="00500602" w:rsidRPr="00217E6E" w:rsidRDefault="00500602" w:rsidP="00EF56DE">
      <w:pPr>
        <w:pStyle w:val="Heading2"/>
        <w:spacing w:before="240"/>
        <w:rPr>
          <w:b/>
        </w:rPr>
      </w:pPr>
      <w:r w:rsidRPr="00217E6E">
        <w:rPr>
          <w:b/>
        </w:rPr>
        <w:t>Part III: Scope, Size and Quality of Programs Offered</w:t>
      </w:r>
    </w:p>
    <w:p w14:paraId="1346CD44" w14:textId="57B1D539" w:rsidR="00502824" w:rsidRPr="00C41990" w:rsidRDefault="00502824" w:rsidP="00486CF2">
      <w:pPr>
        <w:pStyle w:val="Heading3"/>
        <w:spacing w:after="120"/>
        <w:ind w:left="720"/>
        <w:rPr>
          <w:b/>
        </w:rPr>
      </w:pPr>
      <w:r w:rsidRPr="00C41990">
        <w:rPr>
          <w:b/>
        </w:rPr>
        <w:t>Are our programs of sufficient size, scope and quality to meet</w:t>
      </w:r>
      <w:r w:rsidR="00FD3F3A" w:rsidRPr="00C41990">
        <w:rPr>
          <w:b/>
        </w:rPr>
        <w:t xml:space="preserve"> all</w:t>
      </w:r>
      <w:r w:rsidRPr="00C41990">
        <w:rPr>
          <w:b/>
        </w:rPr>
        <w:t xml:space="preserve"> our students’ needs? How can we do better?</w:t>
      </w:r>
    </w:p>
    <w:p w14:paraId="1FC91048" w14:textId="35543465" w:rsidR="008F2771" w:rsidRDefault="008F2771" w:rsidP="005660B2">
      <w:pPr>
        <w:spacing w:after="120" w:line="240" w:lineRule="auto"/>
      </w:pPr>
      <w:r w:rsidRPr="00E52DA3">
        <w:t xml:space="preserve">Perkins V </w:t>
      </w:r>
      <w:r w:rsidRPr="00E938C9">
        <w:rPr>
          <w:b/>
          <w:bCs/>
        </w:rPr>
        <w:t>requires</w:t>
      </w:r>
      <w:r w:rsidRPr="00E52DA3">
        <w:t xml:space="preserve"> that programs</w:t>
      </w:r>
      <w:r w:rsidR="0056120F" w:rsidRPr="00E52DA3">
        <w:t xml:space="preserve"> offered by school districts and colleges be “sufficient in size, scope, and quality to meet the needs of all students served.”</w:t>
      </w:r>
      <w:r w:rsidR="0083373C" w:rsidRPr="00E52DA3">
        <w:t xml:space="preserve"> </w:t>
      </w:r>
      <w:r w:rsidR="0083373C" w:rsidRPr="00931DE5">
        <w:t xml:space="preserve">[134(c)(2)(B)(i). </w:t>
      </w:r>
      <w:r w:rsidRPr="00E52DA3">
        <w:t xml:space="preserve"> </w:t>
      </w:r>
    </w:p>
    <w:p w14:paraId="2B073AAC" w14:textId="4EB7A234" w:rsidR="00DC1DB4" w:rsidRDefault="00DC1DB4" w:rsidP="005660B2">
      <w:pPr>
        <w:spacing w:after="120" w:line="240" w:lineRule="auto"/>
      </w:pPr>
      <w:r>
        <w:t>For a clear explanation of</w:t>
      </w:r>
      <w:r w:rsidRPr="0090281B">
        <w:t xml:space="preserve"> the Perkins V </w:t>
      </w:r>
      <w:r>
        <w:t xml:space="preserve">program requirements for size, scope, and quality, see: </w:t>
      </w:r>
      <w:hyperlink r:id="rId26" w:history="1">
        <w:r w:rsidR="005D7E99">
          <w:rPr>
            <w:rStyle w:val="Hyperlink"/>
          </w:rPr>
          <w:t>Size, Scope and Quality</w:t>
        </w:r>
      </w:hyperlink>
      <w:r w:rsidR="005D7E99">
        <w:t xml:space="preserve"> </w:t>
      </w:r>
      <w:r w:rsidR="005D7E99" w:rsidRPr="005D7E99">
        <w:t xml:space="preserve">document. </w:t>
      </w:r>
    </w:p>
    <w:p w14:paraId="270FA0DC" w14:textId="77777777" w:rsidR="00852A7A" w:rsidRPr="00A926D4" w:rsidRDefault="00852A7A" w:rsidP="00486CF2">
      <w:pPr>
        <w:pStyle w:val="Heading4"/>
      </w:pPr>
      <w:r w:rsidRPr="00A926D4">
        <w:t>Your institution’s analysis should attempt to answer the following questions:</w:t>
      </w:r>
    </w:p>
    <w:p w14:paraId="44D3BA0F" w14:textId="0158ABF5" w:rsidR="00E810CE" w:rsidRPr="00384368" w:rsidRDefault="00E810CE" w:rsidP="00486CF2">
      <w:pPr>
        <w:pStyle w:val="Heading5"/>
        <w:ind w:left="634"/>
      </w:pPr>
      <w:r w:rsidRPr="00384368">
        <w:t>Size</w:t>
      </w:r>
      <w:r w:rsidR="002475F8">
        <w:t xml:space="preserve"> – Supply and Demand</w:t>
      </w:r>
    </w:p>
    <w:p w14:paraId="3FBB1394" w14:textId="164862B0" w:rsidR="00E810CE" w:rsidRPr="00F600A7" w:rsidRDefault="003A2EF1" w:rsidP="00384368">
      <w:pPr>
        <w:numPr>
          <w:ilvl w:val="1"/>
          <w:numId w:val="9"/>
        </w:numPr>
        <w:tabs>
          <w:tab w:val="clear" w:pos="1440"/>
          <w:tab w:val="num" w:pos="3960"/>
        </w:tabs>
        <w:spacing w:after="0" w:line="240" w:lineRule="auto"/>
      </w:pPr>
      <w:r w:rsidRPr="00F600A7">
        <w:t>How large do our</w:t>
      </w:r>
      <w:r w:rsidR="003D03F8" w:rsidRPr="00F600A7">
        <w:t xml:space="preserve"> </w:t>
      </w:r>
      <w:r w:rsidR="00E810CE" w:rsidRPr="00F600A7">
        <w:t xml:space="preserve">programs </w:t>
      </w:r>
      <w:r w:rsidRPr="00F600A7">
        <w:t>need to be</w:t>
      </w:r>
      <w:r w:rsidR="00E810CE" w:rsidRPr="00F600A7">
        <w:t xml:space="preserve"> to meet student </w:t>
      </w:r>
      <w:r w:rsidR="00502824" w:rsidRPr="00F600A7">
        <w:t>demand and</w:t>
      </w:r>
      <w:r w:rsidR="0029574F" w:rsidRPr="00F600A7">
        <w:t xml:space="preserve"> provide equitable student access</w:t>
      </w:r>
      <w:r w:rsidR="00E810CE" w:rsidRPr="00F600A7">
        <w:t>?</w:t>
      </w:r>
      <w:r w:rsidR="001257A7" w:rsidRPr="00F600A7">
        <w:t xml:space="preserve"> What evidence </w:t>
      </w:r>
      <w:r w:rsidRPr="00F600A7">
        <w:t>do we use to make this decision?</w:t>
      </w:r>
    </w:p>
    <w:p w14:paraId="06EAF367" w14:textId="36E81D61" w:rsidR="00E810CE" w:rsidRPr="00F600A7" w:rsidRDefault="00E73242" w:rsidP="00E938C9">
      <w:pPr>
        <w:numPr>
          <w:ilvl w:val="1"/>
          <w:numId w:val="4"/>
        </w:numPr>
        <w:tabs>
          <w:tab w:val="clear" w:pos="1980"/>
          <w:tab w:val="num" w:pos="2790"/>
        </w:tabs>
        <w:spacing w:after="0" w:line="240" w:lineRule="auto"/>
        <w:ind w:left="1440"/>
      </w:pPr>
      <w:r w:rsidRPr="00F600A7">
        <w:t xml:space="preserve">Are each of </w:t>
      </w:r>
      <w:r w:rsidR="00E810CE" w:rsidRPr="00F600A7">
        <w:t xml:space="preserve">our </w:t>
      </w:r>
      <w:r w:rsidRPr="00F600A7">
        <w:t>school</w:t>
      </w:r>
      <w:r w:rsidR="003D03F8" w:rsidRPr="00F600A7">
        <w:t xml:space="preserve">’s </w:t>
      </w:r>
      <w:r w:rsidR="00E810CE" w:rsidRPr="00F600A7">
        <w:t xml:space="preserve">programs large enough to provide </w:t>
      </w:r>
      <w:r w:rsidR="00ED646A" w:rsidRPr="00F600A7">
        <w:t>all students</w:t>
      </w:r>
      <w:r w:rsidR="00E810CE" w:rsidRPr="00F600A7">
        <w:t xml:space="preserve"> with a rich learning environment</w:t>
      </w:r>
      <w:r w:rsidR="00AC6A75" w:rsidRPr="00F600A7">
        <w:t>?</w:t>
      </w:r>
      <w:r w:rsidR="001257A7" w:rsidRPr="00F600A7">
        <w:t xml:space="preserve"> </w:t>
      </w:r>
      <w:r w:rsidR="002475F8">
        <w:t xml:space="preserve">If </w:t>
      </w:r>
      <w:r w:rsidR="00C16D5B">
        <w:t xml:space="preserve">we </w:t>
      </w:r>
      <w:r w:rsidR="002475F8">
        <w:t xml:space="preserve">had additional capacity for seats, could </w:t>
      </w:r>
      <w:r w:rsidR="00C16D5B">
        <w:t xml:space="preserve">we </w:t>
      </w:r>
      <w:r w:rsidR="002475F8">
        <w:t xml:space="preserve">fill those seats? </w:t>
      </w:r>
      <w:r w:rsidRPr="00F600A7">
        <w:t>How do we know</w:t>
      </w:r>
      <w:r w:rsidR="001257A7" w:rsidRPr="00F600A7">
        <w:t>?</w:t>
      </w:r>
    </w:p>
    <w:p w14:paraId="4FC81AA8" w14:textId="11C750E6" w:rsidR="00E73242" w:rsidRPr="00F600A7" w:rsidRDefault="00E810CE" w:rsidP="00384368">
      <w:pPr>
        <w:numPr>
          <w:ilvl w:val="1"/>
          <w:numId w:val="4"/>
        </w:numPr>
        <w:tabs>
          <w:tab w:val="clear" w:pos="1980"/>
          <w:tab w:val="num" w:pos="2790"/>
        </w:tabs>
        <w:spacing w:after="0" w:line="240" w:lineRule="auto"/>
        <w:ind w:left="1440"/>
      </w:pPr>
      <w:r w:rsidRPr="00F600A7">
        <w:lastRenderedPageBreak/>
        <w:t xml:space="preserve">Are enough students enrolled in programs to make a substantive contribution to meeting </w:t>
      </w:r>
      <w:r w:rsidR="00AC6A75" w:rsidRPr="00F600A7">
        <w:t xml:space="preserve">local or regional </w:t>
      </w:r>
      <w:r w:rsidRPr="00F600A7">
        <w:t>labor market demand?</w:t>
      </w:r>
      <w:r w:rsidR="001257A7" w:rsidRPr="00F600A7">
        <w:t xml:space="preserve"> </w:t>
      </w:r>
      <w:r w:rsidR="00E73242" w:rsidRPr="00F600A7">
        <w:t>How do we know?</w:t>
      </w:r>
    </w:p>
    <w:p w14:paraId="26773FC1" w14:textId="04CBCE96" w:rsidR="00666B39" w:rsidRPr="00F600A7" w:rsidRDefault="00666B39" w:rsidP="00223458">
      <w:pPr>
        <w:numPr>
          <w:ilvl w:val="1"/>
          <w:numId w:val="4"/>
        </w:numPr>
        <w:tabs>
          <w:tab w:val="clear" w:pos="1980"/>
          <w:tab w:val="num" w:pos="2790"/>
        </w:tabs>
        <w:spacing w:after="0" w:line="240" w:lineRule="auto"/>
        <w:ind w:left="1440"/>
      </w:pPr>
      <w:r w:rsidRPr="00F600A7">
        <w:t>A</w:t>
      </w:r>
      <w:r w:rsidR="00E534CB" w:rsidRPr="00F600A7">
        <w:t>re a</w:t>
      </w:r>
      <w:r w:rsidRPr="00F600A7">
        <w:t>ny of our programs too large, given local or regional labor market demand? How do we know?</w:t>
      </w:r>
    </w:p>
    <w:p w14:paraId="7E8879B3" w14:textId="32A26773" w:rsidR="00E810CE" w:rsidRDefault="00666B39" w:rsidP="00384368">
      <w:pPr>
        <w:numPr>
          <w:ilvl w:val="1"/>
          <w:numId w:val="4"/>
        </w:numPr>
        <w:tabs>
          <w:tab w:val="clear" w:pos="1980"/>
          <w:tab w:val="num" w:pos="2790"/>
        </w:tabs>
        <w:spacing w:after="0" w:line="240" w:lineRule="auto"/>
        <w:ind w:left="1440"/>
      </w:pPr>
      <w:r w:rsidRPr="00F600A7">
        <w:t xml:space="preserve">Do we offer programs with enrollments that are too small? </w:t>
      </w:r>
      <w:r w:rsidR="002475F8">
        <w:t xml:space="preserve">Do we have excess capacity? </w:t>
      </w:r>
      <w:r w:rsidRPr="00F600A7">
        <w:t>Why are these programs small?</w:t>
      </w:r>
    </w:p>
    <w:p w14:paraId="31B3EA2C" w14:textId="3174E9E5" w:rsidR="002475F8" w:rsidRDefault="002475F8" w:rsidP="00384368">
      <w:pPr>
        <w:numPr>
          <w:ilvl w:val="1"/>
          <w:numId w:val="4"/>
        </w:numPr>
        <w:tabs>
          <w:tab w:val="clear" w:pos="1980"/>
          <w:tab w:val="num" w:pos="2790"/>
        </w:tabs>
        <w:spacing w:after="0" w:line="240" w:lineRule="auto"/>
        <w:ind w:left="1440"/>
      </w:pPr>
      <w:r>
        <w:t>Could all students that are trained be employed? What data supports our conclusion?</w:t>
      </w:r>
    </w:p>
    <w:p w14:paraId="54B1CC93" w14:textId="77777777" w:rsidR="00E810CE" w:rsidRPr="00F600A7" w:rsidRDefault="00D37435" w:rsidP="00486CF2">
      <w:pPr>
        <w:pStyle w:val="Heading5"/>
        <w:ind w:left="634"/>
      </w:pPr>
      <w:r w:rsidRPr="00F600A7">
        <w:t>Scope</w:t>
      </w:r>
    </w:p>
    <w:p w14:paraId="440209AE" w14:textId="77777777" w:rsidR="00D37435" w:rsidRPr="00F600A7" w:rsidRDefault="0029574F" w:rsidP="00384368">
      <w:pPr>
        <w:numPr>
          <w:ilvl w:val="1"/>
          <w:numId w:val="9"/>
        </w:numPr>
        <w:tabs>
          <w:tab w:val="clear" w:pos="1440"/>
          <w:tab w:val="left" w:pos="5607"/>
        </w:tabs>
        <w:spacing w:after="0" w:line="240" w:lineRule="auto"/>
      </w:pPr>
      <w:r w:rsidRPr="00F600A7">
        <w:t xml:space="preserve">How do </w:t>
      </w:r>
      <w:r w:rsidR="00D37435" w:rsidRPr="00F600A7">
        <w:t>course offerings in each program build competence sequentially from basic knowledge and skills to more complex understandings and abilities?</w:t>
      </w:r>
    </w:p>
    <w:p w14:paraId="1D3A2FBB" w14:textId="77777777" w:rsidR="00D37435" w:rsidRPr="00F600A7" w:rsidRDefault="0029574F" w:rsidP="00384368">
      <w:pPr>
        <w:keepLines/>
        <w:numPr>
          <w:ilvl w:val="0"/>
          <w:numId w:val="14"/>
        </w:numPr>
        <w:tabs>
          <w:tab w:val="clear" w:pos="720"/>
          <w:tab w:val="num" w:pos="1440"/>
        </w:tabs>
        <w:spacing w:after="0" w:line="240" w:lineRule="auto"/>
        <w:ind w:left="1440"/>
      </w:pPr>
      <w:r w:rsidRPr="00F600A7">
        <w:t>How do</w:t>
      </w:r>
      <w:r w:rsidR="00D37435" w:rsidRPr="00F600A7">
        <w:t xml:space="preserve"> course offerings in each program provide </w:t>
      </w:r>
      <w:r w:rsidR="00A507F6" w:rsidRPr="00F600A7">
        <w:t xml:space="preserve">all </w:t>
      </w:r>
      <w:r w:rsidR="00D37435" w:rsidRPr="00F600A7">
        <w:t>students with sufficient opportunities to acquire technical skill proficiency aligned to All Aspects of Industry (AAOI)?</w:t>
      </w:r>
    </w:p>
    <w:p w14:paraId="5C45D267" w14:textId="77777777" w:rsidR="00D37435" w:rsidRPr="00F600A7" w:rsidRDefault="0029574F" w:rsidP="00384368">
      <w:pPr>
        <w:keepLines/>
        <w:numPr>
          <w:ilvl w:val="0"/>
          <w:numId w:val="14"/>
        </w:numPr>
        <w:tabs>
          <w:tab w:val="clear" w:pos="720"/>
          <w:tab w:val="num" w:pos="1440"/>
        </w:tabs>
        <w:spacing w:after="0" w:line="240" w:lineRule="auto"/>
        <w:ind w:left="1440"/>
      </w:pPr>
      <w:r w:rsidRPr="00F600A7">
        <w:t>How do</w:t>
      </w:r>
      <w:r w:rsidR="00D37435" w:rsidRPr="00F600A7">
        <w:t xml:space="preserve"> course offerings in each program provide </w:t>
      </w:r>
      <w:r w:rsidR="00A507F6" w:rsidRPr="00F600A7">
        <w:t xml:space="preserve">all </w:t>
      </w:r>
      <w:r w:rsidR="00D37435" w:rsidRPr="00F600A7">
        <w:t xml:space="preserve">students with sufficient opportunities to acquire general employability knowledge and skills? </w:t>
      </w:r>
    </w:p>
    <w:p w14:paraId="7DA59F78" w14:textId="77777777" w:rsidR="00D37435" w:rsidRPr="00F600A7" w:rsidRDefault="0029574F" w:rsidP="00384368">
      <w:pPr>
        <w:keepLines/>
        <w:numPr>
          <w:ilvl w:val="0"/>
          <w:numId w:val="14"/>
        </w:numPr>
        <w:tabs>
          <w:tab w:val="clear" w:pos="720"/>
          <w:tab w:val="num" w:pos="1440"/>
        </w:tabs>
        <w:spacing w:after="0" w:line="240" w:lineRule="auto"/>
        <w:ind w:left="1440"/>
      </w:pPr>
      <w:r w:rsidRPr="00F600A7">
        <w:t>How do</w:t>
      </w:r>
      <w:r w:rsidR="00D37435" w:rsidRPr="00F600A7">
        <w:t xml:space="preserve"> course offerings in each program provide</w:t>
      </w:r>
      <w:r w:rsidR="00A507F6" w:rsidRPr="00F600A7">
        <w:t xml:space="preserve"> all</w:t>
      </w:r>
      <w:r w:rsidR="00D37435" w:rsidRPr="00F600A7">
        <w:t xml:space="preserve"> students with sufficient opportunities to acquire occupational safety and health knowledge and skills?</w:t>
      </w:r>
    </w:p>
    <w:p w14:paraId="55E3A791" w14:textId="77777777" w:rsidR="00D37435" w:rsidRPr="00F600A7" w:rsidRDefault="0029574F" w:rsidP="00384368">
      <w:pPr>
        <w:keepLines/>
        <w:numPr>
          <w:ilvl w:val="0"/>
          <w:numId w:val="14"/>
        </w:numPr>
        <w:tabs>
          <w:tab w:val="clear" w:pos="720"/>
          <w:tab w:val="num" w:pos="1440"/>
        </w:tabs>
        <w:spacing w:after="0" w:line="240" w:lineRule="auto"/>
        <w:ind w:left="1440"/>
      </w:pPr>
      <w:r w:rsidRPr="00F600A7">
        <w:t>How do</w:t>
      </w:r>
      <w:r w:rsidR="00D37435" w:rsidRPr="00F600A7">
        <w:t xml:space="preserve"> course offerings in each program provide </w:t>
      </w:r>
      <w:r w:rsidR="00A507F6" w:rsidRPr="00F600A7">
        <w:t xml:space="preserve">all </w:t>
      </w:r>
      <w:r w:rsidR="00D37435" w:rsidRPr="00F600A7">
        <w:t>students with sufficient opportunities to acquire management and entrepreneurship knowledge and skills?</w:t>
      </w:r>
    </w:p>
    <w:p w14:paraId="7B3F4DAA" w14:textId="42721566" w:rsidR="00E73242" w:rsidRPr="00F600A7" w:rsidRDefault="0029574F" w:rsidP="00384368">
      <w:pPr>
        <w:numPr>
          <w:ilvl w:val="1"/>
          <w:numId w:val="4"/>
        </w:numPr>
        <w:tabs>
          <w:tab w:val="clear" w:pos="1980"/>
          <w:tab w:val="num" w:pos="2790"/>
        </w:tabs>
        <w:spacing w:after="0" w:line="240" w:lineRule="auto"/>
        <w:ind w:left="1440"/>
      </w:pPr>
      <w:r w:rsidRPr="00F600A7">
        <w:t>How do</w:t>
      </w:r>
      <w:r w:rsidR="00D37435" w:rsidRPr="00F600A7">
        <w:t xml:space="preserve"> course offerings in each program provide </w:t>
      </w:r>
      <w:r w:rsidR="00A507F6" w:rsidRPr="00F600A7">
        <w:t xml:space="preserve">all </w:t>
      </w:r>
      <w:r w:rsidR="00D37435" w:rsidRPr="00F600A7">
        <w:t>students with sufficient opportunities to acquire computer knowledge and skills?</w:t>
      </w:r>
      <w:r w:rsidR="003D2083" w:rsidRPr="00F600A7">
        <w:t xml:space="preserve"> </w:t>
      </w:r>
    </w:p>
    <w:p w14:paraId="2DABC1B9" w14:textId="182E26F5" w:rsidR="00E534CB" w:rsidRPr="00F600A7" w:rsidRDefault="00E534CB" w:rsidP="00384368">
      <w:pPr>
        <w:numPr>
          <w:ilvl w:val="1"/>
          <w:numId w:val="4"/>
        </w:numPr>
        <w:tabs>
          <w:tab w:val="clear" w:pos="1980"/>
          <w:tab w:val="num" w:pos="2790"/>
        </w:tabs>
        <w:spacing w:after="0" w:line="240" w:lineRule="auto"/>
        <w:ind w:left="1440"/>
      </w:pPr>
      <w:r w:rsidRPr="00F600A7">
        <w:t>How do programs provide students with opportunities for career planning?</w:t>
      </w:r>
    </w:p>
    <w:p w14:paraId="50FE397E" w14:textId="7D573BD8" w:rsidR="00E534CB" w:rsidRPr="00F600A7" w:rsidRDefault="00E534CB" w:rsidP="00384368">
      <w:pPr>
        <w:numPr>
          <w:ilvl w:val="1"/>
          <w:numId w:val="4"/>
        </w:numPr>
        <w:tabs>
          <w:tab w:val="clear" w:pos="1980"/>
          <w:tab w:val="num" w:pos="2790"/>
        </w:tabs>
        <w:spacing w:after="0" w:line="240" w:lineRule="auto"/>
        <w:ind w:left="1440"/>
      </w:pPr>
      <w:r w:rsidRPr="00F600A7">
        <w:t>How do programs link secondary-level education with postsecondary-level education opportunities and pathways?</w:t>
      </w:r>
    </w:p>
    <w:p w14:paraId="36749CD0" w14:textId="488B5B3E" w:rsidR="00D37435" w:rsidRPr="00F600A7" w:rsidRDefault="00D37435" w:rsidP="00486CF2">
      <w:pPr>
        <w:pStyle w:val="Heading5"/>
        <w:ind w:left="634"/>
      </w:pPr>
      <w:r w:rsidRPr="00F600A7">
        <w:t>Quality</w:t>
      </w:r>
    </w:p>
    <w:p w14:paraId="3B92E8B5" w14:textId="3984EA4C" w:rsidR="000B7848" w:rsidRPr="00F600A7" w:rsidRDefault="00E0380F" w:rsidP="00384368">
      <w:pPr>
        <w:pStyle w:val="ListParagraph"/>
        <w:numPr>
          <w:ilvl w:val="0"/>
          <w:numId w:val="15"/>
        </w:numPr>
        <w:spacing w:line="240" w:lineRule="auto"/>
        <w:ind w:left="1440"/>
      </w:pPr>
      <w:r w:rsidRPr="00F600A7">
        <w:t>Is the technical content of our programs sufficiently rigorous? How do we know?</w:t>
      </w:r>
    </w:p>
    <w:p w14:paraId="1A8D78AA" w14:textId="770E5C95" w:rsidR="00E0380F" w:rsidRPr="00F600A7" w:rsidRDefault="00E0380F" w:rsidP="00384368">
      <w:pPr>
        <w:pStyle w:val="ListParagraph"/>
        <w:numPr>
          <w:ilvl w:val="0"/>
          <w:numId w:val="15"/>
        </w:numPr>
        <w:spacing w:line="240" w:lineRule="auto"/>
        <w:ind w:left="1440"/>
      </w:pPr>
      <w:r w:rsidRPr="00F600A7">
        <w:t>With which academic and technical standards does our curriculum align? Are these the right standards, given the needs of local business and industry?</w:t>
      </w:r>
    </w:p>
    <w:p w14:paraId="7D02B4B7" w14:textId="3F03FE1F" w:rsidR="00E0380F" w:rsidRPr="00F600A7" w:rsidRDefault="00E0380F" w:rsidP="00384368">
      <w:pPr>
        <w:pStyle w:val="ListParagraph"/>
        <w:numPr>
          <w:ilvl w:val="0"/>
          <w:numId w:val="15"/>
        </w:numPr>
        <w:spacing w:line="240" w:lineRule="auto"/>
        <w:ind w:left="1440"/>
      </w:pPr>
      <w:r w:rsidRPr="00F600A7">
        <w:t>To what extent do our programs provide an organized educational structure that develops higher-order reasoning and problem-solving skills?</w:t>
      </w:r>
    </w:p>
    <w:p w14:paraId="1738C39B" w14:textId="3BB470C4" w:rsidR="00F0745F" w:rsidRPr="00F600A7" w:rsidRDefault="00F0745F" w:rsidP="00384368">
      <w:pPr>
        <w:pStyle w:val="ListParagraph"/>
        <w:numPr>
          <w:ilvl w:val="0"/>
          <w:numId w:val="15"/>
        </w:numPr>
        <w:spacing w:line="240" w:lineRule="auto"/>
        <w:ind w:left="1440"/>
      </w:pPr>
      <w:r w:rsidRPr="00F600A7">
        <w:t>How often do our programs systematically assess students’ technical knowledge and skills? To what extent do we offer feedback and provide students with ongoing opportunity to develop their knowledge and skills?</w:t>
      </w:r>
    </w:p>
    <w:p w14:paraId="4A87AF4E" w14:textId="469BCA6D" w:rsidR="00F0745F" w:rsidRPr="00F600A7" w:rsidRDefault="00F0745F" w:rsidP="00384368">
      <w:pPr>
        <w:pStyle w:val="ListParagraph"/>
        <w:numPr>
          <w:ilvl w:val="0"/>
          <w:numId w:val="15"/>
        </w:numPr>
        <w:spacing w:line="240" w:lineRule="auto"/>
        <w:ind w:left="1440"/>
      </w:pPr>
      <w:r w:rsidRPr="00F600A7">
        <w:t>How do we evaluate our programs? What measures do we use in our evaluations? Are these the right measures?</w:t>
      </w:r>
    </w:p>
    <w:p w14:paraId="3867C936" w14:textId="432952B8" w:rsidR="002E38FB" w:rsidRPr="00E52DA3" w:rsidRDefault="002E38FB" w:rsidP="00486CF2">
      <w:pPr>
        <w:pStyle w:val="Heading4"/>
      </w:pPr>
      <w:r w:rsidRPr="00E52DA3">
        <w:t>Resources</w:t>
      </w:r>
    </w:p>
    <w:p w14:paraId="1020C0E9" w14:textId="49468F4E" w:rsidR="002E38FB" w:rsidRDefault="002E38FB" w:rsidP="002E38FB">
      <w:pPr>
        <w:spacing w:line="240" w:lineRule="auto"/>
        <w:rPr>
          <w:bCs/>
          <w:iCs/>
        </w:rPr>
      </w:pPr>
      <w:r>
        <w:t>Two tools are available</w:t>
      </w:r>
      <w:r w:rsidRPr="00D30DE1">
        <w:t xml:space="preserve"> to help school districts and postsecondary institutions examine and address the many facets of program quality. The DESE </w:t>
      </w:r>
      <w:hyperlink r:id="rId27" w:history="1">
        <w:r w:rsidRPr="00D30DE1">
          <w:rPr>
            <w:rStyle w:val="Hyperlink"/>
            <w:b/>
            <w:bCs/>
            <w:iCs/>
          </w:rPr>
          <w:t>Quality Assessment Tool</w:t>
        </w:r>
      </w:hyperlink>
      <w:r w:rsidRPr="00D30DE1">
        <w:rPr>
          <w:b/>
          <w:bCs/>
          <w:iCs/>
        </w:rPr>
        <w:t xml:space="preserve"> </w:t>
      </w:r>
      <w:r w:rsidRPr="00D30DE1">
        <w:t xml:space="preserve">(QAT; also available in Google Forms format) </w:t>
      </w:r>
      <w:r>
        <w:t>and</w:t>
      </w:r>
      <w:r w:rsidRPr="00D30DE1">
        <w:t xml:space="preserve"> the Association for Career and Technical Education (ACTE) </w:t>
      </w:r>
      <w:hyperlink r:id="rId28" w:history="1">
        <w:r w:rsidRPr="00D30DE1">
          <w:rPr>
            <w:rStyle w:val="Hyperlink"/>
            <w:b/>
            <w:bCs/>
            <w:iCs/>
          </w:rPr>
          <w:t>Quality CTE Program of Study Framework</w:t>
        </w:r>
      </w:hyperlink>
      <w:r w:rsidRPr="00D30DE1">
        <w:rPr>
          <w:bCs/>
          <w:iCs/>
        </w:rPr>
        <w:t xml:space="preserve"> guide users through an in-depth self-analysis process. </w:t>
      </w:r>
    </w:p>
    <w:p w14:paraId="6265CAAE" w14:textId="047A5F4F" w:rsidR="0032535F" w:rsidRDefault="0032535F" w:rsidP="008B2A48">
      <w:pPr>
        <w:spacing w:after="0" w:line="240" w:lineRule="auto"/>
      </w:pPr>
      <w:r w:rsidRPr="00931DE5">
        <w:t xml:space="preserve">A sophisticated </w:t>
      </w:r>
      <w:hyperlink r:id="rId29" w:history="1">
        <w:r w:rsidRPr="00931DE5">
          <w:rPr>
            <w:rStyle w:val="Hyperlink"/>
          </w:rPr>
          <w:t>Workforce Supply and Demand Data Tool</w:t>
        </w:r>
      </w:hyperlink>
      <w:r w:rsidRPr="00931DE5">
        <w:t>, developed by the Executive Office for Labor and Workforce Development, allows users to conduct research into a wide range of occupations.</w:t>
      </w:r>
      <w:r>
        <w:t xml:space="preserve"> The linked website offers a single, clickable link to an Excel table that downloads to the desktop. To use the tool effectively requires a </w:t>
      </w:r>
      <w:r w:rsidRPr="0032535F">
        <w:rPr>
          <w:i/>
          <w:iCs/>
        </w:rPr>
        <w:t>large</w:t>
      </w:r>
      <w:r>
        <w:t xml:space="preserve"> viewing screen. </w:t>
      </w:r>
      <w:r w:rsidRPr="00931DE5">
        <w:t xml:space="preserve"> </w:t>
      </w:r>
    </w:p>
    <w:p w14:paraId="0467929A" w14:textId="5D8D3F13" w:rsidR="000F4AE6" w:rsidRPr="00376D87" w:rsidRDefault="000B7848" w:rsidP="00EF56DE">
      <w:pPr>
        <w:pStyle w:val="Heading2"/>
        <w:spacing w:before="240"/>
        <w:rPr>
          <w:b/>
        </w:rPr>
      </w:pPr>
      <w:r w:rsidRPr="00376D87">
        <w:rPr>
          <w:b/>
        </w:rPr>
        <w:lastRenderedPageBreak/>
        <w:t xml:space="preserve">Part IV: </w:t>
      </w:r>
      <w:r w:rsidR="000F4AE6" w:rsidRPr="00376D87">
        <w:rPr>
          <w:b/>
        </w:rPr>
        <w:t>Progress t</w:t>
      </w:r>
      <w:r w:rsidR="002B0B2A" w:rsidRPr="00376D87">
        <w:rPr>
          <w:b/>
        </w:rPr>
        <w:t xml:space="preserve">oward Implementing </w:t>
      </w:r>
      <w:r w:rsidR="000F4AE6" w:rsidRPr="00376D87">
        <w:rPr>
          <w:b/>
        </w:rPr>
        <w:t xml:space="preserve">Programs </w:t>
      </w:r>
      <w:r w:rsidR="00FD3F3A" w:rsidRPr="00376D87">
        <w:rPr>
          <w:b/>
        </w:rPr>
        <w:t xml:space="preserve">and Programs </w:t>
      </w:r>
      <w:r w:rsidR="000F4AE6" w:rsidRPr="00376D87">
        <w:rPr>
          <w:b/>
        </w:rPr>
        <w:t>of Study</w:t>
      </w:r>
    </w:p>
    <w:p w14:paraId="33A7F57B" w14:textId="77777777" w:rsidR="00870373" w:rsidRPr="00C41990" w:rsidRDefault="00480778" w:rsidP="00486CF2">
      <w:pPr>
        <w:pStyle w:val="Heading3"/>
        <w:spacing w:after="120"/>
        <w:ind w:left="720"/>
        <w:rPr>
          <w:b/>
        </w:rPr>
      </w:pPr>
      <w:r w:rsidRPr="00C41990">
        <w:rPr>
          <w:b/>
        </w:rPr>
        <w:t xml:space="preserve">Have we developed pathways for all students to progress from secondary to postsecondary education? </w:t>
      </w:r>
    </w:p>
    <w:p w14:paraId="146FD3E6" w14:textId="4301099F" w:rsidR="00791C69" w:rsidRPr="00E52DA3" w:rsidRDefault="00F51B07" w:rsidP="0032680D">
      <w:pPr>
        <w:spacing w:line="240" w:lineRule="auto"/>
      </w:pPr>
      <w:r w:rsidRPr="00227990">
        <w:t>Perkins</w:t>
      </w:r>
      <w:r w:rsidR="00DC6510" w:rsidRPr="00227990">
        <w:t xml:space="preserve"> V draws a distinction between </w:t>
      </w:r>
      <w:r w:rsidR="00227990" w:rsidRPr="00227990">
        <w:t>“</w:t>
      </w:r>
      <w:r w:rsidR="00DC6510" w:rsidRPr="00227990">
        <w:t>programs,</w:t>
      </w:r>
      <w:r w:rsidR="00227990" w:rsidRPr="00227990">
        <w:t>”</w:t>
      </w:r>
      <w:r w:rsidR="00DC6510" w:rsidRPr="00227990">
        <w:t xml:space="preserve"> </w:t>
      </w:r>
      <w:r w:rsidR="00227990" w:rsidRPr="00227990">
        <w:t>that exist in a secondary or postsecondary setting, and “programs of study,” that bridge secondary and postsecondary education. Programs of study are</w:t>
      </w:r>
      <w:r w:rsidR="006D0A95">
        <w:t xml:space="preserve"> </w:t>
      </w:r>
      <w:r w:rsidR="00227990" w:rsidRPr="00227990">
        <w:t>car</w:t>
      </w:r>
      <w:r w:rsidR="00227990">
        <w:t>e</w:t>
      </w:r>
      <w:r w:rsidR="00227990" w:rsidRPr="00227990">
        <w:t>er pathways that:</w:t>
      </w:r>
    </w:p>
    <w:p w14:paraId="1C612902" w14:textId="1EB67497" w:rsidR="00227990" w:rsidRPr="00F600A7" w:rsidRDefault="009D0006" w:rsidP="00227990">
      <w:pPr>
        <w:pStyle w:val="ListParagraph"/>
        <w:numPr>
          <w:ilvl w:val="0"/>
          <w:numId w:val="27"/>
        </w:numPr>
        <w:spacing w:line="240" w:lineRule="auto"/>
        <w:rPr>
          <w:sz w:val="20"/>
        </w:rPr>
      </w:pPr>
      <w:r w:rsidRPr="00F600A7">
        <w:rPr>
          <w:sz w:val="20"/>
        </w:rPr>
        <w:t>I</w:t>
      </w:r>
      <w:r w:rsidR="00227990" w:rsidRPr="00F600A7">
        <w:rPr>
          <w:sz w:val="20"/>
        </w:rPr>
        <w:t>ncorporate</w:t>
      </w:r>
      <w:r w:rsidR="00791C69" w:rsidRPr="00F600A7">
        <w:rPr>
          <w:sz w:val="20"/>
        </w:rPr>
        <w:t xml:space="preserve"> challeng</w:t>
      </w:r>
      <w:r w:rsidRPr="00F600A7">
        <w:rPr>
          <w:sz w:val="20"/>
        </w:rPr>
        <w:t>ing s</w:t>
      </w:r>
      <w:r w:rsidR="00227990" w:rsidRPr="00F600A7">
        <w:rPr>
          <w:sz w:val="20"/>
        </w:rPr>
        <w:t>tate academic standards</w:t>
      </w:r>
      <w:r w:rsidRPr="00F600A7">
        <w:rPr>
          <w:sz w:val="20"/>
        </w:rPr>
        <w:t>;</w:t>
      </w:r>
    </w:p>
    <w:p w14:paraId="225026D1" w14:textId="2FFDEFB8" w:rsidR="009D0006" w:rsidRPr="00F600A7" w:rsidRDefault="009D0006" w:rsidP="009D0006">
      <w:pPr>
        <w:pStyle w:val="ListParagraph"/>
        <w:numPr>
          <w:ilvl w:val="0"/>
          <w:numId w:val="27"/>
        </w:numPr>
        <w:spacing w:line="240" w:lineRule="auto"/>
        <w:rPr>
          <w:sz w:val="20"/>
        </w:rPr>
      </w:pPr>
      <w:r w:rsidRPr="00F600A7">
        <w:rPr>
          <w:sz w:val="20"/>
        </w:rPr>
        <w:t>Address</w:t>
      </w:r>
      <w:r w:rsidR="00791C69" w:rsidRPr="00F600A7">
        <w:rPr>
          <w:sz w:val="20"/>
        </w:rPr>
        <w:t xml:space="preserve"> both academic and technical knowledge and skills, including employability skills;</w:t>
      </w:r>
    </w:p>
    <w:p w14:paraId="697DF41E" w14:textId="312B40E2" w:rsidR="009D0006" w:rsidRPr="00F600A7" w:rsidRDefault="009D0006" w:rsidP="009D0006">
      <w:pPr>
        <w:pStyle w:val="ListParagraph"/>
        <w:numPr>
          <w:ilvl w:val="0"/>
          <w:numId w:val="27"/>
        </w:numPr>
        <w:spacing w:line="240" w:lineRule="auto"/>
        <w:rPr>
          <w:sz w:val="20"/>
        </w:rPr>
      </w:pPr>
      <w:r w:rsidRPr="00F600A7">
        <w:rPr>
          <w:sz w:val="20"/>
        </w:rPr>
        <w:t>Are</w:t>
      </w:r>
      <w:r w:rsidR="00791C69" w:rsidRPr="00F600A7">
        <w:rPr>
          <w:sz w:val="20"/>
        </w:rPr>
        <w:t xml:space="preserve"> aligned with the needs of industries </w:t>
      </w:r>
      <w:r w:rsidRPr="00F600A7">
        <w:rPr>
          <w:sz w:val="20"/>
        </w:rPr>
        <w:t>statewide, regionally, and/or locally;</w:t>
      </w:r>
    </w:p>
    <w:p w14:paraId="26879E3F" w14:textId="5064ED8F" w:rsidR="009D0006" w:rsidRPr="00F600A7" w:rsidRDefault="009D0006" w:rsidP="009D0006">
      <w:pPr>
        <w:pStyle w:val="ListParagraph"/>
        <w:numPr>
          <w:ilvl w:val="0"/>
          <w:numId w:val="27"/>
        </w:numPr>
        <w:spacing w:line="240" w:lineRule="auto"/>
        <w:rPr>
          <w:sz w:val="20"/>
        </w:rPr>
      </w:pPr>
      <w:r w:rsidRPr="00F600A7">
        <w:rPr>
          <w:sz w:val="20"/>
        </w:rPr>
        <w:t xml:space="preserve">Progress in specificity from consideration of </w:t>
      </w:r>
      <w:r w:rsidR="00791C69" w:rsidRPr="00F600A7">
        <w:rPr>
          <w:sz w:val="20"/>
        </w:rPr>
        <w:t>all aspects of a</w:t>
      </w:r>
      <w:r w:rsidRPr="00F600A7">
        <w:rPr>
          <w:sz w:val="20"/>
        </w:rPr>
        <w:t xml:space="preserve">n industry or career cluster to </w:t>
      </w:r>
      <w:r w:rsidR="00791C69" w:rsidRPr="00F600A7">
        <w:rPr>
          <w:sz w:val="20"/>
        </w:rPr>
        <w:t>more oc</w:t>
      </w:r>
      <w:r w:rsidRPr="00F600A7">
        <w:rPr>
          <w:sz w:val="20"/>
        </w:rPr>
        <w:t xml:space="preserve">cupation-specific instruction; </w:t>
      </w:r>
    </w:p>
    <w:p w14:paraId="104F8BDB" w14:textId="77777777" w:rsidR="009D0006" w:rsidRPr="00F600A7" w:rsidRDefault="009D0006" w:rsidP="009D0006">
      <w:pPr>
        <w:pStyle w:val="ListParagraph"/>
        <w:numPr>
          <w:ilvl w:val="0"/>
          <w:numId w:val="27"/>
        </w:numPr>
        <w:spacing w:line="240" w:lineRule="auto"/>
        <w:rPr>
          <w:sz w:val="20"/>
        </w:rPr>
      </w:pPr>
      <w:r w:rsidRPr="00F600A7">
        <w:rPr>
          <w:sz w:val="20"/>
        </w:rPr>
        <w:t xml:space="preserve">Have </w:t>
      </w:r>
      <w:r w:rsidR="00791C69" w:rsidRPr="00F600A7">
        <w:rPr>
          <w:sz w:val="20"/>
        </w:rPr>
        <w:t xml:space="preserve">multiple entry and exit points that incorporate credentialing; and </w:t>
      </w:r>
    </w:p>
    <w:p w14:paraId="43217930" w14:textId="46A6B632" w:rsidR="00DD2DBF" w:rsidRDefault="009D0006" w:rsidP="009D0006">
      <w:pPr>
        <w:pStyle w:val="ListParagraph"/>
        <w:numPr>
          <w:ilvl w:val="0"/>
          <w:numId w:val="27"/>
        </w:numPr>
        <w:spacing w:line="240" w:lineRule="auto"/>
        <w:rPr>
          <w:sz w:val="20"/>
        </w:rPr>
      </w:pPr>
      <w:r w:rsidRPr="00F600A7">
        <w:rPr>
          <w:sz w:val="20"/>
        </w:rPr>
        <w:t>C</w:t>
      </w:r>
      <w:r w:rsidR="00791C69" w:rsidRPr="00F600A7">
        <w:rPr>
          <w:sz w:val="20"/>
        </w:rPr>
        <w:t>ulmina</w:t>
      </w:r>
      <w:r w:rsidRPr="00F600A7">
        <w:rPr>
          <w:sz w:val="20"/>
        </w:rPr>
        <w:t>te</w:t>
      </w:r>
      <w:r w:rsidR="00791C69" w:rsidRPr="00F600A7">
        <w:rPr>
          <w:sz w:val="20"/>
        </w:rPr>
        <w:t xml:space="preserve"> in the attainment of a recog</w:t>
      </w:r>
      <w:r w:rsidRPr="00F600A7">
        <w:rPr>
          <w:sz w:val="20"/>
        </w:rPr>
        <w:t>nized postsecondary credential.</w:t>
      </w:r>
    </w:p>
    <w:p w14:paraId="7632F63C" w14:textId="5FA79EB0" w:rsidR="0032680D" w:rsidRPr="00F600A7" w:rsidRDefault="0032680D" w:rsidP="00486CF2">
      <w:pPr>
        <w:pStyle w:val="Heading4"/>
      </w:pPr>
      <w:r w:rsidRPr="00F600A7">
        <w:t xml:space="preserve">Your </w:t>
      </w:r>
      <w:r w:rsidR="006D0A95" w:rsidRPr="00F600A7">
        <w:t xml:space="preserve">institution’s </w:t>
      </w:r>
      <w:r w:rsidRPr="00F600A7">
        <w:t>analysis should attempt to answer the following questions:</w:t>
      </w:r>
    </w:p>
    <w:p w14:paraId="1C1D46CC" w14:textId="2814CD7E" w:rsidR="0032680D" w:rsidRPr="00841467" w:rsidRDefault="00791C69" w:rsidP="0032680D">
      <w:pPr>
        <w:numPr>
          <w:ilvl w:val="1"/>
          <w:numId w:val="7"/>
        </w:numPr>
        <w:tabs>
          <w:tab w:val="clear" w:pos="1440"/>
          <w:tab w:val="num" w:pos="1170"/>
        </w:tabs>
        <w:spacing w:after="0" w:line="240" w:lineRule="auto"/>
        <w:ind w:left="630"/>
      </w:pPr>
      <w:r w:rsidRPr="009D0006">
        <w:t>How fully are our institution’s programs aligned and articulated across secondary and postsecondary education?</w:t>
      </w:r>
      <w:r w:rsidR="002475F8">
        <w:t xml:space="preserve"> </w:t>
      </w:r>
      <w:r w:rsidR="00E7441E">
        <w:t xml:space="preserve">SECONDARY: Are students in each program we offer able to earn postsecondary technical credits? POSTSECONDARY: </w:t>
      </w:r>
      <w:r w:rsidR="00841467">
        <w:t>Do our Perkins-funded programs allow include courses available to high school students for college credit?</w:t>
      </w:r>
    </w:p>
    <w:p w14:paraId="2A31C246" w14:textId="4AD5CDF3" w:rsidR="0032680D" w:rsidRPr="009D0006" w:rsidRDefault="004870E6" w:rsidP="0032680D">
      <w:pPr>
        <w:numPr>
          <w:ilvl w:val="1"/>
          <w:numId w:val="7"/>
        </w:numPr>
        <w:tabs>
          <w:tab w:val="clear" w:pos="1440"/>
          <w:tab w:val="num" w:pos="1170"/>
        </w:tabs>
        <w:spacing w:after="0" w:line="240" w:lineRule="auto"/>
        <w:ind w:left="630"/>
      </w:pPr>
      <w:r w:rsidRPr="009D0006">
        <w:t>How d</w:t>
      </w:r>
      <w:r w:rsidR="00791C69" w:rsidRPr="009D0006">
        <w:t>o our institution’s programs incorporate relevant academic</w:t>
      </w:r>
      <w:r w:rsidR="002B0B2A" w:rsidRPr="009D0006">
        <w:t>, t</w:t>
      </w:r>
      <w:r w:rsidR="00791C69" w:rsidRPr="009D0006">
        <w:t>echnical and employability skills at every learner level?</w:t>
      </w:r>
    </w:p>
    <w:p w14:paraId="51F6B9D1" w14:textId="6D4F3FA2" w:rsidR="00791C69" w:rsidRPr="009D0006" w:rsidRDefault="004870E6" w:rsidP="0032680D">
      <w:pPr>
        <w:numPr>
          <w:ilvl w:val="1"/>
          <w:numId w:val="7"/>
        </w:numPr>
        <w:tabs>
          <w:tab w:val="clear" w:pos="1440"/>
          <w:tab w:val="num" w:pos="1170"/>
        </w:tabs>
        <w:spacing w:after="0" w:line="240" w:lineRule="auto"/>
        <w:ind w:left="630"/>
      </w:pPr>
      <w:r w:rsidRPr="009D0006">
        <w:t>How d</w:t>
      </w:r>
      <w:r w:rsidR="00791C69" w:rsidRPr="009D0006">
        <w:t>oes your institution</w:t>
      </w:r>
      <w:r w:rsidR="00397778" w:rsidRPr="009D0006">
        <w:t xml:space="preserve"> </w:t>
      </w:r>
      <w:r w:rsidR="00791C69" w:rsidRPr="009D0006">
        <w:t xml:space="preserve">have credit transfer agreements in place </w:t>
      </w:r>
      <w:r w:rsidR="00397778" w:rsidRPr="009D0006">
        <w:t>to help students earn and articulate postsecondary credit at the secondary level?</w:t>
      </w:r>
    </w:p>
    <w:p w14:paraId="01435E39" w14:textId="77777777" w:rsidR="00397778" w:rsidRPr="009D0006" w:rsidRDefault="00397778" w:rsidP="0032680D">
      <w:pPr>
        <w:numPr>
          <w:ilvl w:val="1"/>
          <w:numId w:val="7"/>
        </w:numPr>
        <w:tabs>
          <w:tab w:val="clear" w:pos="1440"/>
          <w:tab w:val="num" w:pos="1170"/>
        </w:tabs>
        <w:spacing w:after="0" w:line="240" w:lineRule="auto"/>
        <w:ind w:left="630"/>
      </w:pPr>
      <w:r w:rsidRPr="009D0006">
        <w:t xml:space="preserve">Do students in the programs of study have multiple entry and exit points? </w:t>
      </w:r>
      <w:r w:rsidR="002B0B2A" w:rsidRPr="009D0006">
        <w:t xml:space="preserve">Are the exit points aligned with in-demand </w:t>
      </w:r>
      <w:r w:rsidR="00DD2DBF" w:rsidRPr="009D0006">
        <w:t xml:space="preserve">entry-level </w:t>
      </w:r>
      <w:r w:rsidR="002B0B2A" w:rsidRPr="009D0006">
        <w:t>occupations?</w:t>
      </w:r>
    </w:p>
    <w:p w14:paraId="2ADD24C8" w14:textId="77777777" w:rsidR="00852A7A" w:rsidRPr="009D0006" w:rsidRDefault="00DD2DBF" w:rsidP="00852A7A">
      <w:pPr>
        <w:numPr>
          <w:ilvl w:val="1"/>
          <w:numId w:val="7"/>
        </w:numPr>
        <w:tabs>
          <w:tab w:val="clear" w:pos="1440"/>
          <w:tab w:val="num" w:pos="1170"/>
        </w:tabs>
        <w:spacing w:after="0" w:line="240" w:lineRule="auto"/>
        <w:ind w:left="630"/>
      </w:pPr>
      <w:r w:rsidRPr="009D0006">
        <w:t xml:space="preserve">Do programs of study culminate for </w:t>
      </w:r>
      <w:r w:rsidR="00ED646A" w:rsidRPr="009D0006">
        <w:t>all students</w:t>
      </w:r>
      <w:r w:rsidRPr="009D0006">
        <w:t xml:space="preserve"> in the attainment of postsecondary credentials, certifications, and/or degrees? Are these credentials, certifications, and degrees aligned with in-demand entry-level occupations?</w:t>
      </w:r>
      <w:r w:rsidR="003D2083" w:rsidRPr="009D0006">
        <w:t xml:space="preserve"> </w:t>
      </w:r>
    </w:p>
    <w:p w14:paraId="3A73377A" w14:textId="3FC95C0D" w:rsidR="00852A7A" w:rsidRPr="009D0006" w:rsidRDefault="00852A7A" w:rsidP="00852A7A">
      <w:pPr>
        <w:numPr>
          <w:ilvl w:val="1"/>
          <w:numId w:val="7"/>
        </w:numPr>
        <w:tabs>
          <w:tab w:val="clear" w:pos="1440"/>
          <w:tab w:val="num" w:pos="1170"/>
        </w:tabs>
        <w:spacing w:after="0" w:line="240" w:lineRule="auto"/>
        <w:ind w:left="630"/>
      </w:pPr>
      <w:r w:rsidRPr="009D0006">
        <w:t>What does postsecondary outcome data suggest about the efficacy of secondary-postsecondary programs of study/pathways? About students’ employment prospects? About differential outcomes for specific subpopulations?</w:t>
      </w:r>
    </w:p>
    <w:p w14:paraId="0180A40A" w14:textId="77777777" w:rsidR="0032680D" w:rsidRPr="00FD08A1" w:rsidRDefault="0032680D" w:rsidP="00486CF2">
      <w:pPr>
        <w:pStyle w:val="Heading4"/>
      </w:pPr>
      <w:r w:rsidRPr="00FD08A1">
        <w:t>Resources</w:t>
      </w:r>
    </w:p>
    <w:p w14:paraId="3F21CC5B" w14:textId="2CD10DB7" w:rsidR="0032680D" w:rsidRDefault="0032680D" w:rsidP="0032680D">
      <w:pPr>
        <w:spacing w:line="240" w:lineRule="auto"/>
      </w:pPr>
      <w:r w:rsidRPr="009D0006">
        <w:t xml:space="preserve">To engage in a more in-depth analysis of program staffing, see the DESE </w:t>
      </w:r>
      <w:hyperlink r:id="rId30" w:history="1">
        <w:r w:rsidRPr="00E52DA3">
          <w:rPr>
            <w:rStyle w:val="Hyperlink"/>
            <w:b/>
            <w:bCs/>
            <w:iCs/>
          </w:rPr>
          <w:t>Quality Assessment Tool</w:t>
        </w:r>
      </w:hyperlink>
      <w:r w:rsidRPr="00E52DA3">
        <w:rPr>
          <w:b/>
          <w:bCs/>
          <w:iCs/>
        </w:rPr>
        <w:t xml:space="preserve"> </w:t>
      </w:r>
      <w:r w:rsidRPr="009D0006">
        <w:t>(</w:t>
      </w:r>
      <w:r w:rsidR="0085361A" w:rsidRPr="00E52DA3">
        <w:t>Program Design</w:t>
      </w:r>
      <w:r w:rsidRPr="009D0006">
        <w:t xml:space="preserve"> section) and/or the ACTE </w:t>
      </w:r>
      <w:hyperlink r:id="rId31" w:history="1">
        <w:r w:rsidRPr="00E52DA3">
          <w:rPr>
            <w:rStyle w:val="Hyperlink"/>
            <w:b/>
            <w:bCs/>
            <w:iCs/>
          </w:rPr>
          <w:t>Quality CTE Program of Study Framework</w:t>
        </w:r>
      </w:hyperlink>
      <w:r w:rsidRPr="00E52DA3">
        <w:rPr>
          <w:rStyle w:val="Hyperlink"/>
          <w:b/>
          <w:bCs/>
          <w:iCs/>
        </w:rPr>
        <w:t xml:space="preserve"> </w:t>
      </w:r>
      <w:r w:rsidRPr="009D0006">
        <w:t xml:space="preserve"> (</w:t>
      </w:r>
      <w:r w:rsidR="00DD2DBF" w:rsidRPr="00E52DA3">
        <w:t xml:space="preserve">Standards-aligned and Integrated Curriculum </w:t>
      </w:r>
      <w:r w:rsidR="00DD2DBF" w:rsidRPr="009D0006">
        <w:t xml:space="preserve">and </w:t>
      </w:r>
      <w:r w:rsidR="00DD2DBF" w:rsidRPr="00E52DA3">
        <w:t>Sequencing and Articulation</w:t>
      </w:r>
      <w:r w:rsidR="00DD2DBF" w:rsidRPr="009D0006">
        <w:t xml:space="preserve"> </w:t>
      </w:r>
      <w:r w:rsidRPr="009D0006">
        <w:t>section</w:t>
      </w:r>
      <w:r w:rsidR="00DD2DBF" w:rsidRPr="009D0006">
        <w:t>s</w:t>
      </w:r>
      <w:r w:rsidRPr="009D0006">
        <w:t>).</w:t>
      </w:r>
      <w:r w:rsidR="0069099D">
        <w:t xml:space="preserve"> </w:t>
      </w:r>
      <w:r w:rsidR="00E84F14">
        <w:t>Also,</w:t>
      </w:r>
      <w:r w:rsidR="0069099D">
        <w:t xml:space="preserve"> see: </w:t>
      </w:r>
    </w:p>
    <w:p w14:paraId="7C70FD8B" w14:textId="25EEC36A" w:rsidR="0069099D" w:rsidRDefault="00734105" w:rsidP="00E84F14">
      <w:pPr>
        <w:pStyle w:val="ListParagraph"/>
        <w:numPr>
          <w:ilvl w:val="0"/>
          <w:numId w:val="29"/>
        </w:numPr>
        <w:spacing w:line="240" w:lineRule="auto"/>
      </w:pPr>
      <w:hyperlink r:id="rId32" w:history="1">
        <w:r w:rsidR="0069099D" w:rsidRPr="00E84F14">
          <w:rPr>
            <w:rStyle w:val="Hyperlink"/>
          </w:rPr>
          <w:t>Statewide Vocational Technical Education Articulation Agreements</w:t>
        </w:r>
      </w:hyperlink>
    </w:p>
    <w:p w14:paraId="39E63E15" w14:textId="5DCC52CE" w:rsidR="0069099D" w:rsidRDefault="00734105" w:rsidP="00E84F14">
      <w:pPr>
        <w:pStyle w:val="ListParagraph"/>
        <w:numPr>
          <w:ilvl w:val="0"/>
          <w:numId w:val="29"/>
        </w:numPr>
        <w:spacing w:line="240" w:lineRule="auto"/>
      </w:pPr>
      <w:hyperlink r:id="rId33" w:history="1">
        <w:r w:rsidR="0069099D" w:rsidRPr="0069099D">
          <w:rPr>
            <w:rStyle w:val="Hyperlink"/>
          </w:rPr>
          <w:t>Massachusetts Vocational Technical Education Frameworks</w:t>
        </w:r>
      </w:hyperlink>
    </w:p>
    <w:bookmarkStart w:id="3" w:name="_Hlk37060110"/>
    <w:p w14:paraId="6CC0EB3C" w14:textId="77777777" w:rsidR="00F26204" w:rsidRDefault="00F26204" w:rsidP="00F26204">
      <w:pPr>
        <w:pStyle w:val="ListParagraph"/>
        <w:numPr>
          <w:ilvl w:val="0"/>
          <w:numId w:val="29"/>
        </w:numPr>
        <w:spacing w:line="240" w:lineRule="auto"/>
        <w:rPr>
          <w:rFonts w:eastAsia="Times New Roman"/>
          <w:b/>
          <w:bCs/>
          <w:sz w:val="24"/>
          <w:szCs w:val="24"/>
          <w:u w:val="single"/>
        </w:rPr>
      </w:pPr>
      <w:r>
        <w:rPr>
          <w:rFonts w:eastAsia="Times New Roman"/>
        </w:rPr>
        <w:fldChar w:fldCharType="begin"/>
      </w:r>
      <w:r>
        <w:rPr>
          <w:rFonts w:eastAsia="Times New Roman"/>
        </w:rPr>
        <w:instrText xml:space="preserve"> HYPERLINK "http://www.doe.mass.edu/edwin/" </w:instrText>
      </w:r>
      <w:r>
        <w:rPr>
          <w:rFonts w:eastAsia="Times New Roman"/>
        </w:rPr>
        <w:fldChar w:fldCharType="separate"/>
      </w:r>
      <w:r>
        <w:rPr>
          <w:rStyle w:val="Hyperlink"/>
          <w:rFonts w:eastAsia="Times New Roman"/>
        </w:rPr>
        <w:t>Edwin</w:t>
      </w:r>
      <w:r>
        <w:rPr>
          <w:rFonts w:eastAsia="Times New Roman"/>
        </w:rPr>
        <w:fldChar w:fldCharType="end"/>
      </w:r>
      <w:r>
        <w:rPr>
          <w:rStyle w:val="Hyperlink"/>
          <w:rFonts w:eastAsia="Times New Roman"/>
        </w:rPr>
        <w:t xml:space="preserve"> </w:t>
      </w:r>
      <w:r>
        <w:rPr>
          <w:rFonts w:eastAsia="Times New Roman"/>
        </w:rPr>
        <w:t xml:space="preserve">CVTE Graduate Pathways Summary, Postsecondary Pathways &amp; Earnings Report [See </w:t>
      </w:r>
      <w:hyperlink r:id="rId34" w:history="1">
        <w:r>
          <w:rPr>
            <w:rStyle w:val="Hyperlink"/>
            <w:rFonts w:eastAsia="Times New Roman"/>
          </w:rPr>
          <w:t>Guide: Using Performance Outcomes to Improve CVTE Programming for Students</w:t>
        </w:r>
      </w:hyperlink>
      <w:r>
        <w:rPr>
          <w:rFonts w:eastAsia="Times New Roman"/>
        </w:rPr>
        <w:t xml:space="preserve"> for details on using Edwin.]</w:t>
      </w:r>
    </w:p>
    <w:p w14:paraId="634EF87F" w14:textId="3C358876" w:rsidR="00FD08A1" w:rsidRPr="00F26204" w:rsidRDefault="00FD08A1" w:rsidP="00F26204">
      <w:pPr>
        <w:spacing w:line="240" w:lineRule="auto"/>
        <w:ind w:left="360"/>
        <w:rPr>
          <w:b/>
          <w:sz w:val="24"/>
          <w:szCs w:val="24"/>
          <w:u w:val="single"/>
        </w:rPr>
      </w:pPr>
    </w:p>
    <w:bookmarkEnd w:id="3"/>
    <w:p w14:paraId="498E6C01" w14:textId="6CD51694" w:rsidR="000F4AE6" w:rsidRPr="00217E6E" w:rsidRDefault="000F4AE6" w:rsidP="00EF56DE">
      <w:pPr>
        <w:pStyle w:val="Heading2"/>
        <w:spacing w:before="240"/>
        <w:rPr>
          <w:b/>
        </w:rPr>
      </w:pPr>
      <w:r w:rsidRPr="00217E6E">
        <w:rPr>
          <w:b/>
        </w:rPr>
        <w:lastRenderedPageBreak/>
        <w:t>Part V: Recruitment, Retention, and Training of Faculty and Staff</w:t>
      </w:r>
    </w:p>
    <w:p w14:paraId="77D24A83" w14:textId="79142F88" w:rsidR="004870E6" w:rsidRPr="00C41990" w:rsidRDefault="004870E6" w:rsidP="00486CF2">
      <w:pPr>
        <w:pStyle w:val="Heading3"/>
        <w:spacing w:after="120"/>
        <w:ind w:left="720"/>
        <w:rPr>
          <w:b/>
        </w:rPr>
      </w:pPr>
      <w:r w:rsidRPr="00C41990">
        <w:rPr>
          <w:b/>
        </w:rPr>
        <w:t>How can we improve recruitment, retention, and training of our educational staff, inc</w:t>
      </w:r>
      <w:r w:rsidR="003F2879" w:rsidRPr="00C41990">
        <w:rPr>
          <w:b/>
        </w:rPr>
        <w:t xml:space="preserve">luding </w:t>
      </w:r>
      <w:r w:rsidR="009A4BB8" w:rsidRPr="00C41990">
        <w:rPr>
          <w:b/>
        </w:rPr>
        <w:t xml:space="preserve">those in </w:t>
      </w:r>
      <w:r w:rsidR="003F2879" w:rsidRPr="00C41990">
        <w:rPr>
          <w:b/>
        </w:rPr>
        <w:t>underrepresented groups?</w:t>
      </w:r>
    </w:p>
    <w:p w14:paraId="3B979F29" w14:textId="5C2CEF41" w:rsidR="006D0A95" w:rsidRDefault="0049028C" w:rsidP="0049028C">
      <w:pPr>
        <w:spacing w:line="240" w:lineRule="auto"/>
      </w:pPr>
      <w:r w:rsidRPr="00FD08A1">
        <w:t xml:space="preserve">Perkins V places new emphasis on CTE Program staff. Specifically, the law </w:t>
      </w:r>
      <w:r w:rsidRPr="00E938C9">
        <w:rPr>
          <w:b/>
          <w:bCs/>
        </w:rPr>
        <w:t>requires</w:t>
      </w:r>
      <w:r w:rsidRPr="00FD08A1">
        <w:t xml:space="preserve">, in Section 134(c)(2)(D), that each </w:t>
      </w:r>
      <w:r w:rsidR="00DC1DB4">
        <w:t>CLNA</w:t>
      </w:r>
      <w:r w:rsidRPr="00FD08A1">
        <w:t xml:space="preserve"> includ</w:t>
      </w:r>
      <w:r w:rsidR="006D0A95">
        <w:t>e</w:t>
      </w:r>
      <w:r w:rsidRPr="00FD08A1">
        <w:t xml:space="preserve"> </w:t>
      </w:r>
      <w:r w:rsidR="006D0A95">
        <w:t xml:space="preserve">– </w:t>
      </w:r>
    </w:p>
    <w:p w14:paraId="59816FDC" w14:textId="5B3E78A7" w:rsidR="0049028C" w:rsidRDefault="006D0A95" w:rsidP="00F600A7">
      <w:pPr>
        <w:spacing w:line="240" w:lineRule="auto"/>
        <w:ind w:left="720"/>
        <w:rPr>
          <w:sz w:val="20"/>
        </w:rPr>
      </w:pPr>
      <w:r>
        <w:rPr>
          <w:sz w:val="20"/>
        </w:rPr>
        <w:t xml:space="preserve">A </w:t>
      </w:r>
      <w:r w:rsidR="0049028C" w:rsidRPr="00F600A7">
        <w:rPr>
          <w:sz w:val="20"/>
        </w:rPr>
        <w:t>description of how the eligible recipient will improve recruitment, retention, and training of career and technical education teachers, faculty, specialized instructional support personnel, paraprofessionals, and career guidance and academic counselors, including individuals in groups underrepresented in such professions.</w:t>
      </w:r>
    </w:p>
    <w:p w14:paraId="738A69B5" w14:textId="77777777" w:rsidR="00E73242" w:rsidRPr="00E73242" w:rsidRDefault="00E73242" w:rsidP="00486CF2">
      <w:pPr>
        <w:pStyle w:val="Heading4"/>
      </w:pPr>
      <w:r w:rsidRPr="00E73242">
        <w:t>Your institution’s analysis should attempt to answer the following questions:</w:t>
      </w:r>
    </w:p>
    <w:p w14:paraId="711FBF36" w14:textId="2B88F600" w:rsidR="00CC45B3" w:rsidRPr="00931DE5" w:rsidRDefault="00394995" w:rsidP="00CC45B3">
      <w:pPr>
        <w:numPr>
          <w:ilvl w:val="1"/>
          <w:numId w:val="7"/>
        </w:numPr>
        <w:tabs>
          <w:tab w:val="clear" w:pos="1440"/>
          <w:tab w:val="num" w:pos="1170"/>
        </w:tabs>
        <w:spacing w:after="0" w:line="240" w:lineRule="auto"/>
        <w:ind w:left="630"/>
      </w:pPr>
      <w:r>
        <w:t>To what extent d</w:t>
      </w:r>
      <w:r w:rsidR="00CC45B3" w:rsidRPr="00931DE5">
        <w:t>oes staff</w:t>
      </w:r>
      <w:r w:rsidR="00E73242">
        <w:t>ing</w:t>
      </w:r>
      <w:r w:rsidR="00CC45B3" w:rsidRPr="00931DE5">
        <w:t xml:space="preserve"> at </w:t>
      </w:r>
      <w:r w:rsidR="00E73242">
        <w:t xml:space="preserve">our school </w:t>
      </w:r>
      <w:r w:rsidR="00CC45B3" w:rsidRPr="00931DE5">
        <w:t>reflect the demographic makeup of the student body?</w:t>
      </w:r>
    </w:p>
    <w:p w14:paraId="69F77A84" w14:textId="77777777" w:rsidR="00CC45B3" w:rsidRPr="00931DE5" w:rsidRDefault="00CC45B3" w:rsidP="00CC45B3">
      <w:pPr>
        <w:numPr>
          <w:ilvl w:val="1"/>
          <w:numId w:val="7"/>
        </w:numPr>
        <w:tabs>
          <w:tab w:val="clear" w:pos="1440"/>
          <w:tab w:val="num" w:pos="1170"/>
        </w:tabs>
        <w:spacing w:after="0" w:line="240" w:lineRule="auto"/>
        <w:ind w:left="630"/>
      </w:pPr>
      <w:r w:rsidRPr="00931DE5">
        <w:t>What processes are in place to recruit and induct new teachers and staff? Are these processes efficient and effective, especially for teachers coming from industry?</w:t>
      </w:r>
      <w:r w:rsidR="00782540" w:rsidRPr="00931DE5">
        <w:t xml:space="preserve"> How do these efforts attempt to address disparities between the demographic makeup of staff and students?</w:t>
      </w:r>
    </w:p>
    <w:p w14:paraId="56241C8D" w14:textId="45824976" w:rsidR="00782540" w:rsidRPr="00E50970" w:rsidRDefault="00782540" w:rsidP="00CC45B3">
      <w:pPr>
        <w:numPr>
          <w:ilvl w:val="1"/>
          <w:numId w:val="7"/>
        </w:numPr>
        <w:tabs>
          <w:tab w:val="clear" w:pos="1440"/>
          <w:tab w:val="num" w:pos="1170"/>
        </w:tabs>
        <w:spacing w:after="0" w:line="240" w:lineRule="auto"/>
        <w:ind w:left="630"/>
      </w:pPr>
      <w:r w:rsidRPr="00E50970">
        <w:t xml:space="preserve">In what areas does </w:t>
      </w:r>
      <w:r w:rsidR="00E73242">
        <w:t xml:space="preserve">our school </w:t>
      </w:r>
      <w:r w:rsidRPr="00E50970">
        <w:t>need to develop and/or recruit more educators?</w:t>
      </w:r>
    </w:p>
    <w:p w14:paraId="42683E11" w14:textId="6FFB8F9B" w:rsidR="00CC45B3" w:rsidRPr="00576E3E" w:rsidRDefault="00394995" w:rsidP="00CC45B3">
      <w:pPr>
        <w:numPr>
          <w:ilvl w:val="1"/>
          <w:numId w:val="7"/>
        </w:numPr>
        <w:tabs>
          <w:tab w:val="clear" w:pos="1440"/>
          <w:tab w:val="num" w:pos="1170"/>
        </w:tabs>
        <w:spacing w:after="0" w:line="240" w:lineRule="auto"/>
        <w:ind w:left="630"/>
      </w:pPr>
      <w:r>
        <w:t>To what extent a</w:t>
      </w:r>
      <w:r w:rsidR="00CC45B3" w:rsidRPr="00576E3E">
        <w:t xml:space="preserve">re all the educators teaching in </w:t>
      </w:r>
      <w:r w:rsidR="00E73242">
        <w:t xml:space="preserve">our </w:t>
      </w:r>
      <w:r w:rsidR="00E84F14">
        <w:t>school</w:t>
      </w:r>
      <w:r w:rsidR="000A5213">
        <w:t>’s</w:t>
      </w:r>
      <w:r w:rsidR="00E73242">
        <w:t xml:space="preserve"> </w:t>
      </w:r>
      <w:r w:rsidR="00CC45B3" w:rsidRPr="00576E3E">
        <w:t>programs adequately credentialed, including credentials, certifications, or other mechanisms to remain industry current?</w:t>
      </w:r>
    </w:p>
    <w:p w14:paraId="3421DAC8" w14:textId="70C203E0" w:rsidR="00CC45B3" w:rsidRPr="00576E3E" w:rsidRDefault="00394995" w:rsidP="00CC45B3">
      <w:pPr>
        <w:numPr>
          <w:ilvl w:val="1"/>
          <w:numId w:val="7"/>
        </w:numPr>
        <w:tabs>
          <w:tab w:val="clear" w:pos="1440"/>
          <w:tab w:val="num" w:pos="1170"/>
        </w:tabs>
        <w:spacing w:after="0" w:line="240" w:lineRule="auto"/>
        <w:ind w:left="630"/>
      </w:pPr>
      <w:r>
        <w:t>To what extent does our school</w:t>
      </w:r>
      <w:r w:rsidR="00CC45B3" w:rsidRPr="00576E3E">
        <w:t xml:space="preserve"> offer regular, substantive professional development opportunities? Do all staff members have equal opportunities to participate in </w:t>
      </w:r>
      <w:r w:rsidR="00782540" w:rsidRPr="00576E3E">
        <w:t>appropriate professional development opportunities?</w:t>
      </w:r>
    </w:p>
    <w:p w14:paraId="1EADF848" w14:textId="256AA3B9" w:rsidR="004D6B45" w:rsidRPr="00576E3E" w:rsidRDefault="00394995" w:rsidP="002E38FB">
      <w:pPr>
        <w:numPr>
          <w:ilvl w:val="1"/>
          <w:numId w:val="7"/>
        </w:numPr>
        <w:tabs>
          <w:tab w:val="clear" w:pos="1440"/>
          <w:tab w:val="num" w:pos="1170"/>
        </w:tabs>
        <w:spacing w:after="0" w:line="240" w:lineRule="auto"/>
        <w:ind w:left="630"/>
      </w:pPr>
      <w:r>
        <w:t>To what extent do our</w:t>
      </w:r>
      <w:r w:rsidR="004D6B45" w:rsidRPr="00576E3E">
        <w:t xml:space="preserve"> educators provide input on areas for professional development?</w:t>
      </w:r>
    </w:p>
    <w:p w14:paraId="11D304E0" w14:textId="03B5E5C6" w:rsidR="00782540" w:rsidRDefault="004D6B45" w:rsidP="002E38FB">
      <w:pPr>
        <w:numPr>
          <w:ilvl w:val="1"/>
          <w:numId w:val="7"/>
        </w:numPr>
        <w:tabs>
          <w:tab w:val="clear" w:pos="1440"/>
          <w:tab w:val="num" w:pos="1170"/>
        </w:tabs>
        <w:spacing w:after="0" w:line="240" w:lineRule="auto"/>
        <w:ind w:left="630"/>
      </w:pPr>
      <w:r w:rsidRPr="001B6723">
        <w:t>W</w:t>
      </w:r>
      <w:r w:rsidR="00782540" w:rsidRPr="001B6723">
        <w:t xml:space="preserve">hat do </w:t>
      </w:r>
      <w:r w:rsidR="00394995">
        <w:t>our school’s</w:t>
      </w:r>
      <w:r w:rsidR="00782540" w:rsidRPr="001B6723">
        <w:t xml:space="preserve"> educators report as needs and preferences for professional development and supports?</w:t>
      </w:r>
    </w:p>
    <w:p w14:paraId="743C86D0" w14:textId="67641B79" w:rsidR="00D37FFB" w:rsidRPr="001B6723" w:rsidRDefault="00D37FFB" w:rsidP="002E38FB">
      <w:pPr>
        <w:numPr>
          <w:ilvl w:val="1"/>
          <w:numId w:val="7"/>
        </w:numPr>
        <w:tabs>
          <w:tab w:val="clear" w:pos="1440"/>
          <w:tab w:val="num" w:pos="1170"/>
        </w:tabs>
        <w:spacing w:after="0" w:line="240" w:lineRule="auto"/>
        <w:ind w:left="630"/>
      </w:pPr>
      <w:r>
        <w:t xml:space="preserve">What are the barriers to hiring qualified staff? </w:t>
      </w:r>
      <w:r w:rsidR="00C16D5B">
        <w:t>(</w:t>
      </w:r>
      <w:r w:rsidR="00223458">
        <w:t>Consider how to address factors such as</w:t>
      </w:r>
      <w:r>
        <w:t xml:space="preserve"> the full-employment economy, competition for salaries at living wage for the area, affordable childcare.</w:t>
      </w:r>
      <w:r w:rsidR="00C16D5B">
        <w:t>)</w:t>
      </w:r>
      <w:r>
        <w:t xml:space="preserve"> </w:t>
      </w:r>
    </w:p>
    <w:p w14:paraId="0E879EE3" w14:textId="6E45DFFA" w:rsidR="003D2083" w:rsidRPr="001B6723" w:rsidRDefault="00782540" w:rsidP="00A57D5C">
      <w:pPr>
        <w:numPr>
          <w:ilvl w:val="1"/>
          <w:numId w:val="4"/>
        </w:numPr>
        <w:spacing w:after="0" w:line="240" w:lineRule="auto"/>
        <w:ind w:left="630"/>
      </w:pPr>
      <w:r w:rsidRPr="001B6723">
        <w:t xml:space="preserve">When educators leave employment at </w:t>
      </w:r>
      <w:r w:rsidR="00394995">
        <w:t>our school</w:t>
      </w:r>
      <w:r w:rsidRPr="001B6723">
        <w:t xml:space="preserve">, </w:t>
      </w:r>
      <w:r w:rsidR="00394995">
        <w:t>what is the</w:t>
      </w:r>
      <w:r w:rsidR="00C62D66" w:rsidRPr="001B6723">
        <w:t xml:space="preserve"> process to </w:t>
      </w:r>
      <w:r w:rsidRPr="001B6723">
        <w:t xml:space="preserve">determine their reasons for departure? </w:t>
      </w:r>
      <w:r w:rsidR="00394995">
        <w:t>Do we</w:t>
      </w:r>
      <w:r w:rsidRPr="001B6723">
        <w:t xml:space="preserve"> examine responses for patterns and possible interventions?</w:t>
      </w:r>
      <w:r w:rsidR="003D2083" w:rsidRPr="001B6723">
        <w:t xml:space="preserve"> </w:t>
      </w:r>
    </w:p>
    <w:p w14:paraId="2D5B7909" w14:textId="77777777" w:rsidR="00FD08A1" w:rsidRDefault="00CC45B3" w:rsidP="00486CF2">
      <w:pPr>
        <w:pStyle w:val="Heading4"/>
      </w:pPr>
      <w:r w:rsidRPr="00FD08A1">
        <w:t>Resources</w:t>
      </w:r>
    </w:p>
    <w:p w14:paraId="6CEE4839" w14:textId="46D8AA17" w:rsidR="00CC45B3" w:rsidRDefault="000F4111" w:rsidP="00FD08A1">
      <w:pPr>
        <w:spacing w:line="240" w:lineRule="auto"/>
      </w:pPr>
      <w:r w:rsidRPr="00931DE5">
        <w:t xml:space="preserve">To engage in a more </w:t>
      </w:r>
      <w:r w:rsidR="00782540" w:rsidRPr="00931DE5">
        <w:t xml:space="preserve">in-depth analysis of </w:t>
      </w:r>
      <w:r w:rsidRPr="00931DE5">
        <w:t xml:space="preserve">program staffing, see the DESE </w:t>
      </w:r>
      <w:hyperlink r:id="rId35" w:history="1">
        <w:r w:rsidRPr="00FD08A1">
          <w:rPr>
            <w:rStyle w:val="Hyperlink"/>
            <w:b/>
            <w:bCs/>
            <w:iCs/>
          </w:rPr>
          <w:t>Quality Assessment Tool</w:t>
        </w:r>
      </w:hyperlink>
      <w:r w:rsidRPr="00FD08A1">
        <w:rPr>
          <w:b/>
          <w:bCs/>
          <w:iCs/>
        </w:rPr>
        <w:t xml:space="preserve"> </w:t>
      </w:r>
      <w:r w:rsidRPr="00931DE5">
        <w:t>(</w:t>
      </w:r>
      <w:r w:rsidRPr="00FD08A1">
        <w:t>Personnel</w:t>
      </w:r>
      <w:r w:rsidRPr="00931DE5">
        <w:t xml:space="preserve"> section) and/or the ACTE </w:t>
      </w:r>
      <w:hyperlink r:id="rId36" w:history="1">
        <w:r w:rsidRPr="00FD08A1">
          <w:rPr>
            <w:rStyle w:val="Hyperlink"/>
            <w:b/>
            <w:bCs/>
            <w:iCs/>
          </w:rPr>
          <w:t>Quality CTE Program of Study Framework</w:t>
        </w:r>
      </w:hyperlink>
      <w:r w:rsidRPr="00FD08A1">
        <w:rPr>
          <w:rStyle w:val="Hyperlink"/>
          <w:b/>
          <w:bCs/>
          <w:iCs/>
        </w:rPr>
        <w:t xml:space="preserve"> </w:t>
      </w:r>
      <w:r w:rsidRPr="00931DE5">
        <w:t xml:space="preserve"> (</w:t>
      </w:r>
      <w:r w:rsidRPr="00FD08A1">
        <w:t>Prepared and Effective Program Staff</w:t>
      </w:r>
      <w:r w:rsidRPr="00931DE5">
        <w:t xml:space="preserve"> section).</w:t>
      </w:r>
      <w:r w:rsidR="00E84F14">
        <w:t xml:space="preserve"> Also, see:</w:t>
      </w:r>
    </w:p>
    <w:p w14:paraId="25FAC1FF" w14:textId="61B24F77" w:rsidR="00E84F14" w:rsidRDefault="00734105" w:rsidP="00E84F14">
      <w:pPr>
        <w:pStyle w:val="ListParagraph"/>
        <w:numPr>
          <w:ilvl w:val="0"/>
          <w:numId w:val="30"/>
        </w:numPr>
        <w:spacing w:line="240" w:lineRule="auto"/>
      </w:pPr>
      <w:hyperlink r:id="rId37" w:history="1">
        <w:r w:rsidR="00E84F14" w:rsidRPr="00E84F14">
          <w:rPr>
            <w:rStyle w:val="Hyperlink"/>
          </w:rPr>
          <w:t>Massachusetts Vocational Technical Education Regulations, 603 CMR 4.00</w:t>
        </w:r>
      </w:hyperlink>
    </w:p>
    <w:bookmarkStart w:id="4" w:name="_Hlk37060268"/>
    <w:p w14:paraId="109F7F85" w14:textId="51B7CC50" w:rsidR="00E84F14" w:rsidRDefault="00F26204" w:rsidP="00F26204">
      <w:pPr>
        <w:pStyle w:val="ListParagraph"/>
        <w:numPr>
          <w:ilvl w:val="0"/>
          <w:numId w:val="30"/>
        </w:numPr>
        <w:spacing w:line="240" w:lineRule="auto"/>
        <w:rPr>
          <w:rFonts w:eastAsia="Times New Roman"/>
        </w:rPr>
      </w:pPr>
      <w:r>
        <w:rPr>
          <w:rFonts w:eastAsia="Times New Roman"/>
        </w:rPr>
        <w:fldChar w:fldCharType="begin"/>
      </w:r>
      <w:r>
        <w:rPr>
          <w:rFonts w:eastAsia="Times New Roman"/>
        </w:rPr>
        <w:instrText xml:space="preserve"> HYPERLINK "http://www.doe.mass.edu/edwin/" </w:instrText>
      </w:r>
      <w:r>
        <w:rPr>
          <w:rFonts w:eastAsia="Times New Roman"/>
        </w:rPr>
        <w:fldChar w:fldCharType="separate"/>
      </w:r>
      <w:r>
        <w:rPr>
          <w:rStyle w:val="Hyperlink"/>
          <w:rFonts w:eastAsia="Times New Roman"/>
        </w:rPr>
        <w:t>Edwin</w:t>
      </w:r>
      <w:r>
        <w:rPr>
          <w:rFonts w:eastAsia="Times New Roman"/>
        </w:rPr>
        <w:fldChar w:fldCharType="end"/>
      </w:r>
      <w:r>
        <w:rPr>
          <w:rFonts w:eastAsia="Times New Roman"/>
        </w:rPr>
        <w:t xml:space="preserve"> Out of Field Report [See </w:t>
      </w:r>
      <w:hyperlink r:id="rId38" w:history="1">
        <w:r>
          <w:rPr>
            <w:rStyle w:val="Hyperlink"/>
            <w:rFonts w:eastAsia="Times New Roman"/>
          </w:rPr>
          <w:t>Guide: Using Performance Outcomes to Improve CVTE Programming for Students</w:t>
        </w:r>
      </w:hyperlink>
      <w:r>
        <w:rPr>
          <w:rFonts w:eastAsia="Times New Roman"/>
        </w:rPr>
        <w:t xml:space="preserve"> for details on using Edwin.]</w:t>
      </w:r>
    </w:p>
    <w:p w14:paraId="132609E8" w14:textId="77777777" w:rsidR="00F26204" w:rsidRPr="00F26204" w:rsidRDefault="00F26204" w:rsidP="00F26204">
      <w:pPr>
        <w:pStyle w:val="ListParagraph"/>
        <w:spacing w:line="240" w:lineRule="auto"/>
        <w:rPr>
          <w:rFonts w:eastAsia="Times New Roman"/>
        </w:rPr>
      </w:pPr>
    </w:p>
    <w:bookmarkEnd w:id="4"/>
    <w:p w14:paraId="38812433" w14:textId="050D1E81" w:rsidR="000F4AE6" w:rsidRPr="00217E6E" w:rsidRDefault="000F4AE6" w:rsidP="00EF56DE">
      <w:pPr>
        <w:pStyle w:val="Heading2"/>
        <w:spacing w:before="240"/>
        <w:rPr>
          <w:b/>
        </w:rPr>
      </w:pPr>
      <w:r w:rsidRPr="00217E6E">
        <w:rPr>
          <w:b/>
        </w:rPr>
        <w:t>Part VI: Progress toward</w:t>
      </w:r>
      <w:r w:rsidR="00832595">
        <w:rPr>
          <w:b/>
        </w:rPr>
        <w:t xml:space="preserve"> </w:t>
      </w:r>
      <w:r w:rsidRPr="00217E6E">
        <w:rPr>
          <w:b/>
        </w:rPr>
        <w:t>Improving Equity and Access</w:t>
      </w:r>
    </w:p>
    <w:p w14:paraId="4D567A17" w14:textId="60F914A1" w:rsidR="004870E6" w:rsidRPr="00731B77" w:rsidRDefault="004870E6" w:rsidP="00486CF2">
      <w:pPr>
        <w:pStyle w:val="Heading3"/>
        <w:spacing w:after="120"/>
        <w:ind w:left="720"/>
        <w:rPr>
          <w:b/>
        </w:rPr>
      </w:pPr>
      <w:r w:rsidRPr="00FA6512">
        <w:rPr>
          <w:b/>
        </w:rPr>
        <w:t>Do we ensure that all students have both access and support to ensure participation in our CTE programs</w:t>
      </w:r>
      <w:r w:rsidR="003F2879" w:rsidRPr="00FA6512">
        <w:rPr>
          <w:b/>
        </w:rPr>
        <w:t>?</w:t>
      </w:r>
    </w:p>
    <w:p w14:paraId="3207696F" w14:textId="0B185F81" w:rsidR="006D0A95" w:rsidRDefault="00F2501A" w:rsidP="005660B2">
      <w:pPr>
        <w:spacing w:line="240" w:lineRule="auto"/>
      </w:pPr>
      <w:r w:rsidRPr="00FD08A1">
        <w:t xml:space="preserve">Perkins V also places greater emphasis on issues of equity and access. Specifically, the new law </w:t>
      </w:r>
      <w:r w:rsidRPr="00E938C9">
        <w:rPr>
          <w:b/>
          <w:bCs/>
        </w:rPr>
        <w:t>requires</w:t>
      </w:r>
      <w:r w:rsidRPr="00FD08A1">
        <w:t xml:space="preserve">, in Section 134(c)(2)(E), that each </w:t>
      </w:r>
      <w:r w:rsidR="00DC1DB4">
        <w:t>CLNA</w:t>
      </w:r>
      <w:r w:rsidRPr="00FD08A1">
        <w:t xml:space="preserve"> include</w:t>
      </w:r>
      <w:r w:rsidR="006D0A95">
        <w:t xml:space="preserve"> – </w:t>
      </w:r>
    </w:p>
    <w:p w14:paraId="09969BBA" w14:textId="489B7F3F" w:rsidR="000F4AE6" w:rsidRDefault="006D0A95" w:rsidP="00F600A7">
      <w:pPr>
        <w:spacing w:line="240" w:lineRule="auto"/>
        <w:ind w:left="720"/>
        <w:rPr>
          <w:sz w:val="20"/>
        </w:rPr>
      </w:pPr>
      <w:r>
        <w:rPr>
          <w:sz w:val="20"/>
        </w:rPr>
        <w:lastRenderedPageBreak/>
        <w:t xml:space="preserve">A </w:t>
      </w:r>
      <w:r w:rsidR="00F2501A" w:rsidRPr="00F600A7">
        <w:rPr>
          <w:sz w:val="20"/>
        </w:rPr>
        <w:t>description of progress toward implementation of equal access to high-quality career and technical education courses and programs of study for all students, including— (i) strategies to overcome barriers that result in lower rates of access to, or performance gaps in, the courses and programs for special populations; (ii) providing programs that are designed to enable special populations to meet the local levels of performance; and (iii) providing activities to prepare special populations for high-skill, high-wage, or in-demand industry sectors or occupations in competitive, integrated settings that will lead to self-sufficiency.</w:t>
      </w:r>
    </w:p>
    <w:p w14:paraId="71E0DA1A" w14:textId="0169698D" w:rsidR="00F2501A" w:rsidRPr="00394995" w:rsidRDefault="00F2501A" w:rsidP="00486CF2">
      <w:pPr>
        <w:pStyle w:val="Heading4"/>
      </w:pPr>
      <w:r w:rsidRPr="00394995">
        <w:t xml:space="preserve">Your </w:t>
      </w:r>
      <w:r w:rsidR="003D03F8" w:rsidRPr="00394995">
        <w:t xml:space="preserve">institution’s </w:t>
      </w:r>
      <w:r w:rsidRPr="00394995">
        <w:t>analysis should attempt to answer the following questions:</w:t>
      </w:r>
    </w:p>
    <w:p w14:paraId="5A1C05BD" w14:textId="1A6ABB83" w:rsidR="00F2501A" w:rsidRPr="00931DE5" w:rsidRDefault="00FD322B" w:rsidP="00F2501A">
      <w:pPr>
        <w:numPr>
          <w:ilvl w:val="1"/>
          <w:numId w:val="7"/>
        </w:numPr>
        <w:tabs>
          <w:tab w:val="clear" w:pos="1440"/>
          <w:tab w:val="num" w:pos="1170"/>
        </w:tabs>
        <w:spacing w:after="0" w:line="240" w:lineRule="auto"/>
        <w:ind w:left="630"/>
      </w:pPr>
      <w:r w:rsidRPr="00931DE5">
        <w:t xml:space="preserve">Which population groups are underrepresented in </w:t>
      </w:r>
      <w:r w:rsidR="00394995">
        <w:t>our school’s</w:t>
      </w:r>
      <w:r w:rsidRPr="00931DE5">
        <w:t xml:space="preserve"> CTE programs overall and by program</w:t>
      </w:r>
      <w:r w:rsidR="00F2501A" w:rsidRPr="00931DE5">
        <w:t>?</w:t>
      </w:r>
      <w:r w:rsidRPr="00931DE5">
        <w:t xml:space="preserve"> Which groups are overrepresented?</w:t>
      </w:r>
      <w:r w:rsidR="00D37FFB">
        <w:t xml:space="preserve"> </w:t>
      </w:r>
      <w:r w:rsidR="00C16D5B">
        <w:t>(</w:t>
      </w:r>
      <w:r w:rsidR="00D37FFB">
        <w:t>Demographics should be aligned to your entire district. Be sure to make comparisons to your entire catchment area, not just a subset of sending schools.</w:t>
      </w:r>
      <w:r w:rsidR="00C16D5B">
        <w:t>)</w:t>
      </w:r>
    </w:p>
    <w:p w14:paraId="4275D057" w14:textId="7FDC0E0F" w:rsidR="00C80CA3" w:rsidRPr="00931DE5" w:rsidRDefault="00253D27" w:rsidP="00F2501A">
      <w:pPr>
        <w:numPr>
          <w:ilvl w:val="1"/>
          <w:numId w:val="7"/>
        </w:numPr>
        <w:tabs>
          <w:tab w:val="clear" w:pos="1440"/>
          <w:tab w:val="num" w:pos="1170"/>
        </w:tabs>
        <w:spacing w:after="0" w:line="240" w:lineRule="auto"/>
        <w:ind w:left="630"/>
      </w:pPr>
      <w:r w:rsidRPr="00931DE5">
        <w:t>Which groups are underrepresented in our programs that lead to high-wage and high-skill employment?</w:t>
      </w:r>
    </w:p>
    <w:p w14:paraId="3CC68162" w14:textId="3D480B61" w:rsidR="00FD322B" w:rsidRPr="00576E3E" w:rsidRDefault="00394995" w:rsidP="00F2501A">
      <w:pPr>
        <w:numPr>
          <w:ilvl w:val="1"/>
          <w:numId w:val="7"/>
        </w:numPr>
        <w:tabs>
          <w:tab w:val="clear" w:pos="1440"/>
          <w:tab w:val="num" w:pos="1170"/>
        </w:tabs>
        <w:spacing w:after="0" w:line="240" w:lineRule="auto"/>
        <w:ind w:left="630"/>
      </w:pPr>
      <w:r>
        <w:t>To what extent a</w:t>
      </w:r>
      <w:r w:rsidR="00C80CA3" w:rsidRPr="00E50970">
        <w:t xml:space="preserve">re there </w:t>
      </w:r>
      <w:r w:rsidR="00FD322B" w:rsidRPr="00E50970">
        <w:t xml:space="preserve">barriers that limit special population groups from accessing </w:t>
      </w:r>
      <w:r>
        <w:t>our school’s</w:t>
      </w:r>
      <w:r w:rsidR="00FD322B" w:rsidRPr="00E50970">
        <w:t xml:space="preserve"> CTE programs, either in general, or by specific program?</w:t>
      </w:r>
    </w:p>
    <w:p w14:paraId="265E63AC" w14:textId="6EE45F80" w:rsidR="00C80CA3" w:rsidRPr="00576E3E" w:rsidRDefault="00394995" w:rsidP="00C80CA3">
      <w:pPr>
        <w:numPr>
          <w:ilvl w:val="1"/>
          <w:numId w:val="7"/>
        </w:numPr>
        <w:tabs>
          <w:tab w:val="clear" w:pos="1440"/>
          <w:tab w:val="num" w:pos="1170"/>
        </w:tabs>
        <w:spacing w:after="0" w:line="240" w:lineRule="auto"/>
        <w:ind w:left="630"/>
      </w:pPr>
      <w:r>
        <w:t>To what extent d</w:t>
      </w:r>
      <w:r w:rsidR="00C80CA3" w:rsidRPr="00576E3E">
        <w:t xml:space="preserve">o </w:t>
      </w:r>
      <w:r>
        <w:t>our school’s</w:t>
      </w:r>
      <w:r w:rsidR="00C80CA3" w:rsidRPr="00576E3E">
        <w:t xml:space="preserve"> programs incorporate relevant academic, technical and employability skills at every learner level?</w:t>
      </w:r>
    </w:p>
    <w:p w14:paraId="70C85555" w14:textId="18177425" w:rsidR="003D2083" w:rsidRDefault="00394995" w:rsidP="00394995">
      <w:pPr>
        <w:numPr>
          <w:ilvl w:val="1"/>
          <w:numId w:val="4"/>
        </w:numPr>
        <w:spacing w:after="0" w:line="240" w:lineRule="auto"/>
        <w:ind w:left="630"/>
      </w:pPr>
      <w:r>
        <w:t>To what extent do we</w:t>
      </w:r>
      <w:r w:rsidR="00C80CA3" w:rsidRPr="00576E3E">
        <w:t xml:space="preserve"> have</w:t>
      </w:r>
      <w:r w:rsidR="00FD322B" w:rsidRPr="00576E3E">
        <w:t xml:space="preserve"> accommodations, modifications, and supports </w:t>
      </w:r>
      <w:r>
        <w:t xml:space="preserve">in place </w:t>
      </w:r>
      <w:r w:rsidR="00C80CA3" w:rsidRPr="00576E3E">
        <w:t xml:space="preserve">to </w:t>
      </w:r>
      <w:r w:rsidR="00FD322B" w:rsidRPr="00576E3E">
        <w:t xml:space="preserve">help ensure access and equity for all students </w:t>
      </w:r>
      <w:r w:rsidR="00FD322B" w:rsidRPr="001B6723">
        <w:t xml:space="preserve">within </w:t>
      </w:r>
      <w:r>
        <w:t>our</w:t>
      </w:r>
      <w:r w:rsidR="00FD322B" w:rsidRPr="001B6723">
        <w:t xml:space="preserve"> programs?</w:t>
      </w:r>
      <w:r>
        <w:t xml:space="preserve"> How c</w:t>
      </w:r>
      <w:r w:rsidR="00C80CA3" w:rsidRPr="001B6723">
        <w:t>ould they be improved?</w:t>
      </w:r>
      <w:r w:rsidR="003D2083" w:rsidRPr="001B6723">
        <w:t xml:space="preserve"> </w:t>
      </w:r>
    </w:p>
    <w:p w14:paraId="61415F89" w14:textId="3D77E789" w:rsidR="00D37FFB" w:rsidRPr="001B6723" w:rsidRDefault="00D37FFB" w:rsidP="00394995">
      <w:pPr>
        <w:numPr>
          <w:ilvl w:val="1"/>
          <w:numId w:val="4"/>
        </w:numPr>
        <w:spacing w:after="0" w:line="240" w:lineRule="auto"/>
        <w:ind w:left="630"/>
      </w:pPr>
      <w:r>
        <w:t xml:space="preserve">What groups are underrepresented in </w:t>
      </w:r>
      <w:r w:rsidR="00CA1EC6">
        <w:t xml:space="preserve">our career and technical </w:t>
      </w:r>
      <w:r>
        <w:t xml:space="preserve">student organizations, </w:t>
      </w:r>
      <w:r w:rsidR="00CA1EC6">
        <w:t>(</w:t>
      </w:r>
      <w:r w:rsidR="00CA1EC6">
        <w:rPr>
          <w:i/>
        </w:rPr>
        <w:t xml:space="preserve">e.g., </w:t>
      </w:r>
      <w:r>
        <w:t xml:space="preserve">SkillsUSA, </w:t>
      </w:r>
      <w:r w:rsidR="00CA1EC6">
        <w:t>DECA</w:t>
      </w:r>
      <w:r>
        <w:t>,</w:t>
      </w:r>
      <w:r w:rsidR="00CA1EC6">
        <w:t xml:space="preserve"> BPA, </w:t>
      </w:r>
      <w:r>
        <w:t>HOSA, FFA</w:t>
      </w:r>
      <w:r w:rsidR="00CA1EC6">
        <w:t>)?</w:t>
      </w:r>
    </w:p>
    <w:p w14:paraId="17FE474D" w14:textId="77777777" w:rsidR="00F2501A" w:rsidRPr="00355334" w:rsidRDefault="00F2501A" w:rsidP="00486CF2">
      <w:pPr>
        <w:pStyle w:val="Heading4"/>
      </w:pPr>
      <w:r w:rsidRPr="00355334">
        <w:t>Resources</w:t>
      </w:r>
    </w:p>
    <w:p w14:paraId="7A19BFB8" w14:textId="77777777" w:rsidR="009A4BB8" w:rsidRDefault="00734105" w:rsidP="009A4BB8">
      <w:pPr>
        <w:pStyle w:val="ListParagraph"/>
        <w:numPr>
          <w:ilvl w:val="0"/>
          <w:numId w:val="22"/>
        </w:numPr>
        <w:spacing w:line="240" w:lineRule="auto"/>
      </w:pPr>
      <w:hyperlink r:id="rId39" w:history="1">
        <w:r w:rsidR="009A4BB8" w:rsidRPr="00931DE5">
          <w:rPr>
            <w:rStyle w:val="Hyperlink"/>
          </w:rPr>
          <w:t>Guide: Using Performance Outcomes to Improve CVTE Programs for Students</w:t>
        </w:r>
      </w:hyperlink>
    </w:p>
    <w:p w14:paraId="5559D0AA" w14:textId="77777777" w:rsidR="00E432B5" w:rsidRDefault="009A4BB8" w:rsidP="00FD08A1">
      <w:pPr>
        <w:pStyle w:val="ListParagraph"/>
        <w:numPr>
          <w:ilvl w:val="1"/>
          <w:numId w:val="22"/>
        </w:numPr>
        <w:spacing w:line="240" w:lineRule="auto"/>
      </w:pPr>
      <w:r>
        <w:t>Enrollment Analysis section</w:t>
      </w:r>
    </w:p>
    <w:p w14:paraId="11021C15" w14:textId="70E7BA3A" w:rsidR="00F2501A" w:rsidRPr="00931DE5" w:rsidRDefault="00F2501A" w:rsidP="00FD08A1">
      <w:pPr>
        <w:pStyle w:val="ListParagraph"/>
        <w:numPr>
          <w:ilvl w:val="0"/>
          <w:numId w:val="22"/>
        </w:numPr>
        <w:spacing w:line="240" w:lineRule="auto"/>
      </w:pPr>
      <w:r w:rsidRPr="00931DE5">
        <w:t xml:space="preserve">To engage in a more in-depth analysis of program equity, see the DESE </w:t>
      </w:r>
      <w:hyperlink r:id="rId40" w:history="1">
        <w:r w:rsidRPr="00FD08A1">
          <w:rPr>
            <w:rStyle w:val="Hyperlink"/>
            <w:b/>
            <w:bCs/>
            <w:iCs/>
          </w:rPr>
          <w:t>Quality Assessment Tool</w:t>
        </w:r>
      </w:hyperlink>
      <w:r w:rsidRPr="00FD08A1">
        <w:rPr>
          <w:b/>
          <w:bCs/>
          <w:iCs/>
        </w:rPr>
        <w:t xml:space="preserve"> </w:t>
      </w:r>
      <w:r w:rsidRPr="00931DE5">
        <w:t>(</w:t>
      </w:r>
      <w:r w:rsidRPr="00FD08A1">
        <w:t>Equitable Access and Support</w:t>
      </w:r>
      <w:r w:rsidRPr="00931DE5">
        <w:t xml:space="preserve"> section) and</w:t>
      </w:r>
      <w:r w:rsidR="00E432B5">
        <w:t xml:space="preserve"> </w:t>
      </w:r>
      <w:r w:rsidRPr="00931DE5">
        <w:t xml:space="preserve">the ACTE </w:t>
      </w:r>
      <w:hyperlink r:id="rId41" w:history="1">
        <w:r w:rsidRPr="00FD08A1">
          <w:rPr>
            <w:rStyle w:val="Hyperlink"/>
            <w:b/>
            <w:bCs/>
            <w:iCs/>
          </w:rPr>
          <w:t>Quality CTE Program of Study Framework</w:t>
        </w:r>
      </w:hyperlink>
      <w:r w:rsidRPr="00FD08A1">
        <w:rPr>
          <w:rStyle w:val="Hyperlink"/>
          <w:b/>
          <w:bCs/>
          <w:iCs/>
        </w:rPr>
        <w:t xml:space="preserve"> </w:t>
      </w:r>
      <w:r w:rsidRPr="00931DE5">
        <w:t xml:space="preserve"> (</w:t>
      </w:r>
      <w:r w:rsidRPr="00FD08A1">
        <w:t xml:space="preserve">Access and Equity </w:t>
      </w:r>
      <w:r w:rsidRPr="00931DE5">
        <w:t>section).</w:t>
      </w:r>
    </w:p>
    <w:p w14:paraId="308B4119" w14:textId="5DB2CDAF" w:rsidR="00394995" w:rsidRPr="00217E6E" w:rsidRDefault="00394995" w:rsidP="00841467">
      <w:pPr>
        <w:pStyle w:val="Heading1"/>
        <w:spacing w:before="360" w:after="120"/>
        <w:rPr>
          <w:b/>
        </w:rPr>
      </w:pPr>
      <w:r w:rsidRPr="00217E6E">
        <w:rPr>
          <w:b/>
        </w:rPr>
        <w:t xml:space="preserve">Putting </w:t>
      </w:r>
      <w:r w:rsidR="008C2CA4">
        <w:rPr>
          <w:b/>
        </w:rPr>
        <w:t>It</w:t>
      </w:r>
      <w:r w:rsidR="008C2CA4" w:rsidRPr="00217E6E">
        <w:rPr>
          <w:b/>
        </w:rPr>
        <w:t xml:space="preserve"> </w:t>
      </w:r>
      <w:r w:rsidRPr="00217E6E">
        <w:rPr>
          <w:b/>
        </w:rPr>
        <w:t xml:space="preserve">All Together </w:t>
      </w:r>
      <w:r w:rsidR="008C2CA4">
        <w:rPr>
          <w:b/>
        </w:rPr>
        <w:t xml:space="preserve">– the </w:t>
      </w:r>
      <w:r w:rsidR="008B2A48">
        <w:rPr>
          <w:b/>
        </w:rPr>
        <w:t>F</w:t>
      </w:r>
      <w:r w:rsidR="008C2CA4">
        <w:rPr>
          <w:b/>
        </w:rPr>
        <w:t>indings</w:t>
      </w:r>
    </w:p>
    <w:p w14:paraId="694D22AA" w14:textId="7C339AEC" w:rsidR="00394995" w:rsidRDefault="00785DD0" w:rsidP="00394995">
      <w:pPr>
        <w:spacing w:line="240" w:lineRule="auto"/>
      </w:pPr>
      <w:r>
        <w:t xml:space="preserve">We suggest using </w:t>
      </w:r>
      <w:r w:rsidR="00C13E72">
        <w:t xml:space="preserve">one or both of </w:t>
      </w:r>
      <w:r w:rsidR="00394995">
        <w:t>the</w:t>
      </w:r>
      <w:r w:rsidR="00C13E72">
        <w:t>se</w:t>
      </w:r>
      <w:r w:rsidR="00394995">
        <w:t xml:space="preserve"> </w:t>
      </w:r>
      <w:hyperlink r:id="rId42" w:history="1">
        <w:r w:rsidR="00841467" w:rsidRPr="00202DB1">
          <w:rPr>
            <w:rStyle w:val="Hyperlink"/>
            <w:b/>
          </w:rPr>
          <w:t>CLNA Worksheet</w:t>
        </w:r>
        <w:r w:rsidR="00C13E72" w:rsidRPr="00202DB1">
          <w:rPr>
            <w:rStyle w:val="Hyperlink"/>
            <w:b/>
          </w:rPr>
          <w:t>s</w:t>
        </w:r>
      </w:hyperlink>
      <w:r w:rsidR="00394995">
        <w:t xml:space="preserve"> to synthesize find</w:t>
      </w:r>
      <w:r w:rsidR="000924D5">
        <w:t>ings from Parts I-VI, prioritizing areas you need to</w:t>
      </w:r>
      <w:r w:rsidR="00394995">
        <w:t xml:space="preserve"> understand</w:t>
      </w:r>
      <w:r w:rsidR="000924D5">
        <w:t xml:space="preserve"> more clearly</w:t>
      </w:r>
      <w:r>
        <w:t>. The Perkins Application calls for information on all strategic initiatives. The process is complicated, and this worksheet will help organize the collected information in preparation for the application</w:t>
      </w:r>
      <w:r w:rsidR="000D38CE">
        <w:t>.</w:t>
      </w:r>
    </w:p>
    <w:p w14:paraId="4F37B1A4" w14:textId="77777777" w:rsidR="00394995" w:rsidRDefault="00394995" w:rsidP="00394995">
      <w:pPr>
        <w:spacing w:line="240" w:lineRule="auto"/>
      </w:pPr>
      <w:r>
        <w:t xml:space="preserve">Consider – </w:t>
      </w:r>
    </w:p>
    <w:p w14:paraId="26A6D146" w14:textId="77777777" w:rsidR="00394995" w:rsidRDefault="00394995" w:rsidP="00394995">
      <w:pPr>
        <w:pStyle w:val="ListParagraph"/>
        <w:numPr>
          <w:ilvl w:val="0"/>
          <w:numId w:val="26"/>
        </w:numPr>
        <w:spacing w:line="240" w:lineRule="auto"/>
      </w:pPr>
      <w:r>
        <w:t>Which items are most concerning?</w:t>
      </w:r>
    </w:p>
    <w:p w14:paraId="68B72519" w14:textId="77777777" w:rsidR="00394995" w:rsidRDefault="00394995" w:rsidP="00394995">
      <w:pPr>
        <w:pStyle w:val="ListParagraph"/>
        <w:numPr>
          <w:ilvl w:val="0"/>
          <w:numId w:val="26"/>
        </w:numPr>
        <w:spacing w:line="240" w:lineRule="auto"/>
      </w:pPr>
      <w:r>
        <w:t xml:space="preserve">Which observations warrant further digging? </w:t>
      </w:r>
    </w:p>
    <w:p w14:paraId="55171289" w14:textId="497BEF4D" w:rsidR="00394995" w:rsidRDefault="00394995" w:rsidP="00394995">
      <w:pPr>
        <w:pStyle w:val="ListParagraph"/>
        <w:numPr>
          <w:ilvl w:val="0"/>
          <w:numId w:val="26"/>
        </w:numPr>
        <w:spacing w:line="240" w:lineRule="auto"/>
      </w:pPr>
      <w:r>
        <w:t xml:space="preserve">What additional questions </w:t>
      </w:r>
      <w:r w:rsidR="006A7BCD">
        <w:t>does your analysis raise</w:t>
      </w:r>
      <w:r>
        <w:t xml:space="preserve">? </w:t>
      </w:r>
    </w:p>
    <w:p w14:paraId="712F0588" w14:textId="77777777" w:rsidR="00394995" w:rsidRDefault="00394995" w:rsidP="00394995">
      <w:pPr>
        <w:pStyle w:val="ListParagraph"/>
        <w:numPr>
          <w:ilvl w:val="0"/>
          <w:numId w:val="26"/>
        </w:numPr>
        <w:spacing w:line="240" w:lineRule="auto"/>
      </w:pPr>
      <w:r>
        <w:t xml:space="preserve">What are possible underlying causes? </w:t>
      </w:r>
    </w:p>
    <w:p w14:paraId="33F42499" w14:textId="49FF309D" w:rsidR="00394995" w:rsidRDefault="00394995" w:rsidP="00394995">
      <w:pPr>
        <w:pStyle w:val="ListParagraph"/>
        <w:numPr>
          <w:ilvl w:val="0"/>
          <w:numId w:val="26"/>
        </w:numPr>
        <w:spacing w:line="240" w:lineRule="auto"/>
      </w:pPr>
      <w:r w:rsidRPr="001B6723">
        <w:t>For each program analyzed, what</w:t>
      </w:r>
      <w:r>
        <w:t xml:space="preserve"> are possible next steps, or what</w:t>
      </w:r>
      <w:r w:rsidRPr="001B6723">
        <w:t xml:space="preserve"> actions </w:t>
      </w:r>
      <w:r>
        <w:t xml:space="preserve">could </w:t>
      </w:r>
      <w:r w:rsidR="001E7EE3">
        <w:t>you take</w:t>
      </w:r>
      <w:r>
        <w:t xml:space="preserve"> </w:t>
      </w:r>
      <w:r w:rsidRPr="001B6723">
        <w:t xml:space="preserve">based on </w:t>
      </w:r>
      <w:r>
        <w:t xml:space="preserve">the </w:t>
      </w:r>
      <w:r w:rsidRPr="001B6723">
        <w:t>findings?</w:t>
      </w:r>
    </w:p>
    <w:p w14:paraId="382CD487" w14:textId="3B6D03B2" w:rsidR="00394995" w:rsidRDefault="001E7EE3" w:rsidP="00394995">
      <w:pPr>
        <w:pStyle w:val="ListParagraph"/>
        <w:numPr>
          <w:ilvl w:val="0"/>
          <w:numId w:val="26"/>
        </w:numPr>
        <w:spacing w:line="240" w:lineRule="auto"/>
      </w:pPr>
      <w:r>
        <w:t>Whom</w:t>
      </w:r>
      <w:r w:rsidR="00394995">
        <w:t xml:space="preserve"> else might </w:t>
      </w:r>
      <w:r>
        <w:t xml:space="preserve">you </w:t>
      </w:r>
      <w:r w:rsidR="00394995">
        <w:t xml:space="preserve">invite to participate in this process, to help </w:t>
      </w:r>
      <w:r>
        <w:t>you</w:t>
      </w:r>
      <w:r w:rsidR="00394995">
        <w:t xml:space="preserve"> better understand and synthesize needs and consider possible solutions?</w:t>
      </w:r>
    </w:p>
    <w:p w14:paraId="3F21573E" w14:textId="31BE2B5B" w:rsidR="00223458" w:rsidRPr="00E938C9" w:rsidRDefault="00223458" w:rsidP="00223458">
      <w:pPr>
        <w:spacing w:after="0"/>
        <w:rPr>
          <w:b/>
          <w:bCs/>
          <w:i/>
          <w:iCs/>
        </w:rPr>
      </w:pPr>
      <w:r>
        <w:rPr>
          <w:i/>
          <w:iCs/>
        </w:rPr>
        <w:lastRenderedPageBreak/>
        <w:t>Do not forget that in</w:t>
      </w:r>
      <w:r w:rsidRPr="00E938C9">
        <w:rPr>
          <w:b/>
          <w:bCs/>
          <w:i/>
          <w:iCs/>
        </w:rPr>
        <w:t xml:space="preserve"> completing the institution’s Perkins application each year, you will be required to tie proposed Perkins expenditures to needs identified in your institution’s CLNA. All Perkins expenditures must align with identified needs. </w:t>
      </w:r>
    </w:p>
    <w:p w14:paraId="027CABBD" w14:textId="77777777" w:rsidR="00223458" w:rsidRPr="00E938C9" w:rsidRDefault="00223458" w:rsidP="00E938C9">
      <w:pPr>
        <w:spacing w:after="0"/>
        <w:rPr>
          <w:sz w:val="18"/>
          <w:szCs w:val="18"/>
        </w:rPr>
      </w:pPr>
    </w:p>
    <w:p w14:paraId="5F5972EF" w14:textId="2760522A" w:rsidR="000237EE" w:rsidRPr="00931DE5" w:rsidRDefault="000237EE">
      <w:pPr>
        <w:spacing w:line="240" w:lineRule="auto"/>
      </w:pPr>
      <w:bookmarkStart w:id="5" w:name="CLNA_Worksheet"/>
      <w:bookmarkEnd w:id="5"/>
    </w:p>
    <w:sectPr w:rsidR="000237EE" w:rsidRPr="00931DE5" w:rsidSect="00061816">
      <w:headerReference w:type="default" r:id="rId43"/>
      <w:footerReference w:type="default" r:id="rId4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2452A" w14:textId="77777777" w:rsidR="00734105" w:rsidRDefault="00734105" w:rsidP="00D73A2B">
      <w:pPr>
        <w:spacing w:after="0" w:line="240" w:lineRule="auto"/>
      </w:pPr>
      <w:r>
        <w:separator/>
      </w:r>
    </w:p>
  </w:endnote>
  <w:endnote w:type="continuationSeparator" w:id="0">
    <w:p w14:paraId="318D489F" w14:textId="77777777" w:rsidR="00734105" w:rsidRDefault="00734105" w:rsidP="00D73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0002AFF" w:usb1="C000247B" w:usb2="00000009" w:usb3="00000000" w:csb0="000001FF" w:csb1="00000000"/>
  </w:font>
  <w:font w:name="MoolBoran">
    <w:altName w:val="MoolBoran"/>
    <w:charset w:val="00"/>
    <w:family w:val="swiss"/>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FE96A" w14:textId="77777777" w:rsidR="00223458" w:rsidRDefault="00223458" w:rsidP="005660B2">
    <w:pPr>
      <w:pStyle w:val="Footer"/>
      <w:ind w:left="90" w:hanging="180"/>
      <w:rPr>
        <w:sz w:val="18"/>
      </w:rPr>
    </w:pPr>
  </w:p>
  <w:p w14:paraId="43B4330E" w14:textId="77777777" w:rsidR="00223458" w:rsidRDefault="00223458" w:rsidP="005660B2">
    <w:pPr>
      <w:pStyle w:val="Footer"/>
      <w:ind w:left="90" w:hanging="180"/>
      <w:rPr>
        <w:sz w:val="18"/>
      </w:rPr>
    </w:pPr>
  </w:p>
  <w:p w14:paraId="73177700" w14:textId="2C67AD6B" w:rsidR="00223458" w:rsidRPr="00DD2DBF" w:rsidRDefault="00E82AA5" w:rsidP="00DD2DBF">
    <w:pPr>
      <w:pStyle w:val="Footer"/>
      <w:ind w:left="90" w:hanging="180"/>
      <w:jc w:val="center"/>
      <w:rPr>
        <w:b/>
        <w:sz w:val="18"/>
      </w:rPr>
    </w:pPr>
    <w:r w:rsidRPr="00061816">
      <w:rPr>
        <w:b/>
        <w:bCs/>
        <w:sz w:val="18"/>
        <w:szCs w:val="18"/>
      </w:rPr>
      <w:t>Massachusetts Guide for Conducting a Comprehensive Local Needs Assessment</w:t>
    </w:r>
    <w:r>
      <w:tab/>
    </w:r>
    <w:r w:rsidRPr="00DD2DBF">
      <w:rPr>
        <w:b/>
        <w:sz w:val="18"/>
      </w:rPr>
      <w:t xml:space="preserve"> </w:t>
    </w:r>
    <w:r w:rsidR="00223458" w:rsidRPr="00DD2DBF">
      <w:rPr>
        <w:b/>
        <w:sz w:val="18"/>
      </w:rPr>
      <w:fldChar w:fldCharType="begin"/>
    </w:r>
    <w:r w:rsidR="00223458" w:rsidRPr="00DD2DBF">
      <w:rPr>
        <w:b/>
        <w:sz w:val="18"/>
      </w:rPr>
      <w:instrText xml:space="preserve"> PAGE   \* MERGEFORMAT </w:instrText>
    </w:r>
    <w:r w:rsidR="00223458" w:rsidRPr="00DD2DBF">
      <w:rPr>
        <w:b/>
        <w:sz w:val="18"/>
      </w:rPr>
      <w:fldChar w:fldCharType="separate"/>
    </w:r>
    <w:r w:rsidR="00C13E72">
      <w:rPr>
        <w:b/>
        <w:noProof/>
        <w:sz w:val="18"/>
      </w:rPr>
      <w:t>3</w:t>
    </w:r>
    <w:r w:rsidR="00223458" w:rsidRPr="00DD2DBF">
      <w:rPr>
        <w:b/>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53AE7" w14:textId="77777777" w:rsidR="00734105" w:rsidRDefault="00734105" w:rsidP="00D73A2B">
      <w:pPr>
        <w:spacing w:after="0" w:line="240" w:lineRule="auto"/>
      </w:pPr>
      <w:r>
        <w:separator/>
      </w:r>
    </w:p>
  </w:footnote>
  <w:footnote w:type="continuationSeparator" w:id="0">
    <w:p w14:paraId="26147532" w14:textId="77777777" w:rsidR="00734105" w:rsidRDefault="00734105" w:rsidP="00D73A2B">
      <w:pPr>
        <w:spacing w:after="0" w:line="240" w:lineRule="auto"/>
      </w:pPr>
      <w:r>
        <w:continuationSeparator/>
      </w:r>
    </w:p>
  </w:footnote>
  <w:footnote w:id="1">
    <w:p w14:paraId="78FC275E" w14:textId="53BC6A0B" w:rsidR="00223458" w:rsidRDefault="00223458" w:rsidP="00F600A7">
      <w:pPr>
        <w:spacing w:before="240" w:line="240" w:lineRule="auto"/>
      </w:pPr>
      <w:r w:rsidRPr="00297243">
        <w:rPr>
          <w:rStyle w:val="FootnoteReference"/>
          <w:sz w:val="18"/>
          <w:szCs w:val="18"/>
        </w:rPr>
        <w:footnoteRef/>
      </w:r>
      <w:r w:rsidRPr="00297243">
        <w:rPr>
          <w:sz w:val="18"/>
          <w:szCs w:val="18"/>
        </w:rPr>
        <w:t xml:space="preserve"> Special populations as defined by Perkins V are: (1) individuals with disabilities; (2) individuals from economically disadvantaged families, including low-income youth and adults; (3) individuals preparing for non-traditional fields; (4) single parents, including single pregnant women;  (5) out-of-workforce individuals; (6) English learners ; (7) homeless individuals;  (8) youth who are in, or have aged out of, the foster care system; and (9) youth with a parent who is an active-duty member of the armed forces.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C6E0D" w14:textId="754B51CD" w:rsidR="00223458" w:rsidRDefault="00223458" w:rsidP="00E82AA5">
    <w:pPr>
      <w:spacing w:after="0"/>
      <w:jc w:val="center"/>
      <w:rPr>
        <w:b/>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31AA4"/>
    <w:multiLevelType w:val="hybridMultilevel"/>
    <w:tmpl w:val="2E6894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852842"/>
    <w:multiLevelType w:val="hybridMultilevel"/>
    <w:tmpl w:val="2E6894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5D372E"/>
    <w:multiLevelType w:val="hybridMultilevel"/>
    <w:tmpl w:val="37E6E6B8"/>
    <w:lvl w:ilvl="0" w:tplc="4CA4A3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031A5B"/>
    <w:multiLevelType w:val="hybridMultilevel"/>
    <w:tmpl w:val="86D4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B66C1"/>
    <w:multiLevelType w:val="hybridMultilevel"/>
    <w:tmpl w:val="7320FD9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1EE56140"/>
    <w:multiLevelType w:val="hybridMultilevel"/>
    <w:tmpl w:val="45A2B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635244"/>
    <w:multiLevelType w:val="hybridMultilevel"/>
    <w:tmpl w:val="965235B0"/>
    <w:lvl w:ilvl="0" w:tplc="EE06FE9C">
      <w:start w:val="1"/>
      <w:numFmt w:val="bullet"/>
      <w:lvlText w:val="o"/>
      <w:lvlJc w:val="left"/>
      <w:pPr>
        <w:tabs>
          <w:tab w:val="num" w:pos="720"/>
        </w:tabs>
        <w:ind w:left="720" w:hanging="360"/>
      </w:pPr>
      <w:rPr>
        <w:rFonts w:ascii="Courier New" w:hAnsi="Courier New" w:hint="default"/>
      </w:rPr>
    </w:lvl>
    <w:lvl w:ilvl="1" w:tplc="66AEA2E2">
      <w:start w:val="1"/>
      <w:numFmt w:val="bullet"/>
      <w:lvlText w:val="o"/>
      <w:lvlJc w:val="left"/>
      <w:pPr>
        <w:tabs>
          <w:tab w:val="num" w:pos="1440"/>
        </w:tabs>
        <w:ind w:left="1440" w:hanging="360"/>
      </w:pPr>
      <w:rPr>
        <w:rFonts w:ascii="Courier New" w:hAnsi="Courier New" w:hint="default"/>
      </w:rPr>
    </w:lvl>
    <w:lvl w:ilvl="2" w:tplc="1F9862C4">
      <w:start w:val="1"/>
      <w:numFmt w:val="bullet"/>
      <w:lvlText w:val="o"/>
      <w:lvlJc w:val="left"/>
      <w:pPr>
        <w:tabs>
          <w:tab w:val="num" w:pos="2160"/>
        </w:tabs>
        <w:ind w:left="2160" w:hanging="360"/>
      </w:pPr>
      <w:rPr>
        <w:rFonts w:ascii="Courier New" w:hAnsi="Courier New" w:hint="default"/>
      </w:rPr>
    </w:lvl>
    <w:lvl w:ilvl="3" w:tplc="8CF049F8" w:tentative="1">
      <w:start w:val="1"/>
      <w:numFmt w:val="bullet"/>
      <w:lvlText w:val="o"/>
      <w:lvlJc w:val="left"/>
      <w:pPr>
        <w:tabs>
          <w:tab w:val="num" w:pos="2880"/>
        </w:tabs>
        <w:ind w:left="2880" w:hanging="360"/>
      </w:pPr>
      <w:rPr>
        <w:rFonts w:ascii="Courier New" w:hAnsi="Courier New" w:hint="default"/>
      </w:rPr>
    </w:lvl>
    <w:lvl w:ilvl="4" w:tplc="304C2906" w:tentative="1">
      <w:start w:val="1"/>
      <w:numFmt w:val="bullet"/>
      <w:lvlText w:val="o"/>
      <w:lvlJc w:val="left"/>
      <w:pPr>
        <w:tabs>
          <w:tab w:val="num" w:pos="3600"/>
        </w:tabs>
        <w:ind w:left="3600" w:hanging="360"/>
      </w:pPr>
      <w:rPr>
        <w:rFonts w:ascii="Courier New" w:hAnsi="Courier New" w:hint="default"/>
      </w:rPr>
    </w:lvl>
    <w:lvl w:ilvl="5" w:tplc="2ABE224A" w:tentative="1">
      <w:start w:val="1"/>
      <w:numFmt w:val="bullet"/>
      <w:lvlText w:val="o"/>
      <w:lvlJc w:val="left"/>
      <w:pPr>
        <w:tabs>
          <w:tab w:val="num" w:pos="4320"/>
        </w:tabs>
        <w:ind w:left="4320" w:hanging="360"/>
      </w:pPr>
      <w:rPr>
        <w:rFonts w:ascii="Courier New" w:hAnsi="Courier New" w:hint="default"/>
      </w:rPr>
    </w:lvl>
    <w:lvl w:ilvl="6" w:tplc="F59630A4" w:tentative="1">
      <w:start w:val="1"/>
      <w:numFmt w:val="bullet"/>
      <w:lvlText w:val="o"/>
      <w:lvlJc w:val="left"/>
      <w:pPr>
        <w:tabs>
          <w:tab w:val="num" w:pos="5040"/>
        </w:tabs>
        <w:ind w:left="5040" w:hanging="360"/>
      </w:pPr>
      <w:rPr>
        <w:rFonts w:ascii="Courier New" w:hAnsi="Courier New" w:hint="default"/>
      </w:rPr>
    </w:lvl>
    <w:lvl w:ilvl="7" w:tplc="6ADA92F2" w:tentative="1">
      <w:start w:val="1"/>
      <w:numFmt w:val="bullet"/>
      <w:lvlText w:val="o"/>
      <w:lvlJc w:val="left"/>
      <w:pPr>
        <w:tabs>
          <w:tab w:val="num" w:pos="5760"/>
        </w:tabs>
        <w:ind w:left="5760" w:hanging="360"/>
      </w:pPr>
      <w:rPr>
        <w:rFonts w:ascii="Courier New" w:hAnsi="Courier New" w:hint="default"/>
      </w:rPr>
    </w:lvl>
    <w:lvl w:ilvl="8" w:tplc="C73E48AC"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1F943B3E"/>
    <w:multiLevelType w:val="hybridMultilevel"/>
    <w:tmpl w:val="E19EE62E"/>
    <w:lvl w:ilvl="0" w:tplc="1FD0C40E">
      <w:start w:val="1"/>
      <w:numFmt w:val="bullet"/>
      <w:lvlText w:val="o"/>
      <w:lvlJc w:val="left"/>
      <w:pPr>
        <w:tabs>
          <w:tab w:val="num" w:pos="720"/>
        </w:tabs>
        <w:ind w:left="720" w:hanging="360"/>
      </w:pPr>
      <w:rPr>
        <w:rFonts w:ascii="Courier New" w:hAnsi="Courier New" w:hint="default"/>
      </w:rPr>
    </w:lvl>
    <w:lvl w:ilvl="1" w:tplc="D3727964">
      <w:start w:val="1"/>
      <w:numFmt w:val="bullet"/>
      <w:lvlText w:val="o"/>
      <w:lvlJc w:val="left"/>
      <w:pPr>
        <w:tabs>
          <w:tab w:val="num" w:pos="1440"/>
        </w:tabs>
        <w:ind w:left="1440" w:hanging="360"/>
      </w:pPr>
      <w:rPr>
        <w:rFonts w:ascii="Courier New" w:hAnsi="Courier New" w:hint="default"/>
      </w:rPr>
    </w:lvl>
    <w:lvl w:ilvl="2" w:tplc="78469542" w:tentative="1">
      <w:start w:val="1"/>
      <w:numFmt w:val="bullet"/>
      <w:lvlText w:val="o"/>
      <w:lvlJc w:val="left"/>
      <w:pPr>
        <w:tabs>
          <w:tab w:val="num" w:pos="2160"/>
        </w:tabs>
        <w:ind w:left="2160" w:hanging="360"/>
      </w:pPr>
      <w:rPr>
        <w:rFonts w:ascii="Courier New" w:hAnsi="Courier New" w:hint="default"/>
      </w:rPr>
    </w:lvl>
    <w:lvl w:ilvl="3" w:tplc="731093AC" w:tentative="1">
      <w:start w:val="1"/>
      <w:numFmt w:val="bullet"/>
      <w:lvlText w:val="o"/>
      <w:lvlJc w:val="left"/>
      <w:pPr>
        <w:tabs>
          <w:tab w:val="num" w:pos="2880"/>
        </w:tabs>
        <w:ind w:left="2880" w:hanging="360"/>
      </w:pPr>
      <w:rPr>
        <w:rFonts w:ascii="Courier New" w:hAnsi="Courier New" w:hint="default"/>
      </w:rPr>
    </w:lvl>
    <w:lvl w:ilvl="4" w:tplc="BC767810" w:tentative="1">
      <w:start w:val="1"/>
      <w:numFmt w:val="bullet"/>
      <w:lvlText w:val="o"/>
      <w:lvlJc w:val="left"/>
      <w:pPr>
        <w:tabs>
          <w:tab w:val="num" w:pos="3600"/>
        </w:tabs>
        <w:ind w:left="3600" w:hanging="360"/>
      </w:pPr>
      <w:rPr>
        <w:rFonts w:ascii="Courier New" w:hAnsi="Courier New" w:hint="default"/>
      </w:rPr>
    </w:lvl>
    <w:lvl w:ilvl="5" w:tplc="7E0066A4" w:tentative="1">
      <w:start w:val="1"/>
      <w:numFmt w:val="bullet"/>
      <w:lvlText w:val="o"/>
      <w:lvlJc w:val="left"/>
      <w:pPr>
        <w:tabs>
          <w:tab w:val="num" w:pos="4320"/>
        </w:tabs>
        <w:ind w:left="4320" w:hanging="360"/>
      </w:pPr>
      <w:rPr>
        <w:rFonts w:ascii="Courier New" w:hAnsi="Courier New" w:hint="default"/>
      </w:rPr>
    </w:lvl>
    <w:lvl w:ilvl="6" w:tplc="35DA6336" w:tentative="1">
      <w:start w:val="1"/>
      <w:numFmt w:val="bullet"/>
      <w:lvlText w:val="o"/>
      <w:lvlJc w:val="left"/>
      <w:pPr>
        <w:tabs>
          <w:tab w:val="num" w:pos="5040"/>
        </w:tabs>
        <w:ind w:left="5040" w:hanging="360"/>
      </w:pPr>
      <w:rPr>
        <w:rFonts w:ascii="Courier New" w:hAnsi="Courier New" w:hint="default"/>
      </w:rPr>
    </w:lvl>
    <w:lvl w:ilvl="7" w:tplc="AE94080E" w:tentative="1">
      <w:start w:val="1"/>
      <w:numFmt w:val="bullet"/>
      <w:lvlText w:val="o"/>
      <w:lvlJc w:val="left"/>
      <w:pPr>
        <w:tabs>
          <w:tab w:val="num" w:pos="5760"/>
        </w:tabs>
        <w:ind w:left="5760" w:hanging="360"/>
      </w:pPr>
      <w:rPr>
        <w:rFonts w:ascii="Courier New" w:hAnsi="Courier New" w:hint="default"/>
      </w:rPr>
    </w:lvl>
    <w:lvl w:ilvl="8" w:tplc="85A2009A"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21EA54D6"/>
    <w:multiLevelType w:val="hybridMultilevel"/>
    <w:tmpl w:val="32180BC0"/>
    <w:lvl w:ilvl="0" w:tplc="3998F25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61D15"/>
    <w:multiLevelType w:val="hybridMultilevel"/>
    <w:tmpl w:val="B584FA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C2348"/>
    <w:multiLevelType w:val="hybridMultilevel"/>
    <w:tmpl w:val="8AC2A3C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B20335A"/>
    <w:multiLevelType w:val="hybridMultilevel"/>
    <w:tmpl w:val="871E0488"/>
    <w:lvl w:ilvl="0" w:tplc="51CE9CD4">
      <w:start w:val="1"/>
      <w:numFmt w:val="bullet"/>
      <w:lvlText w:val="•"/>
      <w:lvlJc w:val="left"/>
      <w:pPr>
        <w:tabs>
          <w:tab w:val="num" w:pos="720"/>
        </w:tabs>
        <w:ind w:left="720" w:hanging="360"/>
      </w:pPr>
      <w:rPr>
        <w:rFonts w:ascii="Arial" w:hAnsi="Arial" w:hint="default"/>
      </w:rPr>
    </w:lvl>
    <w:lvl w:ilvl="1" w:tplc="EA64BF8A" w:tentative="1">
      <w:start w:val="1"/>
      <w:numFmt w:val="bullet"/>
      <w:lvlText w:val="•"/>
      <w:lvlJc w:val="left"/>
      <w:pPr>
        <w:tabs>
          <w:tab w:val="num" w:pos="1440"/>
        </w:tabs>
        <w:ind w:left="1440" w:hanging="360"/>
      </w:pPr>
      <w:rPr>
        <w:rFonts w:ascii="Arial" w:hAnsi="Arial" w:hint="default"/>
      </w:rPr>
    </w:lvl>
    <w:lvl w:ilvl="2" w:tplc="C8B67122" w:tentative="1">
      <w:start w:val="1"/>
      <w:numFmt w:val="bullet"/>
      <w:lvlText w:val="•"/>
      <w:lvlJc w:val="left"/>
      <w:pPr>
        <w:tabs>
          <w:tab w:val="num" w:pos="2160"/>
        </w:tabs>
        <w:ind w:left="2160" w:hanging="360"/>
      </w:pPr>
      <w:rPr>
        <w:rFonts w:ascii="Arial" w:hAnsi="Arial" w:hint="default"/>
      </w:rPr>
    </w:lvl>
    <w:lvl w:ilvl="3" w:tplc="7EEA34B6" w:tentative="1">
      <w:start w:val="1"/>
      <w:numFmt w:val="bullet"/>
      <w:lvlText w:val="•"/>
      <w:lvlJc w:val="left"/>
      <w:pPr>
        <w:tabs>
          <w:tab w:val="num" w:pos="2880"/>
        </w:tabs>
        <w:ind w:left="2880" w:hanging="360"/>
      </w:pPr>
      <w:rPr>
        <w:rFonts w:ascii="Arial" w:hAnsi="Arial" w:hint="default"/>
      </w:rPr>
    </w:lvl>
    <w:lvl w:ilvl="4" w:tplc="9452A370" w:tentative="1">
      <w:start w:val="1"/>
      <w:numFmt w:val="bullet"/>
      <w:lvlText w:val="•"/>
      <w:lvlJc w:val="left"/>
      <w:pPr>
        <w:tabs>
          <w:tab w:val="num" w:pos="3600"/>
        </w:tabs>
        <w:ind w:left="3600" w:hanging="360"/>
      </w:pPr>
      <w:rPr>
        <w:rFonts w:ascii="Arial" w:hAnsi="Arial" w:hint="default"/>
      </w:rPr>
    </w:lvl>
    <w:lvl w:ilvl="5" w:tplc="73365C52" w:tentative="1">
      <w:start w:val="1"/>
      <w:numFmt w:val="bullet"/>
      <w:lvlText w:val="•"/>
      <w:lvlJc w:val="left"/>
      <w:pPr>
        <w:tabs>
          <w:tab w:val="num" w:pos="4320"/>
        </w:tabs>
        <w:ind w:left="4320" w:hanging="360"/>
      </w:pPr>
      <w:rPr>
        <w:rFonts w:ascii="Arial" w:hAnsi="Arial" w:hint="default"/>
      </w:rPr>
    </w:lvl>
    <w:lvl w:ilvl="6" w:tplc="36D61068" w:tentative="1">
      <w:start w:val="1"/>
      <w:numFmt w:val="bullet"/>
      <w:lvlText w:val="•"/>
      <w:lvlJc w:val="left"/>
      <w:pPr>
        <w:tabs>
          <w:tab w:val="num" w:pos="5040"/>
        </w:tabs>
        <w:ind w:left="5040" w:hanging="360"/>
      </w:pPr>
      <w:rPr>
        <w:rFonts w:ascii="Arial" w:hAnsi="Arial" w:hint="default"/>
      </w:rPr>
    </w:lvl>
    <w:lvl w:ilvl="7" w:tplc="D0389116" w:tentative="1">
      <w:start w:val="1"/>
      <w:numFmt w:val="bullet"/>
      <w:lvlText w:val="•"/>
      <w:lvlJc w:val="left"/>
      <w:pPr>
        <w:tabs>
          <w:tab w:val="num" w:pos="5760"/>
        </w:tabs>
        <w:ind w:left="5760" w:hanging="360"/>
      </w:pPr>
      <w:rPr>
        <w:rFonts w:ascii="Arial" w:hAnsi="Arial" w:hint="default"/>
      </w:rPr>
    </w:lvl>
    <w:lvl w:ilvl="8" w:tplc="84567C1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5B3B71"/>
    <w:multiLevelType w:val="hybridMultilevel"/>
    <w:tmpl w:val="4BAA14AC"/>
    <w:lvl w:ilvl="0" w:tplc="84D8F2D0">
      <w:start w:val="1"/>
      <w:numFmt w:val="bullet"/>
      <w:lvlText w:val="•"/>
      <w:lvlJc w:val="left"/>
      <w:pPr>
        <w:tabs>
          <w:tab w:val="num" w:pos="720"/>
        </w:tabs>
        <w:ind w:left="720" w:hanging="360"/>
      </w:pPr>
      <w:rPr>
        <w:rFonts w:ascii="Arial" w:hAnsi="Arial" w:hint="default"/>
      </w:rPr>
    </w:lvl>
    <w:lvl w:ilvl="1" w:tplc="BB08B1EE">
      <w:numFmt w:val="bullet"/>
      <w:lvlText w:val="o"/>
      <w:lvlJc w:val="left"/>
      <w:pPr>
        <w:tabs>
          <w:tab w:val="num" w:pos="1440"/>
        </w:tabs>
        <w:ind w:left="1440" w:hanging="360"/>
      </w:pPr>
      <w:rPr>
        <w:rFonts w:ascii="Courier New" w:hAnsi="Courier New" w:hint="default"/>
      </w:rPr>
    </w:lvl>
    <w:lvl w:ilvl="2" w:tplc="A2B46B0A" w:tentative="1">
      <w:start w:val="1"/>
      <w:numFmt w:val="bullet"/>
      <w:lvlText w:val="•"/>
      <w:lvlJc w:val="left"/>
      <w:pPr>
        <w:tabs>
          <w:tab w:val="num" w:pos="2160"/>
        </w:tabs>
        <w:ind w:left="2160" w:hanging="360"/>
      </w:pPr>
      <w:rPr>
        <w:rFonts w:ascii="Arial" w:hAnsi="Arial" w:hint="default"/>
      </w:rPr>
    </w:lvl>
    <w:lvl w:ilvl="3" w:tplc="DF1E2452" w:tentative="1">
      <w:start w:val="1"/>
      <w:numFmt w:val="bullet"/>
      <w:lvlText w:val="•"/>
      <w:lvlJc w:val="left"/>
      <w:pPr>
        <w:tabs>
          <w:tab w:val="num" w:pos="2880"/>
        </w:tabs>
        <w:ind w:left="2880" w:hanging="360"/>
      </w:pPr>
      <w:rPr>
        <w:rFonts w:ascii="Arial" w:hAnsi="Arial" w:hint="default"/>
      </w:rPr>
    </w:lvl>
    <w:lvl w:ilvl="4" w:tplc="D512A75E" w:tentative="1">
      <w:start w:val="1"/>
      <w:numFmt w:val="bullet"/>
      <w:lvlText w:val="•"/>
      <w:lvlJc w:val="left"/>
      <w:pPr>
        <w:tabs>
          <w:tab w:val="num" w:pos="3600"/>
        </w:tabs>
        <w:ind w:left="3600" w:hanging="360"/>
      </w:pPr>
      <w:rPr>
        <w:rFonts w:ascii="Arial" w:hAnsi="Arial" w:hint="default"/>
      </w:rPr>
    </w:lvl>
    <w:lvl w:ilvl="5" w:tplc="45EAB45A" w:tentative="1">
      <w:start w:val="1"/>
      <w:numFmt w:val="bullet"/>
      <w:lvlText w:val="•"/>
      <w:lvlJc w:val="left"/>
      <w:pPr>
        <w:tabs>
          <w:tab w:val="num" w:pos="4320"/>
        </w:tabs>
        <w:ind w:left="4320" w:hanging="360"/>
      </w:pPr>
      <w:rPr>
        <w:rFonts w:ascii="Arial" w:hAnsi="Arial" w:hint="default"/>
      </w:rPr>
    </w:lvl>
    <w:lvl w:ilvl="6" w:tplc="4FA49A04" w:tentative="1">
      <w:start w:val="1"/>
      <w:numFmt w:val="bullet"/>
      <w:lvlText w:val="•"/>
      <w:lvlJc w:val="left"/>
      <w:pPr>
        <w:tabs>
          <w:tab w:val="num" w:pos="5040"/>
        </w:tabs>
        <w:ind w:left="5040" w:hanging="360"/>
      </w:pPr>
      <w:rPr>
        <w:rFonts w:ascii="Arial" w:hAnsi="Arial" w:hint="default"/>
      </w:rPr>
    </w:lvl>
    <w:lvl w:ilvl="7" w:tplc="F06CE780" w:tentative="1">
      <w:start w:val="1"/>
      <w:numFmt w:val="bullet"/>
      <w:lvlText w:val="•"/>
      <w:lvlJc w:val="left"/>
      <w:pPr>
        <w:tabs>
          <w:tab w:val="num" w:pos="5760"/>
        </w:tabs>
        <w:ind w:left="5760" w:hanging="360"/>
      </w:pPr>
      <w:rPr>
        <w:rFonts w:ascii="Arial" w:hAnsi="Arial" w:hint="default"/>
      </w:rPr>
    </w:lvl>
    <w:lvl w:ilvl="8" w:tplc="B0EAAAA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9867FD8"/>
    <w:multiLevelType w:val="hybridMultilevel"/>
    <w:tmpl w:val="114AB4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C30961"/>
    <w:multiLevelType w:val="hybridMultilevel"/>
    <w:tmpl w:val="FF784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7640F8"/>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3F7643B9"/>
    <w:multiLevelType w:val="hybridMultilevel"/>
    <w:tmpl w:val="9CFE68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7C3DE8"/>
    <w:multiLevelType w:val="hybridMultilevel"/>
    <w:tmpl w:val="2E6894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526AF2"/>
    <w:multiLevelType w:val="hybridMultilevel"/>
    <w:tmpl w:val="21A2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D31673"/>
    <w:multiLevelType w:val="hybridMultilevel"/>
    <w:tmpl w:val="F2AE9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A137683"/>
    <w:multiLevelType w:val="hybridMultilevel"/>
    <w:tmpl w:val="84344E7A"/>
    <w:lvl w:ilvl="0" w:tplc="0BB6BA06">
      <w:start w:val="1"/>
      <w:numFmt w:val="bullet"/>
      <w:lvlText w:val="o"/>
      <w:lvlJc w:val="left"/>
      <w:pPr>
        <w:tabs>
          <w:tab w:val="num" w:pos="720"/>
        </w:tabs>
        <w:ind w:left="720" w:hanging="360"/>
      </w:pPr>
      <w:rPr>
        <w:rFonts w:ascii="Courier New" w:hAnsi="Courier New" w:hint="default"/>
      </w:rPr>
    </w:lvl>
    <w:lvl w:ilvl="1" w:tplc="F7A0596E">
      <w:start w:val="1"/>
      <w:numFmt w:val="bullet"/>
      <w:lvlText w:val="o"/>
      <w:lvlJc w:val="left"/>
      <w:pPr>
        <w:tabs>
          <w:tab w:val="num" w:pos="1440"/>
        </w:tabs>
        <w:ind w:left="1440" w:hanging="360"/>
      </w:pPr>
      <w:rPr>
        <w:rFonts w:ascii="Courier New" w:hAnsi="Courier New" w:hint="default"/>
      </w:rPr>
    </w:lvl>
    <w:lvl w:ilvl="2" w:tplc="49663C3A" w:tentative="1">
      <w:start w:val="1"/>
      <w:numFmt w:val="bullet"/>
      <w:lvlText w:val="o"/>
      <w:lvlJc w:val="left"/>
      <w:pPr>
        <w:tabs>
          <w:tab w:val="num" w:pos="2160"/>
        </w:tabs>
        <w:ind w:left="2160" w:hanging="360"/>
      </w:pPr>
      <w:rPr>
        <w:rFonts w:ascii="Courier New" w:hAnsi="Courier New" w:hint="default"/>
      </w:rPr>
    </w:lvl>
    <w:lvl w:ilvl="3" w:tplc="FA2613E0" w:tentative="1">
      <w:start w:val="1"/>
      <w:numFmt w:val="bullet"/>
      <w:lvlText w:val="o"/>
      <w:lvlJc w:val="left"/>
      <w:pPr>
        <w:tabs>
          <w:tab w:val="num" w:pos="2880"/>
        </w:tabs>
        <w:ind w:left="2880" w:hanging="360"/>
      </w:pPr>
      <w:rPr>
        <w:rFonts w:ascii="Courier New" w:hAnsi="Courier New" w:hint="default"/>
      </w:rPr>
    </w:lvl>
    <w:lvl w:ilvl="4" w:tplc="E1FC17DA" w:tentative="1">
      <w:start w:val="1"/>
      <w:numFmt w:val="bullet"/>
      <w:lvlText w:val="o"/>
      <w:lvlJc w:val="left"/>
      <w:pPr>
        <w:tabs>
          <w:tab w:val="num" w:pos="3600"/>
        </w:tabs>
        <w:ind w:left="3600" w:hanging="360"/>
      </w:pPr>
      <w:rPr>
        <w:rFonts w:ascii="Courier New" w:hAnsi="Courier New" w:hint="default"/>
      </w:rPr>
    </w:lvl>
    <w:lvl w:ilvl="5" w:tplc="5DFACDEA" w:tentative="1">
      <w:start w:val="1"/>
      <w:numFmt w:val="bullet"/>
      <w:lvlText w:val="o"/>
      <w:lvlJc w:val="left"/>
      <w:pPr>
        <w:tabs>
          <w:tab w:val="num" w:pos="4320"/>
        </w:tabs>
        <w:ind w:left="4320" w:hanging="360"/>
      </w:pPr>
      <w:rPr>
        <w:rFonts w:ascii="Courier New" w:hAnsi="Courier New" w:hint="default"/>
      </w:rPr>
    </w:lvl>
    <w:lvl w:ilvl="6" w:tplc="02AAAB7A" w:tentative="1">
      <w:start w:val="1"/>
      <w:numFmt w:val="bullet"/>
      <w:lvlText w:val="o"/>
      <w:lvlJc w:val="left"/>
      <w:pPr>
        <w:tabs>
          <w:tab w:val="num" w:pos="5040"/>
        </w:tabs>
        <w:ind w:left="5040" w:hanging="360"/>
      </w:pPr>
      <w:rPr>
        <w:rFonts w:ascii="Courier New" w:hAnsi="Courier New" w:hint="default"/>
      </w:rPr>
    </w:lvl>
    <w:lvl w:ilvl="7" w:tplc="F44EF5BA" w:tentative="1">
      <w:start w:val="1"/>
      <w:numFmt w:val="bullet"/>
      <w:lvlText w:val="o"/>
      <w:lvlJc w:val="left"/>
      <w:pPr>
        <w:tabs>
          <w:tab w:val="num" w:pos="5760"/>
        </w:tabs>
        <w:ind w:left="5760" w:hanging="360"/>
      </w:pPr>
      <w:rPr>
        <w:rFonts w:ascii="Courier New" w:hAnsi="Courier New" w:hint="default"/>
      </w:rPr>
    </w:lvl>
    <w:lvl w:ilvl="8" w:tplc="AC468810" w:tentative="1">
      <w:start w:val="1"/>
      <w:numFmt w:val="bullet"/>
      <w:lvlText w:val="o"/>
      <w:lvlJc w:val="left"/>
      <w:pPr>
        <w:tabs>
          <w:tab w:val="num" w:pos="6480"/>
        </w:tabs>
        <w:ind w:left="6480" w:hanging="360"/>
      </w:pPr>
      <w:rPr>
        <w:rFonts w:ascii="Courier New" w:hAnsi="Courier New" w:hint="default"/>
      </w:rPr>
    </w:lvl>
  </w:abstractNum>
  <w:abstractNum w:abstractNumId="21" w15:restartNumberingAfterBreak="0">
    <w:nsid w:val="4AD339FF"/>
    <w:multiLevelType w:val="hybridMultilevel"/>
    <w:tmpl w:val="776E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B3B68"/>
    <w:multiLevelType w:val="hybridMultilevel"/>
    <w:tmpl w:val="A2A2D0B8"/>
    <w:lvl w:ilvl="0" w:tplc="9962B818">
      <w:start w:val="1"/>
      <w:numFmt w:val="bullet"/>
      <w:lvlText w:val="•"/>
      <w:lvlJc w:val="left"/>
      <w:pPr>
        <w:tabs>
          <w:tab w:val="num" w:pos="720"/>
        </w:tabs>
        <w:ind w:left="720" w:hanging="360"/>
      </w:pPr>
      <w:rPr>
        <w:rFonts w:ascii="Arial" w:hAnsi="Arial" w:hint="default"/>
      </w:rPr>
    </w:lvl>
    <w:lvl w:ilvl="1" w:tplc="E7D43512">
      <w:numFmt w:val="bullet"/>
      <w:lvlText w:val="o"/>
      <w:lvlJc w:val="left"/>
      <w:pPr>
        <w:tabs>
          <w:tab w:val="num" w:pos="1440"/>
        </w:tabs>
        <w:ind w:left="1440" w:hanging="360"/>
      </w:pPr>
      <w:rPr>
        <w:rFonts w:ascii="Courier New" w:hAnsi="Courier New" w:hint="default"/>
      </w:rPr>
    </w:lvl>
    <w:lvl w:ilvl="2" w:tplc="860E5388">
      <w:numFmt w:val="bullet"/>
      <w:lvlText w:val=""/>
      <w:lvlJc w:val="left"/>
      <w:pPr>
        <w:tabs>
          <w:tab w:val="num" w:pos="2160"/>
        </w:tabs>
        <w:ind w:left="2160" w:hanging="360"/>
      </w:pPr>
      <w:rPr>
        <w:rFonts w:ascii="Wingdings" w:hAnsi="Wingdings" w:hint="default"/>
      </w:rPr>
    </w:lvl>
    <w:lvl w:ilvl="3" w:tplc="0166DEAC" w:tentative="1">
      <w:start w:val="1"/>
      <w:numFmt w:val="bullet"/>
      <w:lvlText w:val="•"/>
      <w:lvlJc w:val="left"/>
      <w:pPr>
        <w:tabs>
          <w:tab w:val="num" w:pos="2880"/>
        </w:tabs>
        <w:ind w:left="2880" w:hanging="360"/>
      </w:pPr>
      <w:rPr>
        <w:rFonts w:ascii="Arial" w:hAnsi="Arial" w:hint="default"/>
      </w:rPr>
    </w:lvl>
    <w:lvl w:ilvl="4" w:tplc="08F2A82E" w:tentative="1">
      <w:start w:val="1"/>
      <w:numFmt w:val="bullet"/>
      <w:lvlText w:val="•"/>
      <w:lvlJc w:val="left"/>
      <w:pPr>
        <w:tabs>
          <w:tab w:val="num" w:pos="3600"/>
        </w:tabs>
        <w:ind w:left="3600" w:hanging="360"/>
      </w:pPr>
      <w:rPr>
        <w:rFonts w:ascii="Arial" w:hAnsi="Arial" w:hint="default"/>
      </w:rPr>
    </w:lvl>
    <w:lvl w:ilvl="5" w:tplc="9CB8E4AE" w:tentative="1">
      <w:start w:val="1"/>
      <w:numFmt w:val="bullet"/>
      <w:lvlText w:val="•"/>
      <w:lvlJc w:val="left"/>
      <w:pPr>
        <w:tabs>
          <w:tab w:val="num" w:pos="4320"/>
        </w:tabs>
        <w:ind w:left="4320" w:hanging="360"/>
      </w:pPr>
      <w:rPr>
        <w:rFonts w:ascii="Arial" w:hAnsi="Arial" w:hint="default"/>
      </w:rPr>
    </w:lvl>
    <w:lvl w:ilvl="6" w:tplc="6D5AA246" w:tentative="1">
      <w:start w:val="1"/>
      <w:numFmt w:val="bullet"/>
      <w:lvlText w:val="•"/>
      <w:lvlJc w:val="left"/>
      <w:pPr>
        <w:tabs>
          <w:tab w:val="num" w:pos="5040"/>
        </w:tabs>
        <w:ind w:left="5040" w:hanging="360"/>
      </w:pPr>
      <w:rPr>
        <w:rFonts w:ascii="Arial" w:hAnsi="Arial" w:hint="default"/>
      </w:rPr>
    </w:lvl>
    <w:lvl w:ilvl="7" w:tplc="D806D8EE" w:tentative="1">
      <w:start w:val="1"/>
      <w:numFmt w:val="bullet"/>
      <w:lvlText w:val="•"/>
      <w:lvlJc w:val="left"/>
      <w:pPr>
        <w:tabs>
          <w:tab w:val="num" w:pos="5760"/>
        </w:tabs>
        <w:ind w:left="5760" w:hanging="360"/>
      </w:pPr>
      <w:rPr>
        <w:rFonts w:ascii="Arial" w:hAnsi="Arial" w:hint="default"/>
      </w:rPr>
    </w:lvl>
    <w:lvl w:ilvl="8" w:tplc="BE74D7C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0C977BB"/>
    <w:multiLevelType w:val="hybridMultilevel"/>
    <w:tmpl w:val="13088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B97FC8"/>
    <w:multiLevelType w:val="hybridMultilevel"/>
    <w:tmpl w:val="075C911C"/>
    <w:lvl w:ilvl="0" w:tplc="F266EE7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AA778A"/>
    <w:multiLevelType w:val="hybridMultilevel"/>
    <w:tmpl w:val="73D88388"/>
    <w:lvl w:ilvl="0" w:tplc="04090003">
      <w:start w:val="1"/>
      <w:numFmt w:val="bullet"/>
      <w:lvlText w:val="o"/>
      <w:lvlJc w:val="left"/>
      <w:pPr>
        <w:tabs>
          <w:tab w:val="num" w:pos="720"/>
        </w:tabs>
        <w:ind w:left="720" w:hanging="360"/>
      </w:pPr>
      <w:rPr>
        <w:rFonts w:ascii="Courier New" w:hAnsi="Courier New" w:cs="Courier New" w:hint="default"/>
      </w:rPr>
    </w:lvl>
    <w:lvl w:ilvl="1" w:tplc="E7D43512">
      <w:numFmt w:val="bullet"/>
      <w:lvlText w:val="o"/>
      <w:lvlJc w:val="left"/>
      <w:pPr>
        <w:tabs>
          <w:tab w:val="num" w:pos="1440"/>
        </w:tabs>
        <w:ind w:left="1440" w:hanging="360"/>
      </w:pPr>
      <w:rPr>
        <w:rFonts w:ascii="Courier New" w:hAnsi="Courier New" w:hint="default"/>
      </w:rPr>
    </w:lvl>
    <w:lvl w:ilvl="2" w:tplc="860E5388">
      <w:numFmt w:val="bullet"/>
      <w:lvlText w:val=""/>
      <w:lvlJc w:val="left"/>
      <w:pPr>
        <w:tabs>
          <w:tab w:val="num" w:pos="2160"/>
        </w:tabs>
        <w:ind w:left="2160" w:hanging="360"/>
      </w:pPr>
      <w:rPr>
        <w:rFonts w:ascii="Wingdings" w:hAnsi="Wingdings" w:hint="default"/>
      </w:rPr>
    </w:lvl>
    <w:lvl w:ilvl="3" w:tplc="0166DEAC" w:tentative="1">
      <w:start w:val="1"/>
      <w:numFmt w:val="bullet"/>
      <w:lvlText w:val="•"/>
      <w:lvlJc w:val="left"/>
      <w:pPr>
        <w:tabs>
          <w:tab w:val="num" w:pos="2880"/>
        </w:tabs>
        <w:ind w:left="2880" w:hanging="360"/>
      </w:pPr>
      <w:rPr>
        <w:rFonts w:ascii="Arial" w:hAnsi="Arial" w:hint="default"/>
      </w:rPr>
    </w:lvl>
    <w:lvl w:ilvl="4" w:tplc="08F2A82E" w:tentative="1">
      <w:start w:val="1"/>
      <w:numFmt w:val="bullet"/>
      <w:lvlText w:val="•"/>
      <w:lvlJc w:val="left"/>
      <w:pPr>
        <w:tabs>
          <w:tab w:val="num" w:pos="3600"/>
        </w:tabs>
        <w:ind w:left="3600" w:hanging="360"/>
      </w:pPr>
      <w:rPr>
        <w:rFonts w:ascii="Arial" w:hAnsi="Arial" w:hint="default"/>
      </w:rPr>
    </w:lvl>
    <w:lvl w:ilvl="5" w:tplc="9CB8E4AE" w:tentative="1">
      <w:start w:val="1"/>
      <w:numFmt w:val="bullet"/>
      <w:lvlText w:val="•"/>
      <w:lvlJc w:val="left"/>
      <w:pPr>
        <w:tabs>
          <w:tab w:val="num" w:pos="4320"/>
        </w:tabs>
        <w:ind w:left="4320" w:hanging="360"/>
      </w:pPr>
      <w:rPr>
        <w:rFonts w:ascii="Arial" w:hAnsi="Arial" w:hint="default"/>
      </w:rPr>
    </w:lvl>
    <w:lvl w:ilvl="6" w:tplc="6D5AA246" w:tentative="1">
      <w:start w:val="1"/>
      <w:numFmt w:val="bullet"/>
      <w:lvlText w:val="•"/>
      <w:lvlJc w:val="left"/>
      <w:pPr>
        <w:tabs>
          <w:tab w:val="num" w:pos="5040"/>
        </w:tabs>
        <w:ind w:left="5040" w:hanging="360"/>
      </w:pPr>
      <w:rPr>
        <w:rFonts w:ascii="Arial" w:hAnsi="Arial" w:hint="default"/>
      </w:rPr>
    </w:lvl>
    <w:lvl w:ilvl="7" w:tplc="D806D8EE" w:tentative="1">
      <w:start w:val="1"/>
      <w:numFmt w:val="bullet"/>
      <w:lvlText w:val="•"/>
      <w:lvlJc w:val="left"/>
      <w:pPr>
        <w:tabs>
          <w:tab w:val="num" w:pos="5760"/>
        </w:tabs>
        <w:ind w:left="5760" w:hanging="360"/>
      </w:pPr>
      <w:rPr>
        <w:rFonts w:ascii="Arial" w:hAnsi="Arial" w:hint="default"/>
      </w:rPr>
    </w:lvl>
    <w:lvl w:ilvl="8" w:tplc="BE74D7C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F371811"/>
    <w:multiLevelType w:val="hybridMultilevel"/>
    <w:tmpl w:val="E7100D56"/>
    <w:lvl w:ilvl="0" w:tplc="4CA4A3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C879D8"/>
    <w:multiLevelType w:val="hybridMultilevel"/>
    <w:tmpl w:val="0D34DFC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8" w15:restartNumberingAfterBreak="0">
    <w:nsid w:val="6F085D0E"/>
    <w:multiLevelType w:val="hybridMultilevel"/>
    <w:tmpl w:val="48680A4E"/>
    <w:lvl w:ilvl="0" w:tplc="A95EF58E">
      <w:start w:val="1"/>
      <w:numFmt w:val="bullet"/>
      <w:lvlText w:val="•"/>
      <w:lvlJc w:val="left"/>
      <w:pPr>
        <w:tabs>
          <w:tab w:val="num" w:pos="720"/>
        </w:tabs>
        <w:ind w:left="720" w:hanging="360"/>
      </w:pPr>
      <w:rPr>
        <w:rFonts w:ascii="Arial" w:hAnsi="Arial" w:hint="default"/>
      </w:rPr>
    </w:lvl>
    <w:lvl w:ilvl="1" w:tplc="05667CAE">
      <w:numFmt w:val="bullet"/>
      <w:lvlText w:val="o"/>
      <w:lvlJc w:val="left"/>
      <w:pPr>
        <w:tabs>
          <w:tab w:val="num" w:pos="1980"/>
        </w:tabs>
        <w:ind w:left="1980" w:hanging="360"/>
      </w:pPr>
      <w:rPr>
        <w:rFonts w:ascii="Courier New" w:hAnsi="Courier New" w:hint="default"/>
      </w:rPr>
    </w:lvl>
    <w:lvl w:ilvl="2" w:tplc="90B60BD8" w:tentative="1">
      <w:start w:val="1"/>
      <w:numFmt w:val="bullet"/>
      <w:lvlText w:val="•"/>
      <w:lvlJc w:val="left"/>
      <w:pPr>
        <w:tabs>
          <w:tab w:val="num" w:pos="2160"/>
        </w:tabs>
        <w:ind w:left="2160" w:hanging="360"/>
      </w:pPr>
      <w:rPr>
        <w:rFonts w:ascii="Arial" w:hAnsi="Arial" w:hint="default"/>
      </w:rPr>
    </w:lvl>
    <w:lvl w:ilvl="3" w:tplc="9F620602" w:tentative="1">
      <w:start w:val="1"/>
      <w:numFmt w:val="bullet"/>
      <w:lvlText w:val="•"/>
      <w:lvlJc w:val="left"/>
      <w:pPr>
        <w:tabs>
          <w:tab w:val="num" w:pos="2880"/>
        </w:tabs>
        <w:ind w:left="2880" w:hanging="360"/>
      </w:pPr>
      <w:rPr>
        <w:rFonts w:ascii="Arial" w:hAnsi="Arial" w:hint="default"/>
      </w:rPr>
    </w:lvl>
    <w:lvl w:ilvl="4" w:tplc="C88670CC" w:tentative="1">
      <w:start w:val="1"/>
      <w:numFmt w:val="bullet"/>
      <w:lvlText w:val="•"/>
      <w:lvlJc w:val="left"/>
      <w:pPr>
        <w:tabs>
          <w:tab w:val="num" w:pos="3600"/>
        </w:tabs>
        <w:ind w:left="3600" w:hanging="360"/>
      </w:pPr>
      <w:rPr>
        <w:rFonts w:ascii="Arial" w:hAnsi="Arial" w:hint="default"/>
      </w:rPr>
    </w:lvl>
    <w:lvl w:ilvl="5" w:tplc="CB621046" w:tentative="1">
      <w:start w:val="1"/>
      <w:numFmt w:val="bullet"/>
      <w:lvlText w:val="•"/>
      <w:lvlJc w:val="left"/>
      <w:pPr>
        <w:tabs>
          <w:tab w:val="num" w:pos="4320"/>
        </w:tabs>
        <w:ind w:left="4320" w:hanging="360"/>
      </w:pPr>
      <w:rPr>
        <w:rFonts w:ascii="Arial" w:hAnsi="Arial" w:hint="default"/>
      </w:rPr>
    </w:lvl>
    <w:lvl w:ilvl="6" w:tplc="C66836D8" w:tentative="1">
      <w:start w:val="1"/>
      <w:numFmt w:val="bullet"/>
      <w:lvlText w:val="•"/>
      <w:lvlJc w:val="left"/>
      <w:pPr>
        <w:tabs>
          <w:tab w:val="num" w:pos="5040"/>
        </w:tabs>
        <w:ind w:left="5040" w:hanging="360"/>
      </w:pPr>
      <w:rPr>
        <w:rFonts w:ascii="Arial" w:hAnsi="Arial" w:hint="default"/>
      </w:rPr>
    </w:lvl>
    <w:lvl w:ilvl="7" w:tplc="64F69BF4" w:tentative="1">
      <w:start w:val="1"/>
      <w:numFmt w:val="bullet"/>
      <w:lvlText w:val="•"/>
      <w:lvlJc w:val="left"/>
      <w:pPr>
        <w:tabs>
          <w:tab w:val="num" w:pos="5760"/>
        </w:tabs>
        <w:ind w:left="5760" w:hanging="360"/>
      </w:pPr>
      <w:rPr>
        <w:rFonts w:ascii="Arial" w:hAnsi="Arial" w:hint="default"/>
      </w:rPr>
    </w:lvl>
    <w:lvl w:ilvl="8" w:tplc="59D00AA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00244D9"/>
    <w:multiLevelType w:val="hybridMultilevel"/>
    <w:tmpl w:val="62A82FAE"/>
    <w:lvl w:ilvl="0" w:tplc="916C70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A10ED9"/>
    <w:multiLevelType w:val="hybridMultilevel"/>
    <w:tmpl w:val="1B00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C16F14"/>
    <w:multiLevelType w:val="hybridMultilevel"/>
    <w:tmpl w:val="5928CD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20"/>
  </w:num>
  <w:num w:numId="3">
    <w:abstractNumId w:val="7"/>
  </w:num>
  <w:num w:numId="4">
    <w:abstractNumId w:val="28"/>
  </w:num>
  <w:num w:numId="5">
    <w:abstractNumId w:val="27"/>
  </w:num>
  <w:num w:numId="6">
    <w:abstractNumId w:val="1"/>
  </w:num>
  <w:num w:numId="7">
    <w:abstractNumId w:val="6"/>
  </w:num>
  <w:num w:numId="8">
    <w:abstractNumId w:val="0"/>
  </w:num>
  <w:num w:numId="9">
    <w:abstractNumId w:val="22"/>
  </w:num>
  <w:num w:numId="10">
    <w:abstractNumId w:val="12"/>
  </w:num>
  <w:num w:numId="11">
    <w:abstractNumId w:val="15"/>
  </w:num>
  <w:num w:numId="12">
    <w:abstractNumId w:val="5"/>
  </w:num>
  <w:num w:numId="13">
    <w:abstractNumId w:val="31"/>
  </w:num>
  <w:num w:numId="14">
    <w:abstractNumId w:val="25"/>
  </w:num>
  <w:num w:numId="15">
    <w:abstractNumId w:val="10"/>
  </w:num>
  <w:num w:numId="16">
    <w:abstractNumId w:val="17"/>
  </w:num>
  <w:num w:numId="17">
    <w:abstractNumId w:val="24"/>
  </w:num>
  <w:num w:numId="18">
    <w:abstractNumId w:val="26"/>
  </w:num>
  <w:num w:numId="19">
    <w:abstractNumId w:val="2"/>
  </w:num>
  <w:num w:numId="20">
    <w:abstractNumId w:val="11"/>
  </w:num>
  <w:num w:numId="21">
    <w:abstractNumId w:val="8"/>
  </w:num>
  <w:num w:numId="22">
    <w:abstractNumId w:val="13"/>
  </w:num>
  <w:num w:numId="23">
    <w:abstractNumId w:val="16"/>
  </w:num>
  <w:num w:numId="24">
    <w:abstractNumId w:val="29"/>
  </w:num>
  <w:num w:numId="25">
    <w:abstractNumId w:val="21"/>
  </w:num>
  <w:num w:numId="26">
    <w:abstractNumId w:val="30"/>
  </w:num>
  <w:num w:numId="27">
    <w:abstractNumId w:val="4"/>
  </w:num>
  <w:num w:numId="28">
    <w:abstractNumId w:val="9"/>
  </w:num>
  <w:num w:numId="29">
    <w:abstractNumId w:val="23"/>
  </w:num>
  <w:num w:numId="30">
    <w:abstractNumId w:val="3"/>
  </w:num>
  <w:num w:numId="31">
    <w:abstractNumId w:val="18"/>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F93"/>
    <w:rsid w:val="00001829"/>
    <w:rsid w:val="000237EE"/>
    <w:rsid w:val="00036AD9"/>
    <w:rsid w:val="0004179F"/>
    <w:rsid w:val="000453EC"/>
    <w:rsid w:val="00061816"/>
    <w:rsid w:val="0007051D"/>
    <w:rsid w:val="00080FC9"/>
    <w:rsid w:val="00083F57"/>
    <w:rsid w:val="000924D5"/>
    <w:rsid w:val="000A5213"/>
    <w:rsid w:val="000A678A"/>
    <w:rsid w:val="000B27C1"/>
    <w:rsid w:val="000B7848"/>
    <w:rsid w:val="000C2AAD"/>
    <w:rsid w:val="000C3867"/>
    <w:rsid w:val="000C58E6"/>
    <w:rsid w:val="000D38CE"/>
    <w:rsid w:val="000D6182"/>
    <w:rsid w:val="000E0804"/>
    <w:rsid w:val="000F4111"/>
    <w:rsid w:val="000F4AE6"/>
    <w:rsid w:val="0011580E"/>
    <w:rsid w:val="001257A7"/>
    <w:rsid w:val="00146FAD"/>
    <w:rsid w:val="00150029"/>
    <w:rsid w:val="001574A9"/>
    <w:rsid w:val="00181B78"/>
    <w:rsid w:val="00184F93"/>
    <w:rsid w:val="00190326"/>
    <w:rsid w:val="001B6723"/>
    <w:rsid w:val="001C2CF8"/>
    <w:rsid w:val="001E26F8"/>
    <w:rsid w:val="001E62F5"/>
    <w:rsid w:val="001E7EE3"/>
    <w:rsid w:val="00202DB1"/>
    <w:rsid w:val="002125B6"/>
    <w:rsid w:val="00212A5E"/>
    <w:rsid w:val="00217E6E"/>
    <w:rsid w:val="00223458"/>
    <w:rsid w:val="00227990"/>
    <w:rsid w:val="002312CD"/>
    <w:rsid w:val="00235F42"/>
    <w:rsid w:val="0024683D"/>
    <w:rsid w:val="002475F8"/>
    <w:rsid w:val="00253D27"/>
    <w:rsid w:val="00253DE4"/>
    <w:rsid w:val="0025505A"/>
    <w:rsid w:val="002552BA"/>
    <w:rsid w:val="00262F9B"/>
    <w:rsid w:val="00284866"/>
    <w:rsid w:val="002938DD"/>
    <w:rsid w:val="0029574F"/>
    <w:rsid w:val="00297243"/>
    <w:rsid w:val="002A3FF5"/>
    <w:rsid w:val="002B0B2A"/>
    <w:rsid w:val="002E38FB"/>
    <w:rsid w:val="002F2272"/>
    <w:rsid w:val="0030135D"/>
    <w:rsid w:val="0030219B"/>
    <w:rsid w:val="0032535F"/>
    <w:rsid w:val="00325CFE"/>
    <w:rsid w:val="0032680D"/>
    <w:rsid w:val="00355334"/>
    <w:rsid w:val="003571A0"/>
    <w:rsid w:val="00360144"/>
    <w:rsid w:val="00376D87"/>
    <w:rsid w:val="0038385E"/>
    <w:rsid w:val="00384368"/>
    <w:rsid w:val="003905C2"/>
    <w:rsid w:val="00394995"/>
    <w:rsid w:val="00397778"/>
    <w:rsid w:val="00397863"/>
    <w:rsid w:val="003A292F"/>
    <w:rsid w:val="003A2EF1"/>
    <w:rsid w:val="003D007D"/>
    <w:rsid w:val="003D03F8"/>
    <w:rsid w:val="003D2083"/>
    <w:rsid w:val="003E07A7"/>
    <w:rsid w:val="003E481A"/>
    <w:rsid w:val="003E67C1"/>
    <w:rsid w:val="003F2879"/>
    <w:rsid w:val="0040145F"/>
    <w:rsid w:val="00403BA8"/>
    <w:rsid w:val="00437B52"/>
    <w:rsid w:val="004602BA"/>
    <w:rsid w:val="00480778"/>
    <w:rsid w:val="00486CF2"/>
    <w:rsid w:val="004870E6"/>
    <w:rsid w:val="0049028C"/>
    <w:rsid w:val="00496580"/>
    <w:rsid w:val="004B09CD"/>
    <w:rsid w:val="004D60E6"/>
    <w:rsid w:val="004D6B45"/>
    <w:rsid w:val="00500602"/>
    <w:rsid w:val="00502760"/>
    <w:rsid w:val="00502824"/>
    <w:rsid w:val="0050651E"/>
    <w:rsid w:val="00511570"/>
    <w:rsid w:val="00516273"/>
    <w:rsid w:val="005229A9"/>
    <w:rsid w:val="005566EA"/>
    <w:rsid w:val="0056120F"/>
    <w:rsid w:val="005660B2"/>
    <w:rsid w:val="00571ABD"/>
    <w:rsid w:val="00576E3E"/>
    <w:rsid w:val="0058100A"/>
    <w:rsid w:val="00581B9D"/>
    <w:rsid w:val="005A3B0E"/>
    <w:rsid w:val="005A6996"/>
    <w:rsid w:val="005D7E99"/>
    <w:rsid w:val="005E0874"/>
    <w:rsid w:val="0060188D"/>
    <w:rsid w:val="006027C1"/>
    <w:rsid w:val="00616D60"/>
    <w:rsid w:val="006230F4"/>
    <w:rsid w:val="006244A2"/>
    <w:rsid w:val="00630963"/>
    <w:rsid w:val="0063141D"/>
    <w:rsid w:val="00666B39"/>
    <w:rsid w:val="006870F7"/>
    <w:rsid w:val="0069099D"/>
    <w:rsid w:val="006A0911"/>
    <w:rsid w:val="006A7BCD"/>
    <w:rsid w:val="006B22F3"/>
    <w:rsid w:val="006D0A95"/>
    <w:rsid w:val="006F2D7B"/>
    <w:rsid w:val="00703D76"/>
    <w:rsid w:val="0070427A"/>
    <w:rsid w:val="00707AEF"/>
    <w:rsid w:val="00713BA1"/>
    <w:rsid w:val="00731B77"/>
    <w:rsid w:val="00734105"/>
    <w:rsid w:val="00761323"/>
    <w:rsid w:val="00782540"/>
    <w:rsid w:val="00785DD0"/>
    <w:rsid w:val="00791C69"/>
    <w:rsid w:val="007B2323"/>
    <w:rsid w:val="007C3F94"/>
    <w:rsid w:val="007E0A5C"/>
    <w:rsid w:val="007E3191"/>
    <w:rsid w:val="00815B98"/>
    <w:rsid w:val="008224EA"/>
    <w:rsid w:val="00832595"/>
    <w:rsid w:val="0083269E"/>
    <w:rsid w:val="0083373C"/>
    <w:rsid w:val="00835791"/>
    <w:rsid w:val="00841467"/>
    <w:rsid w:val="00852A7A"/>
    <w:rsid w:val="0085361A"/>
    <w:rsid w:val="008573F7"/>
    <w:rsid w:val="00861546"/>
    <w:rsid w:val="00870373"/>
    <w:rsid w:val="00874CFB"/>
    <w:rsid w:val="008A727F"/>
    <w:rsid w:val="008B2A48"/>
    <w:rsid w:val="008C2CA4"/>
    <w:rsid w:val="008F2771"/>
    <w:rsid w:val="0090281B"/>
    <w:rsid w:val="00912E68"/>
    <w:rsid w:val="00914784"/>
    <w:rsid w:val="00931DE5"/>
    <w:rsid w:val="00973C21"/>
    <w:rsid w:val="00982A97"/>
    <w:rsid w:val="00993D43"/>
    <w:rsid w:val="009A4BB8"/>
    <w:rsid w:val="009B753D"/>
    <w:rsid w:val="009D0006"/>
    <w:rsid w:val="009D1AB6"/>
    <w:rsid w:val="00A121C6"/>
    <w:rsid w:val="00A27F4A"/>
    <w:rsid w:val="00A442F6"/>
    <w:rsid w:val="00A507F6"/>
    <w:rsid w:val="00A57D5C"/>
    <w:rsid w:val="00A82DEC"/>
    <w:rsid w:val="00A926D4"/>
    <w:rsid w:val="00AB1EEC"/>
    <w:rsid w:val="00AB26F7"/>
    <w:rsid w:val="00AC1546"/>
    <w:rsid w:val="00AC6A75"/>
    <w:rsid w:val="00AE06CB"/>
    <w:rsid w:val="00AF6AEA"/>
    <w:rsid w:val="00B04469"/>
    <w:rsid w:val="00B072F0"/>
    <w:rsid w:val="00B1329E"/>
    <w:rsid w:val="00B232FE"/>
    <w:rsid w:val="00B35D19"/>
    <w:rsid w:val="00B36AD2"/>
    <w:rsid w:val="00B61274"/>
    <w:rsid w:val="00B907EA"/>
    <w:rsid w:val="00BA79AF"/>
    <w:rsid w:val="00BD421A"/>
    <w:rsid w:val="00BE384C"/>
    <w:rsid w:val="00C032EA"/>
    <w:rsid w:val="00C13E72"/>
    <w:rsid w:val="00C16D5B"/>
    <w:rsid w:val="00C22BDA"/>
    <w:rsid w:val="00C328C2"/>
    <w:rsid w:val="00C41990"/>
    <w:rsid w:val="00C52F7D"/>
    <w:rsid w:val="00C62D66"/>
    <w:rsid w:val="00C67D8D"/>
    <w:rsid w:val="00C74A50"/>
    <w:rsid w:val="00C80CA3"/>
    <w:rsid w:val="00CA0E2E"/>
    <w:rsid w:val="00CA1E28"/>
    <w:rsid w:val="00CA1EC6"/>
    <w:rsid w:val="00CA67B5"/>
    <w:rsid w:val="00CB089E"/>
    <w:rsid w:val="00CB26D7"/>
    <w:rsid w:val="00CC35B2"/>
    <w:rsid w:val="00CC45B3"/>
    <w:rsid w:val="00CE55B0"/>
    <w:rsid w:val="00D2264C"/>
    <w:rsid w:val="00D37435"/>
    <w:rsid w:val="00D37FFB"/>
    <w:rsid w:val="00D42DE7"/>
    <w:rsid w:val="00D50113"/>
    <w:rsid w:val="00D65CA4"/>
    <w:rsid w:val="00D66B45"/>
    <w:rsid w:val="00D73A2B"/>
    <w:rsid w:val="00D83F77"/>
    <w:rsid w:val="00D842C6"/>
    <w:rsid w:val="00D92B0D"/>
    <w:rsid w:val="00D930F2"/>
    <w:rsid w:val="00DA31B5"/>
    <w:rsid w:val="00DA7FD6"/>
    <w:rsid w:val="00DC1DB4"/>
    <w:rsid w:val="00DC57AA"/>
    <w:rsid w:val="00DC6510"/>
    <w:rsid w:val="00DD2DBF"/>
    <w:rsid w:val="00DF7551"/>
    <w:rsid w:val="00E023E4"/>
    <w:rsid w:val="00E0380F"/>
    <w:rsid w:val="00E166F4"/>
    <w:rsid w:val="00E25C85"/>
    <w:rsid w:val="00E3010A"/>
    <w:rsid w:val="00E432B5"/>
    <w:rsid w:val="00E50970"/>
    <w:rsid w:val="00E52DA3"/>
    <w:rsid w:val="00E534CB"/>
    <w:rsid w:val="00E73242"/>
    <w:rsid w:val="00E736CE"/>
    <w:rsid w:val="00E7441E"/>
    <w:rsid w:val="00E810CE"/>
    <w:rsid w:val="00E82AA5"/>
    <w:rsid w:val="00E84F14"/>
    <w:rsid w:val="00E938C9"/>
    <w:rsid w:val="00E939C1"/>
    <w:rsid w:val="00EC0F15"/>
    <w:rsid w:val="00ED646A"/>
    <w:rsid w:val="00EF19B3"/>
    <w:rsid w:val="00EF56DE"/>
    <w:rsid w:val="00EF5A0C"/>
    <w:rsid w:val="00F0745F"/>
    <w:rsid w:val="00F15886"/>
    <w:rsid w:val="00F2501A"/>
    <w:rsid w:val="00F26204"/>
    <w:rsid w:val="00F2693F"/>
    <w:rsid w:val="00F30BB2"/>
    <w:rsid w:val="00F41B41"/>
    <w:rsid w:val="00F51B07"/>
    <w:rsid w:val="00F55953"/>
    <w:rsid w:val="00F600A7"/>
    <w:rsid w:val="00F6247D"/>
    <w:rsid w:val="00F743D6"/>
    <w:rsid w:val="00F74971"/>
    <w:rsid w:val="00F861D5"/>
    <w:rsid w:val="00FA6512"/>
    <w:rsid w:val="00FB04C8"/>
    <w:rsid w:val="00FD08A1"/>
    <w:rsid w:val="00FD1241"/>
    <w:rsid w:val="00FD322B"/>
    <w:rsid w:val="00FD3F3A"/>
    <w:rsid w:val="00FE2FD4"/>
    <w:rsid w:val="00FF5D15"/>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D788"/>
  <w15:chartTrackingRefBased/>
  <w15:docId w15:val="{2DDC0979-F902-4F88-B179-D4A7285DF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58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C58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16D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84368"/>
    <w:pPr>
      <w:keepNext/>
      <w:keepLines/>
      <w:spacing w:before="120" w:after="60"/>
      <w:outlineLvl w:val="3"/>
    </w:pPr>
    <w:rPr>
      <w:rFonts w:eastAsiaTheme="majorEastAsia" w:cstheme="majorBidi"/>
      <w:b/>
      <w:i/>
      <w:iCs/>
      <w:color w:val="2E74B5" w:themeColor="accent1" w:themeShade="BF"/>
    </w:rPr>
  </w:style>
  <w:style w:type="paragraph" w:styleId="Heading5">
    <w:name w:val="heading 5"/>
    <w:basedOn w:val="Normal"/>
    <w:next w:val="Normal"/>
    <w:link w:val="Heading5Char"/>
    <w:uiPriority w:val="9"/>
    <w:unhideWhenUsed/>
    <w:qFormat/>
    <w:rsid w:val="00384368"/>
    <w:pPr>
      <w:keepNext/>
      <w:keepLines/>
      <w:spacing w:before="120" w:after="60"/>
      <w:ind w:left="630"/>
      <w:outlineLvl w:val="4"/>
    </w:pPr>
    <w:rPr>
      <w:rFonts w:eastAsiaTheme="majorEastAsia" w:cstheme="majorBidi"/>
      <w:b/>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F93"/>
    <w:pPr>
      <w:ind w:left="720"/>
      <w:contextualSpacing/>
    </w:pPr>
  </w:style>
  <w:style w:type="paragraph" w:styleId="Header">
    <w:name w:val="header"/>
    <w:basedOn w:val="Normal"/>
    <w:link w:val="HeaderChar"/>
    <w:unhideWhenUsed/>
    <w:rsid w:val="00D73A2B"/>
    <w:pPr>
      <w:tabs>
        <w:tab w:val="center" w:pos="4680"/>
        <w:tab w:val="right" w:pos="9360"/>
      </w:tabs>
      <w:spacing w:after="0" w:line="240" w:lineRule="auto"/>
    </w:pPr>
  </w:style>
  <w:style w:type="character" w:customStyle="1" w:styleId="HeaderChar">
    <w:name w:val="Header Char"/>
    <w:basedOn w:val="DefaultParagraphFont"/>
    <w:link w:val="Header"/>
    <w:rsid w:val="00D73A2B"/>
  </w:style>
  <w:style w:type="paragraph" w:styleId="Footer">
    <w:name w:val="footer"/>
    <w:basedOn w:val="Normal"/>
    <w:link w:val="FooterChar"/>
    <w:uiPriority w:val="99"/>
    <w:unhideWhenUsed/>
    <w:rsid w:val="00D73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A2B"/>
  </w:style>
  <w:style w:type="character" w:styleId="Hyperlink">
    <w:name w:val="Hyperlink"/>
    <w:basedOn w:val="DefaultParagraphFont"/>
    <w:uiPriority w:val="99"/>
    <w:unhideWhenUsed/>
    <w:rsid w:val="0007051D"/>
    <w:rPr>
      <w:color w:val="0563C1" w:themeColor="hyperlink"/>
      <w:u w:val="single"/>
    </w:rPr>
  </w:style>
  <w:style w:type="paragraph" w:styleId="BodyText">
    <w:name w:val="Body Text"/>
    <w:basedOn w:val="Normal"/>
    <w:link w:val="BodyTextChar"/>
    <w:uiPriority w:val="99"/>
    <w:unhideWhenUsed/>
    <w:rsid w:val="00D83F77"/>
    <w:pPr>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D83F77"/>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F4111"/>
    <w:rPr>
      <w:color w:val="954F72" w:themeColor="followedHyperlink"/>
      <w:u w:val="single"/>
    </w:rPr>
  </w:style>
  <w:style w:type="paragraph" w:styleId="BalloonText">
    <w:name w:val="Balloon Text"/>
    <w:basedOn w:val="Normal"/>
    <w:link w:val="BalloonTextChar"/>
    <w:uiPriority w:val="99"/>
    <w:semiHidden/>
    <w:unhideWhenUsed/>
    <w:rsid w:val="00FD1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241"/>
    <w:rPr>
      <w:rFonts w:ascii="Segoe UI" w:hAnsi="Segoe UI" w:cs="Segoe UI"/>
      <w:sz w:val="18"/>
      <w:szCs w:val="18"/>
    </w:rPr>
  </w:style>
  <w:style w:type="character" w:styleId="CommentReference">
    <w:name w:val="annotation reference"/>
    <w:basedOn w:val="DefaultParagraphFont"/>
    <w:uiPriority w:val="99"/>
    <w:semiHidden/>
    <w:unhideWhenUsed/>
    <w:rsid w:val="00FE2FD4"/>
    <w:rPr>
      <w:sz w:val="16"/>
      <w:szCs w:val="16"/>
    </w:rPr>
  </w:style>
  <w:style w:type="paragraph" w:styleId="CommentText">
    <w:name w:val="annotation text"/>
    <w:basedOn w:val="Normal"/>
    <w:link w:val="CommentTextChar"/>
    <w:uiPriority w:val="99"/>
    <w:semiHidden/>
    <w:unhideWhenUsed/>
    <w:rsid w:val="00FE2FD4"/>
    <w:pPr>
      <w:spacing w:line="240" w:lineRule="auto"/>
    </w:pPr>
    <w:rPr>
      <w:sz w:val="20"/>
      <w:szCs w:val="20"/>
    </w:rPr>
  </w:style>
  <w:style w:type="character" w:customStyle="1" w:styleId="CommentTextChar">
    <w:name w:val="Comment Text Char"/>
    <w:basedOn w:val="DefaultParagraphFont"/>
    <w:link w:val="CommentText"/>
    <w:uiPriority w:val="99"/>
    <w:semiHidden/>
    <w:rsid w:val="00FE2FD4"/>
    <w:rPr>
      <w:sz w:val="20"/>
      <w:szCs w:val="20"/>
    </w:rPr>
  </w:style>
  <w:style w:type="paragraph" w:styleId="CommentSubject">
    <w:name w:val="annotation subject"/>
    <w:basedOn w:val="CommentText"/>
    <w:next w:val="CommentText"/>
    <w:link w:val="CommentSubjectChar"/>
    <w:uiPriority w:val="99"/>
    <w:semiHidden/>
    <w:unhideWhenUsed/>
    <w:rsid w:val="00FE2FD4"/>
    <w:rPr>
      <w:b/>
      <w:bCs/>
    </w:rPr>
  </w:style>
  <w:style w:type="character" w:customStyle="1" w:styleId="CommentSubjectChar">
    <w:name w:val="Comment Subject Char"/>
    <w:basedOn w:val="CommentTextChar"/>
    <w:link w:val="CommentSubject"/>
    <w:uiPriority w:val="99"/>
    <w:semiHidden/>
    <w:rsid w:val="00FE2FD4"/>
    <w:rPr>
      <w:b/>
      <w:bCs/>
      <w:sz w:val="20"/>
      <w:szCs w:val="20"/>
    </w:rPr>
  </w:style>
  <w:style w:type="paragraph" w:styleId="Revision">
    <w:name w:val="Revision"/>
    <w:hidden/>
    <w:uiPriority w:val="99"/>
    <w:semiHidden/>
    <w:rsid w:val="0004179F"/>
    <w:pPr>
      <w:spacing w:after="0" w:line="240" w:lineRule="auto"/>
    </w:pPr>
  </w:style>
  <w:style w:type="table" w:styleId="TableGrid">
    <w:name w:val="Table Grid"/>
    <w:basedOn w:val="TableNormal"/>
    <w:uiPriority w:val="39"/>
    <w:rsid w:val="00023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028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81B"/>
    <w:rPr>
      <w:sz w:val="20"/>
      <w:szCs w:val="20"/>
    </w:rPr>
  </w:style>
  <w:style w:type="character" w:styleId="FootnoteReference">
    <w:name w:val="footnote reference"/>
    <w:basedOn w:val="DefaultParagraphFont"/>
    <w:uiPriority w:val="99"/>
    <w:semiHidden/>
    <w:unhideWhenUsed/>
    <w:rsid w:val="0090281B"/>
    <w:rPr>
      <w:vertAlign w:val="superscript"/>
    </w:rPr>
  </w:style>
  <w:style w:type="character" w:customStyle="1" w:styleId="Heading1Char">
    <w:name w:val="Heading 1 Char"/>
    <w:basedOn w:val="DefaultParagraphFont"/>
    <w:link w:val="Heading1"/>
    <w:uiPriority w:val="9"/>
    <w:rsid w:val="000C58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C58E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16D6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84368"/>
    <w:rPr>
      <w:rFonts w:eastAsiaTheme="majorEastAsia" w:cstheme="majorBidi"/>
      <w:b/>
      <w:i/>
      <w:iCs/>
      <w:color w:val="2E74B5" w:themeColor="accent1" w:themeShade="BF"/>
    </w:rPr>
  </w:style>
  <w:style w:type="character" w:customStyle="1" w:styleId="Heading5Char">
    <w:name w:val="Heading 5 Char"/>
    <w:basedOn w:val="DefaultParagraphFont"/>
    <w:link w:val="Heading5"/>
    <w:uiPriority w:val="9"/>
    <w:rsid w:val="00384368"/>
    <w:rPr>
      <w:rFonts w:eastAsiaTheme="majorEastAsia" w:cstheme="majorBidi"/>
      <w:b/>
      <w:color w:val="2E74B5" w:themeColor="accent1" w:themeShade="BF"/>
    </w:rPr>
  </w:style>
  <w:style w:type="character" w:customStyle="1" w:styleId="UnresolvedMention1">
    <w:name w:val="Unresolved Mention1"/>
    <w:basedOn w:val="DefaultParagraphFont"/>
    <w:uiPriority w:val="99"/>
    <w:semiHidden/>
    <w:unhideWhenUsed/>
    <w:rsid w:val="0030135D"/>
    <w:rPr>
      <w:color w:val="605E5C"/>
      <w:shd w:val="clear" w:color="auto" w:fill="E1DFDD"/>
    </w:rPr>
  </w:style>
  <w:style w:type="paragraph" w:customStyle="1" w:styleId="CBHeading1WithRule">
    <w:name w:val="+ CB Heading1WithRule"/>
    <w:next w:val="Normal"/>
    <w:link w:val="CBHeading1WithRuleChar"/>
    <w:qFormat/>
    <w:rsid w:val="00DC1DB4"/>
    <w:pPr>
      <w:pBdr>
        <w:bottom w:val="single" w:sz="12" w:space="1" w:color="051D63"/>
      </w:pBdr>
      <w:spacing w:before="120" w:after="80" w:line="264" w:lineRule="auto"/>
    </w:pPr>
    <w:rPr>
      <w:rFonts w:ascii="Trebuchet MS" w:eastAsiaTheme="majorEastAsia" w:hAnsi="Trebuchet MS" w:cstheme="majorBidi"/>
      <w:b/>
      <w:color w:val="051D63"/>
      <w:sz w:val="36"/>
      <w:szCs w:val="32"/>
    </w:rPr>
  </w:style>
  <w:style w:type="character" w:customStyle="1" w:styleId="CBHeading1WithRuleChar">
    <w:name w:val="+ CB Heading1WithRule Char"/>
    <w:basedOn w:val="Heading1Char"/>
    <w:link w:val="CBHeading1WithRule"/>
    <w:rsid w:val="00DC1DB4"/>
    <w:rPr>
      <w:rFonts w:ascii="Trebuchet MS" w:eastAsiaTheme="majorEastAsia" w:hAnsi="Trebuchet MS" w:cstheme="majorBidi"/>
      <w:b/>
      <w:color w:val="051D63"/>
      <w:sz w:val="36"/>
      <w:szCs w:val="32"/>
    </w:rPr>
  </w:style>
  <w:style w:type="paragraph" w:customStyle="1" w:styleId="CBInformalHeading1WithRule">
    <w:name w:val="+ CB InformalHeading1WithRule"/>
    <w:basedOn w:val="Normal"/>
    <w:next w:val="Normal"/>
    <w:link w:val="CBInformalHeading1WithRuleChar"/>
    <w:qFormat/>
    <w:rsid w:val="00DC1DB4"/>
    <w:pPr>
      <w:keepNext/>
      <w:pBdr>
        <w:bottom w:val="single" w:sz="12" w:space="1" w:color="262626" w:themeColor="text1" w:themeTint="D9"/>
      </w:pBdr>
      <w:spacing w:before="120" w:after="80"/>
    </w:pPr>
    <w:rPr>
      <w:rFonts w:ascii="Trebuchet MS" w:hAnsi="Trebuchet MS"/>
      <w:b/>
      <w:color w:val="262626" w:themeColor="text1" w:themeTint="D9"/>
      <w:sz w:val="36"/>
      <w:szCs w:val="36"/>
    </w:rPr>
  </w:style>
  <w:style w:type="character" w:customStyle="1" w:styleId="CBInformalHeading1WithRuleChar">
    <w:name w:val="+ CB InformalHeading1WithRule Char"/>
    <w:basedOn w:val="DefaultParagraphFont"/>
    <w:link w:val="CBInformalHeading1WithRule"/>
    <w:rsid w:val="00DC1DB4"/>
    <w:rPr>
      <w:rFonts w:ascii="Trebuchet MS" w:hAnsi="Trebuchet MS"/>
      <w:b/>
      <w:color w:val="262626" w:themeColor="text1" w:themeTint="D9"/>
      <w:sz w:val="36"/>
      <w:szCs w:val="36"/>
    </w:rPr>
  </w:style>
  <w:style w:type="paragraph" w:customStyle="1" w:styleId="CBInformalHeading5">
    <w:name w:val="+ CB InformalHeading5"/>
    <w:next w:val="Normal"/>
    <w:qFormat/>
    <w:rsid w:val="00DC1DB4"/>
    <w:pPr>
      <w:spacing w:before="40" w:after="80"/>
    </w:pPr>
    <w:rPr>
      <w:rFonts w:ascii="Trebuchet MS" w:hAnsi="Trebuchet MS"/>
      <w:color w:val="0D0D0D" w:themeColor="text1" w:themeTint="F2"/>
      <w:sz w:val="24"/>
      <w:u w:val="single"/>
    </w:rPr>
  </w:style>
  <w:style w:type="character" w:styleId="UnresolvedMention">
    <w:name w:val="Unresolved Mention"/>
    <w:basedOn w:val="DefaultParagraphFont"/>
    <w:uiPriority w:val="99"/>
    <w:semiHidden/>
    <w:unhideWhenUsed/>
    <w:rsid w:val="003571A0"/>
    <w:rPr>
      <w:color w:val="605E5C"/>
      <w:shd w:val="clear" w:color="auto" w:fill="E1DFDD"/>
    </w:rPr>
  </w:style>
  <w:style w:type="paragraph" w:customStyle="1" w:styleId="ESEReportName">
    <w:name w:val="ESE Report Name"/>
    <w:basedOn w:val="Normal"/>
    <w:next w:val="Normal"/>
    <w:qFormat/>
    <w:rsid w:val="00E82AA5"/>
    <w:pPr>
      <w:spacing w:after="0" w:line="400" w:lineRule="exact"/>
    </w:pPr>
    <w:rPr>
      <w:rFonts w:ascii="Arial" w:eastAsia="Times New Roman" w:hAnsi="Arial" w:cs="Times New Roman"/>
      <w:b/>
      <w:color w:val="000000"/>
      <w:sz w:val="36"/>
      <w:szCs w:val="24"/>
    </w:rPr>
  </w:style>
  <w:style w:type="paragraph" w:customStyle="1" w:styleId="AgencyTitle">
    <w:name w:val="Agency Title"/>
    <w:basedOn w:val="Normal"/>
    <w:semiHidden/>
    <w:rsid w:val="00E82AA5"/>
    <w:pPr>
      <w:spacing w:after="0" w:line="240" w:lineRule="auto"/>
    </w:pPr>
    <w:rPr>
      <w:rFonts w:ascii="Arial" w:eastAsia="Times New Roman" w:hAnsi="Arial" w:cs="Times New Roman"/>
      <w:b/>
      <w:sz w:val="18"/>
      <w:szCs w:val="24"/>
    </w:rPr>
  </w:style>
  <w:style w:type="paragraph" w:customStyle="1" w:styleId="arial9">
    <w:name w:val="arial9"/>
    <w:basedOn w:val="Normal"/>
    <w:semiHidden/>
    <w:rsid w:val="00E82AA5"/>
    <w:pPr>
      <w:spacing w:after="0" w:line="240" w:lineRule="auto"/>
      <w:ind w:right="-108"/>
    </w:pPr>
    <w:rPr>
      <w:rFonts w:ascii="Arial" w:eastAsia="Times New Roman" w:hAnsi="Arial"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88748">
      <w:bodyDiv w:val="1"/>
      <w:marLeft w:val="0"/>
      <w:marRight w:val="0"/>
      <w:marTop w:val="0"/>
      <w:marBottom w:val="0"/>
      <w:divBdr>
        <w:top w:val="none" w:sz="0" w:space="0" w:color="auto"/>
        <w:left w:val="none" w:sz="0" w:space="0" w:color="auto"/>
        <w:bottom w:val="none" w:sz="0" w:space="0" w:color="auto"/>
        <w:right w:val="none" w:sz="0" w:space="0" w:color="auto"/>
      </w:divBdr>
    </w:div>
    <w:div w:id="175996419">
      <w:bodyDiv w:val="1"/>
      <w:marLeft w:val="0"/>
      <w:marRight w:val="0"/>
      <w:marTop w:val="0"/>
      <w:marBottom w:val="0"/>
      <w:divBdr>
        <w:top w:val="none" w:sz="0" w:space="0" w:color="auto"/>
        <w:left w:val="none" w:sz="0" w:space="0" w:color="auto"/>
        <w:bottom w:val="none" w:sz="0" w:space="0" w:color="auto"/>
        <w:right w:val="none" w:sz="0" w:space="0" w:color="auto"/>
      </w:divBdr>
      <w:divsChild>
        <w:div w:id="2073767648">
          <w:marLeft w:val="360"/>
          <w:marRight w:val="0"/>
          <w:marTop w:val="200"/>
          <w:marBottom w:val="0"/>
          <w:divBdr>
            <w:top w:val="none" w:sz="0" w:space="0" w:color="auto"/>
            <w:left w:val="none" w:sz="0" w:space="0" w:color="auto"/>
            <w:bottom w:val="none" w:sz="0" w:space="0" w:color="auto"/>
            <w:right w:val="none" w:sz="0" w:space="0" w:color="auto"/>
          </w:divBdr>
        </w:div>
        <w:div w:id="1111821530">
          <w:marLeft w:val="1166"/>
          <w:marRight w:val="0"/>
          <w:marTop w:val="100"/>
          <w:marBottom w:val="0"/>
          <w:divBdr>
            <w:top w:val="none" w:sz="0" w:space="0" w:color="auto"/>
            <w:left w:val="none" w:sz="0" w:space="0" w:color="auto"/>
            <w:bottom w:val="none" w:sz="0" w:space="0" w:color="auto"/>
            <w:right w:val="none" w:sz="0" w:space="0" w:color="auto"/>
          </w:divBdr>
        </w:div>
        <w:div w:id="1297642827">
          <w:marLeft w:val="1166"/>
          <w:marRight w:val="0"/>
          <w:marTop w:val="100"/>
          <w:marBottom w:val="0"/>
          <w:divBdr>
            <w:top w:val="none" w:sz="0" w:space="0" w:color="auto"/>
            <w:left w:val="none" w:sz="0" w:space="0" w:color="auto"/>
            <w:bottom w:val="none" w:sz="0" w:space="0" w:color="auto"/>
            <w:right w:val="none" w:sz="0" w:space="0" w:color="auto"/>
          </w:divBdr>
        </w:div>
        <w:div w:id="1702784132">
          <w:marLeft w:val="1166"/>
          <w:marRight w:val="0"/>
          <w:marTop w:val="100"/>
          <w:marBottom w:val="0"/>
          <w:divBdr>
            <w:top w:val="none" w:sz="0" w:space="0" w:color="auto"/>
            <w:left w:val="none" w:sz="0" w:space="0" w:color="auto"/>
            <w:bottom w:val="none" w:sz="0" w:space="0" w:color="auto"/>
            <w:right w:val="none" w:sz="0" w:space="0" w:color="auto"/>
          </w:divBdr>
        </w:div>
        <w:div w:id="13003109">
          <w:marLeft w:val="360"/>
          <w:marRight w:val="0"/>
          <w:marTop w:val="200"/>
          <w:marBottom w:val="0"/>
          <w:divBdr>
            <w:top w:val="none" w:sz="0" w:space="0" w:color="auto"/>
            <w:left w:val="none" w:sz="0" w:space="0" w:color="auto"/>
            <w:bottom w:val="none" w:sz="0" w:space="0" w:color="auto"/>
            <w:right w:val="none" w:sz="0" w:space="0" w:color="auto"/>
          </w:divBdr>
        </w:div>
        <w:div w:id="710224387">
          <w:marLeft w:val="1166"/>
          <w:marRight w:val="0"/>
          <w:marTop w:val="100"/>
          <w:marBottom w:val="0"/>
          <w:divBdr>
            <w:top w:val="none" w:sz="0" w:space="0" w:color="auto"/>
            <w:left w:val="none" w:sz="0" w:space="0" w:color="auto"/>
            <w:bottom w:val="none" w:sz="0" w:space="0" w:color="auto"/>
            <w:right w:val="none" w:sz="0" w:space="0" w:color="auto"/>
          </w:divBdr>
        </w:div>
        <w:div w:id="294483700">
          <w:marLeft w:val="1166"/>
          <w:marRight w:val="0"/>
          <w:marTop w:val="100"/>
          <w:marBottom w:val="0"/>
          <w:divBdr>
            <w:top w:val="none" w:sz="0" w:space="0" w:color="auto"/>
            <w:left w:val="none" w:sz="0" w:space="0" w:color="auto"/>
            <w:bottom w:val="none" w:sz="0" w:space="0" w:color="auto"/>
            <w:right w:val="none" w:sz="0" w:space="0" w:color="auto"/>
          </w:divBdr>
        </w:div>
        <w:div w:id="1919318300">
          <w:marLeft w:val="1166"/>
          <w:marRight w:val="0"/>
          <w:marTop w:val="100"/>
          <w:marBottom w:val="0"/>
          <w:divBdr>
            <w:top w:val="none" w:sz="0" w:space="0" w:color="auto"/>
            <w:left w:val="none" w:sz="0" w:space="0" w:color="auto"/>
            <w:bottom w:val="none" w:sz="0" w:space="0" w:color="auto"/>
            <w:right w:val="none" w:sz="0" w:space="0" w:color="auto"/>
          </w:divBdr>
        </w:div>
        <w:div w:id="558711633">
          <w:marLeft w:val="1166"/>
          <w:marRight w:val="0"/>
          <w:marTop w:val="100"/>
          <w:marBottom w:val="0"/>
          <w:divBdr>
            <w:top w:val="none" w:sz="0" w:space="0" w:color="auto"/>
            <w:left w:val="none" w:sz="0" w:space="0" w:color="auto"/>
            <w:bottom w:val="none" w:sz="0" w:space="0" w:color="auto"/>
            <w:right w:val="none" w:sz="0" w:space="0" w:color="auto"/>
          </w:divBdr>
        </w:div>
        <w:div w:id="1731030447">
          <w:marLeft w:val="1166"/>
          <w:marRight w:val="0"/>
          <w:marTop w:val="100"/>
          <w:marBottom w:val="0"/>
          <w:divBdr>
            <w:top w:val="none" w:sz="0" w:space="0" w:color="auto"/>
            <w:left w:val="none" w:sz="0" w:space="0" w:color="auto"/>
            <w:bottom w:val="none" w:sz="0" w:space="0" w:color="auto"/>
            <w:right w:val="none" w:sz="0" w:space="0" w:color="auto"/>
          </w:divBdr>
        </w:div>
      </w:divsChild>
    </w:div>
    <w:div w:id="257838849">
      <w:bodyDiv w:val="1"/>
      <w:marLeft w:val="0"/>
      <w:marRight w:val="0"/>
      <w:marTop w:val="0"/>
      <w:marBottom w:val="0"/>
      <w:divBdr>
        <w:top w:val="none" w:sz="0" w:space="0" w:color="auto"/>
        <w:left w:val="none" w:sz="0" w:space="0" w:color="auto"/>
        <w:bottom w:val="none" w:sz="0" w:space="0" w:color="auto"/>
        <w:right w:val="none" w:sz="0" w:space="0" w:color="auto"/>
      </w:divBdr>
    </w:div>
    <w:div w:id="283847951">
      <w:bodyDiv w:val="1"/>
      <w:marLeft w:val="0"/>
      <w:marRight w:val="0"/>
      <w:marTop w:val="0"/>
      <w:marBottom w:val="0"/>
      <w:divBdr>
        <w:top w:val="none" w:sz="0" w:space="0" w:color="auto"/>
        <w:left w:val="none" w:sz="0" w:space="0" w:color="auto"/>
        <w:bottom w:val="none" w:sz="0" w:space="0" w:color="auto"/>
        <w:right w:val="none" w:sz="0" w:space="0" w:color="auto"/>
      </w:divBdr>
    </w:div>
    <w:div w:id="512494453">
      <w:bodyDiv w:val="1"/>
      <w:marLeft w:val="0"/>
      <w:marRight w:val="0"/>
      <w:marTop w:val="0"/>
      <w:marBottom w:val="0"/>
      <w:divBdr>
        <w:top w:val="none" w:sz="0" w:space="0" w:color="auto"/>
        <w:left w:val="none" w:sz="0" w:space="0" w:color="auto"/>
        <w:bottom w:val="none" w:sz="0" w:space="0" w:color="auto"/>
        <w:right w:val="none" w:sz="0" w:space="0" w:color="auto"/>
      </w:divBdr>
      <w:divsChild>
        <w:div w:id="668823804">
          <w:marLeft w:val="1166"/>
          <w:marRight w:val="0"/>
          <w:marTop w:val="100"/>
          <w:marBottom w:val="0"/>
          <w:divBdr>
            <w:top w:val="none" w:sz="0" w:space="0" w:color="auto"/>
            <w:left w:val="none" w:sz="0" w:space="0" w:color="auto"/>
            <w:bottom w:val="none" w:sz="0" w:space="0" w:color="auto"/>
            <w:right w:val="none" w:sz="0" w:space="0" w:color="auto"/>
          </w:divBdr>
        </w:div>
        <w:div w:id="439567182">
          <w:marLeft w:val="1166"/>
          <w:marRight w:val="0"/>
          <w:marTop w:val="100"/>
          <w:marBottom w:val="0"/>
          <w:divBdr>
            <w:top w:val="none" w:sz="0" w:space="0" w:color="auto"/>
            <w:left w:val="none" w:sz="0" w:space="0" w:color="auto"/>
            <w:bottom w:val="none" w:sz="0" w:space="0" w:color="auto"/>
            <w:right w:val="none" w:sz="0" w:space="0" w:color="auto"/>
          </w:divBdr>
        </w:div>
        <w:div w:id="955677216">
          <w:marLeft w:val="1166"/>
          <w:marRight w:val="0"/>
          <w:marTop w:val="100"/>
          <w:marBottom w:val="0"/>
          <w:divBdr>
            <w:top w:val="none" w:sz="0" w:space="0" w:color="auto"/>
            <w:left w:val="none" w:sz="0" w:space="0" w:color="auto"/>
            <w:bottom w:val="none" w:sz="0" w:space="0" w:color="auto"/>
            <w:right w:val="none" w:sz="0" w:space="0" w:color="auto"/>
          </w:divBdr>
        </w:div>
        <w:div w:id="1065496630">
          <w:marLeft w:val="1166"/>
          <w:marRight w:val="0"/>
          <w:marTop w:val="100"/>
          <w:marBottom w:val="0"/>
          <w:divBdr>
            <w:top w:val="none" w:sz="0" w:space="0" w:color="auto"/>
            <w:left w:val="none" w:sz="0" w:space="0" w:color="auto"/>
            <w:bottom w:val="none" w:sz="0" w:space="0" w:color="auto"/>
            <w:right w:val="none" w:sz="0" w:space="0" w:color="auto"/>
          </w:divBdr>
        </w:div>
        <w:div w:id="744113079">
          <w:marLeft w:val="1166"/>
          <w:marRight w:val="0"/>
          <w:marTop w:val="100"/>
          <w:marBottom w:val="0"/>
          <w:divBdr>
            <w:top w:val="none" w:sz="0" w:space="0" w:color="auto"/>
            <w:left w:val="none" w:sz="0" w:space="0" w:color="auto"/>
            <w:bottom w:val="none" w:sz="0" w:space="0" w:color="auto"/>
            <w:right w:val="none" w:sz="0" w:space="0" w:color="auto"/>
          </w:divBdr>
        </w:div>
        <w:div w:id="113644583">
          <w:marLeft w:val="1166"/>
          <w:marRight w:val="0"/>
          <w:marTop w:val="100"/>
          <w:marBottom w:val="0"/>
          <w:divBdr>
            <w:top w:val="none" w:sz="0" w:space="0" w:color="auto"/>
            <w:left w:val="none" w:sz="0" w:space="0" w:color="auto"/>
            <w:bottom w:val="none" w:sz="0" w:space="0" w:color="auto"/>
            <w:right w:val="none" w:sz="0" w:space="0" w:color="auto"/>
          </w:divBdr>
        </w:div>
      </w:divsChild>
    </w:div>
    <w:div w:id="551188487">
      <w:bodyDiv w:val="1"/>
      <w:marLeft w:val="0"/>
      <w:marRight w:val="0"/>
      <w:marTop w:val="0"/>
      <w:marBottom w:val="0"/>
      <w:divBdr>
        <w:top w:val="none" w:sz="0" w:space="0" w:color="auto"/>
        <w:left w:val="none" w:sz="0" w:space="0" w:color="auto"/>
        <w:bottom w:val="none" w:sz="0" w:space="0" w:color="auto"/>
        <w:right w:val="none" w:sz="0" w:space="0" w:color="auto"/>
      </w:divBdr>
      <w:divsChild>
        <w:div w:id="1552182541">
          <w:marLeft w:val="1166"/>
          <w:marRight w:val="0"/>
          <w:marTop w:val="100"/>
          <w:marBottom w:val="0"/>
          <w:divBdr>
            <w:top w:val="none" w:sz="0" w:space="0" w:color="auto"/>
            <w:left w:val="none" w:sz="0" w:space="0" w:color="auto"/>
            <w:bottom w:val="none" w:sz="0" w:space="0" w:color="auto"/>
            <w:right w:val="none" w:sz="0" w:space="0" w:color="auto"/>
          </w:divBdr>
        </w:div>
        <w:div w:id="1574392201">
          <w:marLeft w:val="1166"/>
          <w:marRight w:val="0"/>
          <w:marTop w:val="100"/>
          <w:marBottom w:val="0"/>
          <w:divBdr>
            <w:top w:val="none" w:sz="0" w:space="0" w:color="auto"/>
            <w:left w:val="none" w:sz="0" w:space="0" w:color="auto"/>
            <w:bottom w:val="none" w:sz="0" w:space="0" w:color="auto"/>
            <w:right w:val="none" w:sz="0" w:space="0" w:color="auto"/>
          </w:divBdr>
        </w:div>
        <w:div w:id="650251287">
          <w:marLeft w:val="1166"/>
          <w:marRight w:val="0"/>
          <w:marTop w:val="100"/>
          <w:marBottom w:val="0"/>
          <w:divBdr>
            <w:top w:val="none" w:sz="0" w:space="0" w:color="auto"/>
            <w:left w:val="none" w:sz="0" w:space="0" w:color="auto"/>
            <w:bottom w:val="none" w:sz="0" w:space="0" w:color="auto"/>
            <w:right w:val="none" w:sz="0" w:space="0" w:color="auto"/>
          </w:divBdr>
        </w:div>
        <w:div w:id="1588462024">
          <w:marLeft w:val="1166"/>
          <w:marRight w:val="0"/>
          <w:marTop w:val="100"/>
          <w:marBottom w:val="0"/>
          <w:divBdr>
            <w:top w:val="none" w:sz="0" w:space="0" w:color="auto"/>
            <w:left w:val="none" w:sz="0" w:space="0" w:color="auto"/>
            <w:bottom w:val="none" w:sz="0" w:space="0" w:color="auto"/>
            <w:right w:val="none" w:sz="0" w:space="0" w:color="auto"/>
          </w:divBdr>
        </w:div>
        <w:div w:id="98571800">
          <w:marLeft w:val="1166"/>
          <w:marRight w:val="0"/>
          <w:marTop w:val="100"/>
          <w:marBottom w:val="0"/>
          <w:divBdr>
            <w:top w:val="none" w:sz="0" w:space="0" w:color="auto"/>
            <w:left w:val="none" w:sz="0" w:space="0" w:color="auto"/>
            <w:bottom w:val="none" w:sz="0" w:space="0" w:color="auto"/>
            <w:right w:val="none" w:sz="0" w:space="0" w:color="auto"/>
          </w:divBdr>
        </w:div>
      </w:divsChild>
    </w:div>
    <w:div w:id="575094966">
      <w:bodyDiv w:val="1"/>
      <w:marLeft w:val="0"/>
      <w:marRight w:val="0"/>
      <w:marTop w:val="0"/>
      <w:marBottom w:val="0"/>
      <w:divBdr>
        <w:top w:val="none" w:sz="0" w:space="0" w:color="auto"/>
        <w:left w:val="none" w:sz="0" w:space="0" w:color="auto"/>
        <w:bottom w:val="none" w:sz="0" w:space="0" w:color="auto"/>
        <w:right w:val="none" w:sz="0" w:space="0" w:color="auto"/>
      </w:divBdr>
      <w:divsChild>
        <w:div w:id="1469008495">
          <w:marLeft w:val="360"/>
          <w:marRight w:val="0"/>
          <w:marTop w:val="200"/>
          <w:marBottom w:val="0"/>
          <w:divBdr>
            <w:top w:val="none" w:sz="0" w:space="0" w:color="auto"/>
            <w:left w:val="none" w:sz="0" w:space="0" w:color="auto"/>
            <w:bottom w:val="none" w:sz="0" w:space="0" w:color="auto"/>
            <w:right w:val="none" w:sz="0" w:space="0" w:color="auto"/>
          </w:divBdr>
        </w:div>
      </w:divsChild>
    </w:div>
    <w:div w:id="681275297">
      <w:bodyDiv w:val="1"/>
      <w:marLeft w:val="0"/>
      <w:marRight w:val="0"/>
      <w:marTop w:val="0"/>
      <w:marBottom w:val="0"/>
      <w:divBdr>
        <w:top w:val="none" w:sz="0" w:space="0" w:color="auto"/>
        <w:left w:val="none" w:sz="0" w:space="0" w:color="auto"/>
        <w:bottom w:val="none" w:sz="0" w:space="0" w:color="auto"/>
        <w:right w:val="none" w:sz="0" w:space="0" w:color="auto"/>
      </w:divBdr>
      <w:divsChild>
        <w:div w:id="1824421768">
          <w:marLeft w:val="360"/>
          <w:marRight w:val="0"/>
          <w:marTop w:val="200"/>
          <w:marBottom w:val="0"/>
          <w:divBdr>
            <w:top w:val="none" w:sz="0" w:space="0" w:color="auto"/>
            <w:left w:val="none" w:sz="0" w:space="0" w:color="auto"/>
            <w:bottom w:val="none" w:sz="0" w:space="0" w:color="auto"/>
            <w:right w:val="none" w:sz="0" w:space="0" w:color="auto"/>
          </w:divBdr>
        </w:div>
        <w:div w:id="1120953369">
          <w:marLeft w:val="1166"/>
          <w:marRight w:val="0"/>
          <w:marTop w:val="100"/>
          <w:marBottom w:val="0"/>
          <w:divBdr>
            <w:top w:val="none" w:sz="0" w:space="0" w:color="auto"/>
            <w:left w:val="none" w:sz="0" w:space="0" w:color="auto"/>
            <w:bottom w:val="none" w:sz="0" w:space="0" w:color="auto"/>
            <w:right w:val="none" w:sz="0" w:space="0" w:color="auto"/>
          </w:divBdr>
        </w:div>
        <w:div w:id="510726883">
          <w:marLeft w:val="1800"/>
          <w:marRight w:val="0"/>
          <w:marTop w:val="100"/>
          <w:marBottom w:val="0"/>
          <w:divBdr>
            <w:top w:val="none" w:sz="0" w:space="0" w:color="auto"/>
            <w:left w:val="none" w:sz="0" w:space="0" w:color="auto"/>
            <w:bottom w:val="none" w:sz="0" w:space="0" w:color="auto"/>
            <w:right w:val="none" w:sz="0" w:space="0" w:color="auto"/>
          </w:divBdr>
        </w:div>
        <w:div w:id="1085346530">
          <w:marLeft w:val="1800"/>
          <w:marRight w:val="0"/>
          <w:marTop w:val="100"/>
          <w:marBottom w:val="0"/>
          <w:divBdr>
            <w:top w:val="none" w:sz="0" w:space="0" w:color="auto"/>
            <w:left w:val="none" w:sz="0" w:space="0" w:color="auto"/>
            <w:bottom w:val="none" w:sz="0" w:space="0" w:color="auto"/>
            <w:right w:val="none" w:sz="0" w:space="0" w:color="auto"/>
          </w:divBdr>
        </w:div>
        <w:div w:id="1213225353">
          <w:marLeft w:val="1800"/>
          <w:marRight w:val="0"/>
          <w:marTop w:val="100"/>
          <w:marBottom w:val="0"/>
          <w:divBdr>
            <w:top w:val="none" w:sz="0" w:space="0" w:color="auto"/>
            <w:left w:val="none" w:sz="0" w:space="0" w:color="auto"/>
            <w:bottom w:val="none" w:sz="0" w:space="0" w:color="auto"/>
            <w:right w:val="none" w:sz="0" w:space="0" w:color="auto"/>
          </w:divBdr>
        </w:div>
        <w:div w:id="2006279213">
          <w:marLeft w:val="360"/>
          <w:marRight w:val="0"/>
          <w:marTop w:val="200"/>
          <w:marBottom w:val="0"/>
          <w:divBdr>
            <w:top w:val="none" w:sz="0" w:space="0" w:color="auto"/>
            <w:left w:val="none" w:sz="0" w:space="0" w:color="auto"/>
            <w:bottom w:val="none" w:sz="0" w:space="0" w:color="auto"/>
            <w:right w:val="none" w:sz="0" w:space="0" w:color="auto"/>
          </w:divBdr>
        </w:div>
      </w:divsChild>
    </w:div>
    <w:div w:id="750464303">
      <w:bodyDiv w:val="1"/>
      <w:marLeft w:val="0"/>
      <w:marRight w:val="0"/>
      <w:marTop w:val="0"/>
      <w:marBottom w:val="0"/>
      <w:divBdr>
        <w:top w:val="none" w:sz="0" w:space="0" w:color="auto"/>
        <w:left w:val="none" w:sz="0" w:space="0" w:color="auto"/>
        <w:bottom w:val="none" w:sz="0" w:space="0" w:color="auto"/>
        <w:right w:val="none" w:sz="0" w:space="0" w:color="auto"/>
      </w:divBdr>
    </w:div>
    <w:div w:id="760495447">
      <w:bodyDiv w:val="1"/>
      <w:marLeft w:val="0"/>
      <w:marRight w:val="0"/>
      <w:marTop w:val="0"/>
      <w:marBottom w:val="0"/>
      <w:divBdr>
        <w:top w:val="none" w:sz="0" w:space="0" w:color="auto"/>
        <w:left w:val="none" w:sz="0" w:space="0" w:color="auto"/>
        <w:bottom w:val="none" w:sz="0" w:space="0" w:color="auto"/>
        <w:right w:val="none" w:sz="0" w:space="0" w:color="auto"/>
      </w:divBdr>
      <w:divsChild>
        <w:div w:id="325398006">
          <w:marLeft w:val="360"/>
          <w:marRight w:val="0"/>
          <w:marTop w:val="200"/>
          <w:marBottom w:val="0"/>
          <w:divBdr>
            <w:top w:val="none" w:sz="0" w:space="0" w:color="auto"/>
            <w:left w:val="none" w:sz="0" w:space="0" w:color="auto"/>
            <w:bottom w:val="none" w:sz="0" w:space="0" w:color="auto"/>
            <w:right w:val="none" w:sz="0" w:space="0" w:color="auto"/>
          </w:divBdr>
        </w:div>
        <w:div w:id="1107653642">
          <w:marLeft w:val="1166"/>
          <w:marRight w:val="0"/>
          <w:marTop w:val="100"/>
          <w:marBottom w:val="0"/>
          <w:divBdr>
            <w:top w:val="none" w:sz="0" w:space="0" w:color="auto"/>
            <w:left w:val="none" w:sz="0" w:space="0" w:color="auto"/>
            <w:bottom w:val="none" w:sz="0" w:space="0" w:color="auto"/>
            <w:right w:val="none" w:sz="0" w:space="0" w:color="auto"/>
          </w:divBdr>
        </w:div>
        <w:div w:id="1535073024">
          <w:marLeft w:val="1166"/>
          <w:marRight w:val="0"/>
          <w:marTop w:val="100"/>
          <w:marBottom w:val="0"/>
          <w:divBdr>
            <w:top w:val="none" w:sz="0" w:space="0" w:color="auto"/>
            <w:left w:val="none" w:sz="0" w:space="0" w:color="auto"/>
            <w:bottom w:val="none" w:sz="0" w:space="0" w:color="auto"/>
            <w:right w:val="none" w:sz="0" w:space="0" w:color="auto"/>
          </w:divBdr>
        </w:div>
        <w:div w:id="1566066892">
          <w:marLeft w:val="360"/>
          <w:marRight w:val="0"/>
          <w:marTop w:val="200"/>
          <w:marBottom w:val="0"/>
          <w:divBdr>
            <w:top w:val="none" w:sz="0" w:space="0" w:color="auto"/>
            <w:left w:val="none" w:sz="0" w:space="0" w:color="auto"/>
            <w:bottom w:val="none" w:sz="0" w:space="0" w:color="auto"/>
            <w:right w:val="none" w:sz="0" w:space="0" w:color="auto"/>
          </w:divBdr>
        </w:div>
        <w:div w:id="223218456">
          <w:marLeft w:val="1166"/>
          <w:marRight w:val="0"/>
          <w:marTop w:val="100"/>
          <w:marBottom w:val="0"/>
          <w:divBdr>
            <w:top w:val="none" w:sz="0" w:space="0" w:color="auto"/>
            <w:left w:val="none" w:sz="0" w:space="0" w:color="auto"/>
            <w:bottom w:val="none" w:sz="0" w:space="0" w:color="auto"/>
            <w:right w:val="none" w:sz="0" w:space="0" w:color="auto"/>
          </w:divBdr>
        </w:div>
      </w:divsChild>
    </w:div>
    <w:div w:id="1725714305">
      <w:bodyDiv w:val="1"/>
      <w:marLeft w:val="0"/>
      <w:marRight w:val="0"/>
      <w:marTop w:val="0"/>
      <w:marBottom w:val="0"/>
      <w:divBdr>
        <w:top w:val="none" w:sz="0" w:space="0" w:color="auto"/>
        <w:left w:val="none" w:sz="0" w:space="0" w:color="auto"/>
        <w:bottom w:val="none" w:sz="0" w:space="0" w:color="auto"/>
        <w:right w:val="none" w:sz="0" w:space="0" w:color="auto"/>
      </w:divBdr>
      <w:divsChild>
        <w:div w:id="2127311141">
          <w:marLeft w:val="1166"/>
          <w:marRight w:val="0"/>
          <w:marTop w:val="100"/>
          <w:marBottom w:val="0"/>
          <w:divBdr>
            <w:top w:val="none" w:sz="0" w:space="0" w:color="auto"/>
            <w:left w:val="none" w:sz="0" w:space="0" w:color="auto"/>
            <w:bottom w:val="none" w:sz="0" w:space="0" w:color="auto"/>
            <w:right w:val="none" w:sz="0" w:space="0" w:color="auto"/>
          </w:divBdr>
        </w:div>
      </w:divsChild>
    </w:div>
    <w:div w:id="1833834935">
      <w:bodyDiv w:val="1"/>
      <w:marLeft w:val="0"/>
      <w:marRight w:val="0"/>
      <w:marTop w:val="0"/>
      <w:marBottom w:val="0"/>
      <w:divBdr>
        <w:top w:val="none" w:sz="0" w:space="0" w:color="auto"/>
        <w:left w:val="none" w:sz="0" w:space="0" w:color="auto"/>
        <w:bottom w:val="none" w:sz="0" w:space="0" w:color="auto"/>
        <w:right w:val="none" w:sz="0" w:space="0" w:color="auto"/>
      </w:divBdr>
      <w:divsChild>
        <w:div w:id="1942955214">
          <w:marLeft w:val="1166"/>
          <w:marRight w:val="0"/>
          <w:marTop w:val="100"/>
          <w:marBottom w:val="0"/>
          <w:divBdr>
            <w:top w:val="none" w:sz="0" w:space="0" w:color="auto"/>
            <w:left w:val="none" w:sz="0" w:space="0" w:color="auto"/>
            <w:bottom w:val="none" w:sz="0" w:space="0" w:color="auto"/>
            <w:right w:val="none" w:sz="0" w:space="0" w:color="auto"/>
          </w:divBdr>
        </w:div>
        <w:div w:id="1104764704">
          <w:marLeft w:val="1166"/>
          <w:marRight w:val="0"/>
          <w:marTop w:val="100"/>
          <w:marBottom w:val="0"/>
          <w:divBdr>
            <w:top w:val="none" w:sz="0" w:space="0" w:color="auto"/>
            <w:left w:val="none" w:sz="0" w:space="0" w:color="auto"/>
            <w:bottom w:val="none" w:sz="0" w:space="0" w:color="auto"/>
            <w:right w:val="none" w:sz="0" w:space="0" w:color="auto"/>
          </w:divBdr>
        </w:div>
        <w:div w:id="223687634">
          <w:marLeft w:val="1166"/>
          <w:marRight w:val="0"/>
          <w:marTop w:val="100"/>
          <w:marBottom w:val="0"/>
          <w:divBdr>
            <w:top w:val="none" w:sz="0" w:space="0" w:color="auto"/>
            <w:left w:val="none" w:sz="0" w:space="0" w:color="auto"/>
            <w:bottom w:val="none" w:sz="0" w:space="0" w:color="auto"/>
            <w:right w:val="none" w:sz="0" w:space="0" w:color="auto"/>
          </w:divBdr>
        </w:div>
        <w:div w:id="45489669">
          <w:marLeft w:val="1166"/>
          <w:marRight w:val="0"/>
          <w:marTop w:val="100"/>
          <w:marBottom w:val="0"/>
          <w:divBdr>
            <w:top w:val="none" w:sz="0" w:space="0" w:color="auto"/>
            <w:left w:val="none" w:sz="0" w:space="0" w:color="auto"/>
            <w:bottom w:val="none" w:sz="0" w:space="0" w:color="auto"/>
            <w:right w:val="none" w:sz="0" w:space="0" w:color="auto"/>
          </w:divBdr>
        </w:div>
        <w:div w:id="1548032518">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ccte/cvte/advisory.html" TargetMode="External"/><Relationship Id="rId18" Type="http://schemas.openxmlformats.org/officeDocument/2006/relationships/hyperlink" Target="http://www.doe.mass.edu/ccte/cvte/liaisons.html" TargetMode="External"/><Relationship Id="rId26" Type="http://schemas.openxmlformats.org/officeDocument/2006/relationships/hyperlink" Target="http://www.doe.mass.edu/ccte/cvte/perkins-v/" TargetMode="External"/><Relationship Id="rId39" Type="http://schemas.openxmlformats.org/officeDocument/2006/relationships/hyperlink" Target="http://www.doe.mass.edu/ccte/cvte/data/" TargetMode="External"/><Relationship Id="rId3" Type="http://schemas.openxmlformats.org/officeDocument/2006/relationships/customXml" Target="../customXml/item3.xml"/><Relationship Id="rId21" Type="http://schemas.openxmlformats.org/officeDocument/2006/relationships/hyperlink" Target="http://www.doe.mass.edu/ccte/cvte/perkins-v/" TargetMode="External"/><Relationship Id="rId34" Type="http://schemas.openxmlformats.org/officeDocument/2006/relationships/hyperlink" Target="http://www.doe.mass.edu/ccte/cvte/data/" TargetMode="External"/><Relationship Id="rId42" Type="http://schemas.openxmlformats.org/officeDocument/2006/relationships/hyperlink" Target="http://www.doe.mass.edu/ccte/cvte/perkins-v/"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ccte/cvte/perkins-v/" TargetMode="External"/><Relationship Id="rId25" Type="http://schemas.openxmlformats.org/officeDocument/2006/relationships/hyperlink" Target="https://www.mass.gov/service-details/supply-and-demand-tool" TargetMode="External"/><Relationship Id="rId33" Type="http://schemas.openxmlformats.org/officeDocument/2006/relationships/hyperlink" Target="http://www.doe.mass.edu/ccte/cvte/frameworks/" TargetMode="External"/><Relationship Id="rId38" Type="http://schemas.openxmlformats.org/officeDocument/2006/relationships/hyperlink" Target="http://www.doe.mass.edu/ccte/cvte/data/"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te.careertech.org/sites/default/files/PerkinsV_September2018.pdf" TargetMode="External"/><Relationship Id="rId20" Type="http://schemas.openxmlformats.org/officeDocument/2006/relationships/hyperlink" Target="http://www.doe.mass.edu/ccte/cvte/data/" TargetMode="External"/><Relationship Id="rId29" Type="http://schemas.openxmlformats.org/officeDocument/2006/relationships/hyperlink" Target="https://www.mass.gov/service-details/supply-and-demand-tool" TargetMode="External"/><Relationship Id="rId41" Type="http://schemas.openxmlformats.org/officeDocument/2006/relationships/hyperlink" Target="https://www.acteonline.org/professional-development/high-quality-cte-tools/high-quality-cte-developm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massconnecting.org/pathwaymapping/" TargetMode="External"/><Relationship Id="rId32" Type="http://schemas.openxmlformats.org/officeDocument/2006/relationships/hyperlink" Target="https://www.masscc.org/articulation" TargetMode="External"/><Relationship Id="rId37" Type="http://schemas.openxmlformats.org/officeDocument/2006/relationships/hyperlink" Target="http://www.doe.mass.edu/lawsregs/603cmr4.html?section=all" TargetMode="External"/><Relationship Id="rId40" Type="http://schemas.openxmlformats.org/officeDocument/2006/relationships/hyperlink" Target="http://www.doe.mass.edu/ccte/cvte/resources/"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doe.mass.edu/ccte/cvte/perkins-v/" TargetMode="External"/><Relationship Id="rId23" Type="http://schemas.openxmlformats.org/officeDocument/2006/relationships/hyperlink" Target="https://www.mass.gov/service-details/view-your-regions-blueprint" TargetMode="External"/><Relationship Id="rId28" Type="http://schemas.openxmlformats.org/officeDocument/2006/relationships/hyperlink" Target="https://www.acteonline.org/professional-development/high-quality-cte-tools/high-quality-cte-development/" TargetMode="External"/><Relationship Id="rId36" Type="http://schemas.openxmlformats.org/officeDocument/2006/relationships/hyperlink" Target="https://www.acteonline.org/professional-development/high-quality-cte-tools/high-quality-cte-development/" TargetMode="External"/><Relationship Id="rId10" Type="http://schemas.openxmlformats.org/officeDocument/2006/relationships/footnotes" Target="footnotes.xml"/><Relationship Id="rId19" Type="http://schemas.openxmlformats.org/officeDocument/2006/relationships/hyperlink" Target="http://www.doe.mass.edu/ccte/cvte/data/" TargetMode="External"/><Relationship Id="rId31" Type="http://schemas.openxmlformats.org/officeDocument/2006/relationships/hyperlink" Target="https://www.acteonline.org/professional-development/high-quality-cte-tools/high-quality-cte-development/"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grants/grants.aspx?sortby=fundcode&amp;direction=asc" TargetMode="External"/><Relationship Id="rId22" Type="http://schemas.openxmlformats.org/officeDocument/2006/relationships/hyperlink" Target="http://www.doe.mass.edu/research/success/create-plan.html" TargetMode="External"/><Relationship Id="rId27" Type="http://schemas.openxmlformats.org/officeDocument/2006/relationships/hyperlink" Target="http://www.doe.mass.edu/ccte/cvte/resources/" TargetMode="External"/><Relationship Id="rId30" Type="http://schemas.openxmlformats.org/officeDocument/2006/relationships/hyperlink" Target="http://www.doe.mass.edu/ccte/cvte/resources/" TargetMode="External"/><Relationship Id="rId35" Type="http://schemas.openxmlformats.org/officeDocument/2006/relationships/hyperlink" Target="http://www.doe.mass.edu/ccte/cvte/resources/"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DESE-231-59759</_dlc_DocId>
    <_dlc_DocIdUrl xmlns="733efe1c-5bbe-4968-87dc-d400e65c879f">
      <Url>https://sharepoint.doemass.org/ese/webteam/cps/_layouts/DocIdRedir.aspx?ID=DESE-231-59759</Url>
      <Description>DESE-231-59759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78C37-EEEC-41CE-A941-FFD4600F36D3}">
  <ds:schemaRefs>
    <ds:schemaRef ds:uri="http://schemas.microsoft.com/sharepoint/events"/>
  </ds:schemaRefs>
</ds:datastoreItem>
</file>

<file path=customXml/itemProps2.xml><?xml version="1.0" encoding="utf-8"?>
<ds:datastoreItem xmlns:ds="http://schemas.openxmlformats.org/officeDocument/2006/customXml" ds:itemID="{FC43ADC5-01CA-4615-9EFF-00992C8475EF}">
  <ds:schemaRefs>
    <ds:schemaRef ds:uri="http://schemas.microsoft.com/sharepoint/v3/contenttype/forms"/>
  </ds:schemaRefs>
</ds:datastoreItem>
</file>

<file path=customXml/itemProps3.xml><?xml version="1.0" encoding="utf-8"?>
<ds:datastoreItem xmlns:ds="http://schemas.openxmlformats.org/officeDocument/2006/customXml" ds:itemID="{606EF5FE-3B94-46B3-A930-49AE6F8864E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521E41F9-663F-44B1-B072-478FBAD61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23E6F6-43AE-4685-841E-300DE6230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3891</Words>
  <Characters>22182</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Comprehensive Local Needs Assessment Guide</vt:lpstr>
    </vt:vector>
  </TitlesOfParts>
  <Company/>
  <LinksUpToDate>false</LinksUpToDate>
  <CharactersWithSpaces>26021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Local Needs Assessment Guide</dc:title>
  <dc:subject/>
  <dc:creator>DESE</dc:creator>
  <cp:keywords/>
  <dc:description/>
  <cp:lastModifiedBy>Zou, Dong (EOE)</cp:lastModifiedBy>
  <cp:revision>5</cp:revision>
  <cp:lastPrinted>2020-01-17T16:51:00Z</cp:lastPrinted>
  <dcterms:created xsi:type="dcterms:W3CDTF">2020-04-10T15:23:00Z</dcterms:created>
  <dcterms:modified xsi:type="dcterms:W3CDTF">2020-04-10T16:57:00Z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10 2020</vt:lpwstr>
  </property>
</Properties>
</file>