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8D5D7" w14:textId="77777777" w:rsidR="009B3B53" w:rsidRPr="00764092" w:rsidRDefault="00490183" w:rsidP="00764092">
      <w:pPr>
        <w:spacing w:line="240" w:lineRule="auto"/>
        <w:jc w:val="center"/>
        <w:rPr>
          <w:rFonts w:cstheme="minorHAnsi"/>
          <w:b/>
          <w:sz w:val="32"/>
        </w:rPr>
      </w:pPr>
      <w:r w:rsidRPr="00764092">
        <w:rPr>
          <w:rFonts w:cstheme="minorHAnsi"/>
          <w:b/>
          <w:sz w:val="32"/>
        </w:rPr>
        <w:t>Perkins</w:t>
      </w:r>
      <w:r w:rsidR="00764092">
        <w:rPr>
          <w:rFonts w:cstheme="minorHAnsi"/>
          <w:b/>
          <w:sz w:val="32"/>
        </w:rPr>
        <w:t xml:space="preserve"> Core</w:t>
      </w:r>
      <w:r w:rsidRPr="00764092">
        <w:rPr>
          <w:rFonts w:cstheme="minorHAnsi"/>
          <w:b/>
          <w:sz w:val="32"/>
        </w:rPr>
        <w:t xml:space="preserve"> Indicators</w:t>
      </w:r>
    </w:p>
    <w:p w14:paraId="22E09C88" w14:textId="77777777" w:rsidR="00764092" w:rsidRDefault="00764092" w:rsidP="00764092">
      <w:pPr>
        <w:spacing w:line="240" w:lineRule="auto"/>
        <w:rPr>
          <w:rFonts w:cstheme="minorHAnsi"/>
        </w:rPr>
      </w:pPr>
      <w:r w:rsidRPr="00581B9D">
        <w:t xml:space="preserve">The </w:t>
      </w:r>
      <w:r w:rsidRPr="002E37AB">
        <w:rPr>
          <w:b/>
        </w:rPr>
        <w:t xml:space="preserve">Strengthening Career and Technical Education for the 21st Century Act (Perkins V) </w:t>
      </w:r>
      <w:r w:rsidRPr="00581B9D">
        <w:t xml:space="preserve">looks to grantees to collect, report, and analyze student outcome data in order to inform </w:t>
      </w:r>
      <w:r w:rsidRPr="002E37AB">
        <w:t xml:space="preserve">program improvements to benefit students. </w:t>
      </w:r>
      <w:r w:rsidRPr="002E37AB">
        <w:rPr>
          <w:rFonts w:cstheme="minorHAnsi"/>
          <w:b/>
        </w:rPr>
        <w:t xml:space="preserve">With Perkins V </w:t>
      </w:r>
      <w:r w:rsidRPr="002E37AB">
        <w:rPr>
          <w:rFonts w:cstheme="minorHAnsi"/>
        </w:rPr>
        <w:t xml:space="preserve">there continues to be an opportunity to use </w:t>
      </w:r>
      <w:r>
        <w:rPr>
          <w:rFonts w:cstheme="minorHAnsi"/>
        </w:rPr>
        <w:t>performance outcomes to</w:t>
      </w:r>
      <w:r w:rsidRPr="002E37AB">
        <w:rPr>
          <w:rFonts w:cstheme="minorHAnsi"/>
        </w:rPr>
        <w:t xml:space="preserve"> promote </w:t>
      </w:r>
      <w:r w:rsidRPr="002E37AB">
        <w:t>access to high-quality career and technical education courses and programs of study for all students</w:t>
      </w:r>
      <w:r>
        <w:t>,</w:t>
      </w:r>
      <w:r w:rsidRPr="002E37AB">
        <w:rPr>
          <w:rFonts w:cstheme="minorHAnsi"/>
        </w:rPr>
        <w:t xml:space="preserve"> and to close gaps across all students and population groups</w:t>
      </w:r>
      <w:r>
        <w:rPr>
          <w:rFonts w:cstheme="minorHAnsi"/>
        </w:rPr>
        <w:t xml:space="preserve"> using the Core Indicators below</w:t>
      </w:r>
      <w:r w:rsidRPr="002E37AB">
        <w:rPr>
          <w:rFonts w:cstheme="minorHAnsi"/>
        </w:rPr>
        <w:t xml:space="preserve"> </w:t>
      </w:r>
    </w:p>
    <w:p w14:paraId="1DE1D7F6" w14:textId="77777777" w:rsidR="00764092" w:rsidRPr="00764092" w:rsidRDefault="00764092" w:rsidP="00764092">
      <w:pPr>
        <w:spacing w:line="240" w:lineRule="auto"/>
        <w:rPr>
          <w:rFonts w:cstheme="minorHAnsi"/>
          <w:b/>
        </w:rPr>
      </w:pPr>
    </w:p>
    <w:p w14:paraId="7C26C7F0" w14:textId="77777777" w:rsidR="00764092" w:rsidRPr="00764092" w:rsidRDefault="00764092" w:rsidP="00764092">
      <w:pPr>
        <w:spacing w:line="240" w:lineRule="auto"/>
        <w:rPr>
          <w:rFonts w:cstheme="minorHAnsi"/>
        </w:rPr>
      </w:pPr>
      <w:r w:rsidRPr="00764092">
        <w:rPr>
          <w:rFonts w:cstheme="minorHAnsi"/>
          <w:b/>
          <w:sz w:val="32"/>
        </w:rPr>
        <w:t>Secondary</w:t>
      </w:r>
    </w:p>
    <w:p w14:paraId="76D13EA4" w14:textId="77777777" w:rsidR="00490183" w:rsidRPr="00BD1162" w:rsidRDefault="00C017CB" w:rsidP="00BD1162">
      <w:pPr>
        <w:pStyle w:val="BodyText"/>
        <w:spacing w:after="160" w:line="240" w:lineRule="auto"/>
        <w:rPr>
          <w:rFonts w:cstheme="minorHAnsi"/>
          <w:color w:val="000000"/>
          <w:shd w:val="clear" w:color="auto" w:fill="FFFFFF"/>
        </w:rPr>
      </w:pPr>
      <w:bookmarkStart w:id="0" w:name="_GoBack"/>
      <w:bookmarkEnd w:id="0"/>
      <w:r>
        <w:rPr>
          <w:rFonts w:cstheme="minorHAnsi"/>
          <w:b/>
        </w:rPr>
        <w:t>1S1 Four Year Graduation Rate</w:t>
      </w:r>
      <w:r w:rsidR="00490183" w:rsidRPr="00BD1162">
        <w:rPr>
          <w:rFonts w:cstheme="minorHAnsi"/>
        </w:rPr>
        <w:t xml:space="preserve"> This metric </w:t>
      </w:r>
      <w:r w:rsidR="00490183" w:rsidRPr="00BD1162">
        <w:rPr>
          <w:rFonts w:cstheme="minorHAnsi"/>
          <w:color w:val="000000"/>
          <w:shd w:val="clear" w:color="auto" w:fill="FFFFFF"/>
        </w:rPr>
        <w:t>tracks a cohort of CTE concentrators from 9</w:t>
      </w:r>
      <w:r w:rsidR="00490183" w:rsidRPr="00BD1162">
        <w:rPr>
          <w:rFonts w:cstheme="minorHAnsi"/>
          <w:color w:val="000000"/>
          <w:shd w:val="clear" w:color="auto" w:fill="FFFFFF"/>
          <w:vertAlign w:val="superscript"/>
        </w:rPr>
        <w:t>th</w:t>
      </w:r>
      <w:r w:rsidR="00490183" w:rsidRPr="00BD1162">
        <w:rPr>
          <w:rFonts w:cstheme="minorHAnsi"/>
          <w:color w:val="000000"/>
          <w:shd w:val="clear" w:color="auto" w:fill="FFFFFF"/>
        </w:rPr>
        <w:t> grade through high school and then divides the number of students who graduate within four years by the total number in the cohort. In other words</w:t>
      </w:r>
      <w:r>
        <w:rPr>
          <w:rFonts w:cstheme="minorHAnsi"/>
          <w:color w:val="000000"/>
          <w:shd w:val="clear" w:color="auto" w:fill="FFFFFF"/>
        </w:rPr>
        <w:t>,</w:t>
      </w:r>
      <w:r w:rsidR="00490183" w:rsidRPr="00BD1162">
        <w:rPr>
          <w:rFonts w:cstheme="minorHAnsi"/>
          <w:color w:val="000000"/>
          <w:shd w:val="clear" w:color="auto" w:fill="FFFFFF"/>
        </w:rPr>
        <w:t xml:space="preserve"> the rate provides the percentage of the cohort that graduates in 4 years or less. </w:t>
      </w:r>
    </w:p>
    <w:p w14:paraId="545D0E8A" w14:textId="77777777" w:rsidR="00490183" w:rsidRPr="00BD1162" w:rsidRDefault="00170925" w:rsidP="00BD1162">
      <w:pPr>
        <w:pStyle w:val="BodyText"/>
        <w:spacing w:after="160" w:line="240" w:lineRule="auto"/>
        <w:rPr>
          <w:rFonts w:cstheme="minorHAnsi"/>
        </w:rPr>
      </w:pPr>
      <w:r>
        <w:rPr>
          <w:rFonts w:cstheme="minorHAnsi"/>
          <w:b/>
        </w:rPr>
        <w:t xml:space="preserve">2S1 Academic Attainment </w:t>
      </w:r>
      <w:r w:rsidR="004A43E6" w:rsidRPr="00BD1162">
        <w:rPr>
          <w:rFonts w:cstheme="minorHAnsi"/>
          <w:b/>
        </w:rPr>
        <w:t xml:space="preserve">in </w:t>
      </w:r>
      <w:r>
        <w:rPr>
          <w:rFonts w:cstheme="minorHAnsi"/>
          <w:b/>
        </w:rPr>
        <w:t>ELA</w:t>
      </w:r>
      <w:r>
        <w:rPr>
          <w:rStyle w:val="FootnoteReference"/>
          <w:rFonts w:cstheme="minorHAnsi"/>
          <w:b/>
        </w:rPr>
        <w:footnoteReference w:id="1"/>
      </w:r>
      <w:r>
        <w:rPr>
          <w:rFonts w:cstheme="minorHAnsi"/>
        </w:rPr>
        <w:t xml:space="preserve"> </w:t>
      </w:r>
      <w:r w:rsidR="00816A9F" w:rsidRPr="00BD1162">
        <w:rPr>
          <w:rFonts w:cstheme="minorHAnsi"/>
        </w:rPr>
        <w:t>S</w:t>
      </w:r>
      <w:r w:rsidR="00816A9F" w:rsidRPr="00BD1162">
        <w:rPr>
          <w:rFonts w:eastAsia="Times New Roman" w:cstheme="minorHAnsi"/>
        </w:rPr>
        <w:t>tudent attainment of challenging academic content standards and student academic achievement standards as defined by the</w:t>
      </w:r>
      <w:r w:rsidR="00DE53EA">
        <w:rPr>
          <w:rFonts w:eastAsia="Times New Roman" w:cstheme="minorHAnsi"/>
        </w:rPr>
        <w:t xml:space="preserve"> number and</w:t>
      </w:r>
      <w:r w:rsidR="00816A9F" w:rsidRPr="00BD1162">
        <w:rPr>
          <w:rFonts w:eastAsia="Times New Roman" w:cstheme="minorHAnsi"/>
        </w:rPr>
        <w:t xml:space="preserve"> p</w:t>
      </w:r>
      <w:r w:rsidR="00490183" w:rsidRPr="00BD1162">
        <w:rPr>
          <w:rFonts w:cstheme="minorHAnsi"/>
        </w:rPr>
        <w:t xml:space="preserve">ercentage of CTE concentrators scoring at the </w:t>
      </w:r>
      <w:r>
        <w:rPr>
          <w:rFonts w:cstheme="minorHAnsi"/>
        </w:rPr>
        <w:t xml:space="preserve">Meeting/Exceeding Expectations </w:t>
      </w:r>
      <w:r w:rsidR="00490183" w:rsidRPr="00BD1162">
        <w:rPr>
          <w:rFonts w:cstheme="minorHAnsi"/>
        </w:rPr>
        <w:t>level</w:t>
      </w:r>
      <w:r>
        <w:rPr>
          <w:rFonts w:cstheme="minorHAnsi"/>
        </w:rPr>
        <w:t>s</w:t>
      </w:r>
      <w:r w:rsidR="00490183" w:rsidRPr="00BD1162">
        <w:rPr>
          <w:rFonts w:cstheme="minorHAnsi"/>
        </w:rPr>
        <w:t xml:space="preserve"> (</w:t>
      </w:r>
      <w:r>
        <w:rPr>
          <w:rFonts w:cstheme="minorHAnsi"/>
        </w:rPr>
        <w:t>Next G</w:t>
      </w:r>
      <w:r w:rsidR="00490183" w:rsidRPr="00BD1162">
        <w:rPr>
          <w:rFonts w:cstheme="minorHAnsi"/>
        </w:rPr>
        <w:t>eneration MCAS</w:t>
      </w:r>
      <w:r w:rsidR="005B3CC5">
        <w:rPr>
          <w:rFonts w:cstheme="minorHAnsi"/>
        </w:rPr>
        <w:t>*</w:t>
      </w:r>
      <w:r w:rsidR="00490183" w:rsidRPr="00BD1162">
        <w:rPr>
          <w:rFonts w:cstheme="minorHAnsi"/>
        </w:rPr>
        <w:t>) on the 10</w:t>
      </w:r>
      <w:r w:rsidR="00490183" w:rsidRPr="00BD1162">
        <w:rPr>
          <w:rFonts w:cstheme="minorHAnsi"/>
          <w:vertAlign w:val="superscript"/>
        </w:rPr>
        <w:t>th</w:t>
      </w:r>
      <w:r w:rsidR="00490183" w:rsidRPr="00BD1162">
        <w:rPr>
          <w:rFonts w:cstheme="minorHAnsi"/>
        </w:rPr>
        <w:t xml:space="preserve"> grade administration of the English language arts Massachusetts Comprehensive Assessment System.</w:t>
      </w:r>
    </w:p>
    <w:p w14:paraId="1103B2CE" w14:textId="77777777" w:rsidR="00490183" w:rsidRPr="00BD1162" w:rsidRDefault="00490183" w:rsidP="00BD1162">
      <w:pPr>
        <w:spacing w:line="240" w:lineRule="auto"/>
        <w:rPr>
          <w:rFonts w:cstheme="minorHAnsi"/>
        </w:rPr>
      </w:pPr>
      <w:r w:rsidRPr="00BD1162">
        <w:rPr>
          <w:rFonts w:cstheme="minorHAnsi"/>
          <w:b/>
        </w:rPr>
        <w:t xml:space="preserve">2S2 </w:t>
      </w:r>
      <w:r w:rsidR="00170925">
        <w:rPr>
          <w:rFonts w:cstheme="minorHAnsi"/>
          <w:b/>
        </w:rPr>
        <w:t xml:space="preserve">Academic Attainment </w:t>
      </w:r>
      <w:r w:rsidR="004A43E6" w:rsidRPr="00BD1162">
        <w:rPr>
          <w:rFonts w:cstheme="minorHAnsi"/>
          <w:b/>
        </w:rPr>
        <w:t xml:space="preserve">in </w:t>
      </w:r>
      <w:r w:rsidRPr="00BD1162">
        <w:rPr>
          <w:rFonts w:cstheme="minorHAnsi"/>
          <w:b/>
        </w:rPr>
        <w:t>Math</w:t>
      </w:r>
      <w:r w:rsidR="004A43E6" w:rsidRPr="00BD1162">
        <w:rPr>
          <w:rFonts w:cstheme="minorHAnsi"/>
          <w:b/>
        </w:rPr>
        <w:t>ematics</w:t>
      </w:r>
      <w:r w:rsidRPr="00BD1162">
        <w:rPr>
          <w:rFonts w:cstheme="minorHAnsi"/>
        </w:rPr>
        <w:t xml:space="preserve"> </w:t>
      </w:r>
      <w:r w:rsidR="00816A9F" w:rsidRPr="00BD1162">
        <w:rPr>
          <w:rFonts w:cstheme="minorHAnsi"/>
        </w:rPr>
        <w:t>S</w:t>
      </w:r>
      <w:r w:rsidR="00816A9F" w:rsidRPr="00BD1162">
        <w:rPr>
          <w:rFonts w:eastAsia="Times New Roman" w:cstheme="minorHAnsi"/>
        </w:rPr>
        <w:t xml:space="preserve">tudent attainment of challenging academic content standards and student academic achievement standards as defined by the </w:t>
      </w:r>
      <w:r w:rsidR="00DE53EA">
        <w:rPr>
          <w:rFonts w:eastAsia="Times New Roman" w:cstheme="minorHAnsi"/>
        </w:rPr>
        <w:t xml:space="preserve">number and </w:t>
      </w:r>
      <w:r w:rsidR="00816A9F" w:rsidRPr="00BD1162">
        <w:rPr>
          <w:rFonts w:eastAsia="Times New Roman" w:cstheme="minorHAnsi"/>
        </w:rPr>
        <w:t>p</w:t>
      </w:r>
      <w:r w:rsidR="00816A9F" w:rsidRPr="00BD1162">
        <w:rPr>
          <w:rFonts w:cstheme="minorHAnsi"/>
        </w:rPr>
        <w:t>ercentage</w:t>
      </w:r>
      <w:r w:rsidRPr="00BD1162">
        <w:rPr>
          <w:rFonts w:cstheme="minorHAnsi"/>
        </w:rPr>
        <w:t xml:space="preserve"> of CTE concentrators scoring at the </w:t>
      </w:r>
      <w:r w:rsidR="00170925">
        <w:rPr>
          <w:rFonts w:cstheme="minorHAnsi"/>
        </w:rPr>
        <w:t xml:space="preserve">Meeting/Exceeding expectations </w:t>
      </w:r>
      <w:r w:rsidR="00170925" w:rsidRPr="00BD1162">
        <w:rPr>
          <w:rFonts w:cstheme="minorHAnsi"/>
        </w:rPr>
        <w:t>level</w:t>
      </w:r>
      <w:r w:rsidR="00170925">
        <w:rPr>
          <w:rFonts w:cstheme="minorHAnsi"/>
        </w:rPr>
        <w:t>s</w:t>
      </w:r>
      <w:r w:rsidR="00170925" w:rsidRPr="00BD1162">
        <w:rPr>
          <w:rFonts w:cstheme="minorHAnsi"/>
        </w:rPr>
        <w:t xml:space="preserve"> (</w:t>
      </w:r>
      <w:r w:rsidR="00170925">
        <w:rPr>
          <w:rFonts w:cstheme="minorHAnsi"/>
        </w:rPr>
        <w:t>Next G</w:t>
      </w:r>
      <w:r w:rsidR="00170925" w:rsidRPr="00BD1162">
        <w:rPr>
          <w:rFonts w:cstheme="minorHAnsi"/>
        </w:rPr>
        <w:t>eneration MCAS</w:t>
      </w:r>
      <w:r w:rsidR="005B3CC5">
        <w:rPr>
          <w:rFonts w:cstheme="minorHAnsi"/>
        </w:rPr>
        <w:t>*</w:t>
      </w:r>
      <w:r w:rsidR="00170925" w:rsidRPr="00BD1162">
        <w:rPr>
          <w:rFonts w:cstheme="minorHAnsi"/>
        </w:rPr>
        <w:t xml:space="preserve">) </w:t>
      </w:r>
      <w:r w:rsidRPr="00BD1162">
        <w:rPr>
          <w:rFonts w:cstheme="minorHAnsi"/>
        </w:rPr>
        <w:t>on the 10</w:t>
      </w:r>
      <w:r w:rsidRPr="00BD1162">
        <w:rPr>
          <w:rFonts w:cstheme="minorHAnsi"/>
          <w:vertAlign w:val="superscript"/>
        </w:rPr>
        <w:t>th</w:t>
      </w:r>
      <w:r w:rsidRPr="00BD1162">
        <w:rPr>
          <w:rFonts w:cstheme="minorHAnsi"/>
        </w:rPr>
        <w:t xml:space="preserve"> grade administration of the mathematics Massachusetts Comprehensive Assessment System.</w:t>
      </w:r>
    </w:p>
    <w:p w14:paraId="55EF472D" w14:textId="77777777" w:rsidR="00490183" w:rsidRPr="00472652" w:rsidRDefault="00490183" w:rsidP="00BD1162">
      <w:pPr>
        <w:spacing w:line="240" w:lineRule="auto"/>
        <w:rPr>
          <w:rFonts w:cstheme="minorHAnsi"/>
        </w:rPr>
      </w:pPr>
      <w:r w:rsidRPr="00BD1162">
        <w:rPr>
          <w:rFonts w:cstheme="minorHAnsi"/>
          <w:b/>
        </w:rPr>
        <w:t xml:space="preserve">2S3 </w:t>
      </w:r>
      <w:r w:rsidR="00170925">
        <w:rPr>
          <w:rFonts w:cstheme="minorHAnsi"/>
          <w:b/>
        </w:rPr>
        <w:t xml:space="preserve">Academic Attainment </w:t>
      </w:r>
      <w:r w:rsidR="004A43E6" w:rsidRPr="00BD1162">
        <w:rPr>
          <w:rFonts w:cstheme="minorHAnsi"/>
          <w:b/>
        </w:rPr>
        <w:t xml:space="preserve">in </w:t>
      </w:r>
      <w:r w:rsidR="00170925">
        <w:rPr>
          <w:rFonts w:cstheme="minorHAnsi"/>
          <w:b/>
        </w:rPr>
        <w:t>Science</w:t>
      </w:r>
      <w:r w:rsidRPr="00BD1162">
        <w:rPr>
          <w:rFonts w:cstheme="minorHAnsi"/>
        </w:rPr>
        <w:t xml:space="preserve"> </w:t>
      </w:r>
      <w:r w:rsidR="00816A9F" w:rsidRPr="00BD1162">
        <w:rPr>
          <w:rFonts w:cstheme="minorHAnsi"/>
        </w:rPr>
        <w:t>S</w:t>
      </w:r>
      <w:r w:rsidR="00816A9F" w:rsidRPr="00BD1162">
        <w:rPr>
          <w:rFonts w:eastAsia="Times New Roman" w:cstheme="minorHAnsi"/>
        </w:rPr>
        <w:t xml:space="preserve">tudent attainment of challenging academic content standards and student academic achievement standards as defined by the </w:t>
      </w:r>
      <w:r w:rsidR="00DE53EA">
        <w:rPr>
          <w:rFonts w:eastAsia="Times New Roman" w:cstheme="minorHAnsi"/>
        </w:rPr>
        <w:t xml:space="preserve">number and </w:t>
      </w:r>
      <w:r w:rsidR="00816A9F" w:rsidRPr="00BD1162">
        <w:rPr>
          <w:rFonts w:eastAsia="Times New Roman" w:cstheme="minorHAnsi"/>
        </w:rPr>
        <w:t>p</w:t>
      </w:r>
      <w:r w:rsidR="00816A9F" w:rsidRPr="00BD1162">
        <w:rPr>
          <w:rFonts w:cstheme="minorHAnsi"/>
        </w:rPr>
        <w:t>ercentage</w:t>
      </w:r>
      <w:r w:rsidRPr="00BD1162">
        <w:rPr>
          <w:rFonts w:cstheme="minorHAnsi"/>
        </w:rPr>
        <w:t xml:space="preserve"> of CTE concentrators scoring at the </w:t>
      </w:r>
      <w:r w:rsidR="00170925">
        <w:rPr>
          <w:rFonts w:cstheme="minorHAnsi"/>
        </w:rPr>
        <w:t>P</w:t>
      </w:r>
      <w:r w:rsidRPr="00BD1162">
        <w:rPr>
          <w:rFonts w:cstheme="minorHAnsi"/>
        </w:rPr>
        <w:t>roficient</w:t>
      </w:r>
      <w:r w:rsidR="00170925">
        <w:rPr>
          <w:rFonts w:cstheme="minorHAnsi"/>
        </w:rPr>
        <w:t>/Advanced</w:t>
      </w:r>
      <w:r w:rsidRPr="00BD1162">
        <w:rPr>
          <w:rFonts w:cstheme="minorHAnsi"/>
        </w:rPr>
        <w:t xml:space="preserve"> level (</w:t>
      </w:r>
      <w:r w:rsidR="00170925">
        <w:rPr>
          <w:rFonts w:cstheme="minorHAnsi"/>
        </w:rPr>
        <w:t xml:space="preserve">legacy MCAS) </w:t>
      </w:r>
      <w:r w:rsidRPr="00BD1162">
        <w:rPr>
          <w:rFonts w:cstheme="minorHAnsi"/>
        </w:rPr>
        <w:t xml:space="preserve">or </w:t>
      </w:r>
      <w:r w:rsidR="00170925">
        <w:rPr>
          <w:rFonts w:cstheme="minorHAnsi"/>
        </w:rPr>
        <w:t xml:space="preserve">Meeting/Exceeding expectations </w:t>
      </w:r>
      <w:r w:rsidR="00170925" w:rsidRPr="00BD1162">
        <w:rPr>
          <w:rFonts w:cstheme="minorHAnsi"/>
        </w:rPr>
        <w:t>level</w:t>
      </w:r>
      <w:r w:rsidR="00170925">
        <w:rPr>
          <w:rFonts w:cstheme="minorHAnsi"/>
        </w:rPr>
        <w:t>s</w:t>
      </w:r>
      <w:r w:rsidR="00170925" w:rsidRPr="00BD1162">
        <w:rPr>
          <w:rFonts w:cstheme="minorHAnsi"/>
        </w:rPr>
        <w:t xml:space="preserve"> (</w:t>
      </w:r>
      <w:r w:rsidR="00170925">
        <w:rPr>
          <w:rFonts w:cstheme="minorHAnsi"/>
        </w:rPr>
        <w:t>Next G</w:t>
      </w:r>
      <w:r w:rsidR="00170925" w:rsidRPr="00BD1162">
        <w:rPr>
          <w:rFonts w:cstheme="minorHAnsi"/>
        </w:rPr>
        <w:t>eneration MCAS</w:t>
      </w:r>
      <w:r w:rsidR="005B3CC5">
        <w:rPr>
          <w:rFonts w:cstheme="minorHAnsi"/>
        </w:rPr>
        <w:t>*</w:t>
      </w:r>
      <w:r w:rsidR="00170925" w:rsidRPr="00BD1162">
        <w:rPr>
          <w:rFonts w:cstheme="minorHAnsi"/>
        </w:rPr>
        <w:t xml:space="preserve">) </w:t>
      </w:r>
      <w:r w:rsidRPr="00BD1162">
        <w:rPr>
          <w:rFonts w:cstheme="minorHAnsi"/>
        </w:rPr>
        <w:t xml:space="preserve">on one of the high school science tests in the Massachusetts Comprehensive Assessment System.  The science test </w:t>
      </w:r>
      <w:r w:rsidR="004A43E6" w:rsidRPr="00BD1162">
        <w:rPr>
          <w:rFonts w:cstheme="minorHAnsi"/>
        </w:rPr>
        <w:t>has</w:t>
      </w:r>
      <w:r w:rsidRPr="00BD1162">
        <w:rPr>
          <w:rFonts w:cstheme="minorHAnsi"/>
        </w:rPr>
        <w:t xml:space="preserve"> the option </w:t>
      </w:r>
      <w:r w:rsidR="00900C3B" w:rsidRPr="00BD1162">
        <w:rPr>
          <w:rFonts w:cstheme="minorHAnsi"/>
        </w:rPr>
        <w:t>of the</w:t>
      </w:r>
      <w:r w:rsidR="004A43E6" w:rsidRPr="00BD1162">
        <w:rPr>
          <w:rFonts w:cstheme="minorHAnsi"/>
        </w:rPr>
        <w:t xml:space="preserve"> </w:t>
      </w:r>
      <w:r w:rsidRPr="00BD1162">
        <w:rPr>
          <w:rFonts w:cstheme="minorHAnsi"/>
        </w:rPr>
        <w:t xml:space="preserve">biology, chemistry, physics or </w:t>
      </w:r>
      <w:r w:rsidRPr="00472652">
        <w:rPr>
          <w:rFonts w:cstheme="minorHAnsi"/>
        </w:rPr>
        <w:t>technology engineering</w:t>
      </w:r>
      <w:r w:rsidR="004A43E6" w:rsidRPr="00472652">
        <w:rPr>
          <w:rFonts w:cstheme="minorHAnsi"/>
        </w:rPr>
        <w:t xml:space="preserve"> subject areas</w:t>
      </w:r>
      <w:r w:rsidRPr="00472652">
        <w:rPr>
          <w:rFonts w:cstheme="minorHAnsi"/>
        </w:rPr>
        <w:t>.</w:t>
      </w:r>
    </w:p>
    <w:p w14:paraId="578A67FB" w14:textId="77777777" w:rsidR="00490183" w:rsidRPr="00BD1162" w:rsidRDefault="00170925" w:rsidP="00BD1162">
      <w:pPr>
        <w:spacing w:line="240" w:lineRule="auto"/>
        <w:rPr>
          <w:rFonts w:cstheme="minorHAnsi"/>
        </w:rPr>
      </w:pPr>
      <w:r w:rsidRPr="00472652">
        <w:rPr>
          <w:rFonts w:cstheme="minorHAnsi"/>
          <w:b/>
        </w:rPr>
        <w:t>3S1 Posts</w:t>
      </w:r>
      <w:r w:rsidR="002462E8" w:rsidRPr="00472652">
        <w:rPr>
          <w:rFonts w:cstheme="minorHAnsi"/>
          <w:b/>
        </w:rPr>
        <w:t>econdary</w:t>
      </w:r>
      <w:r w:rsidR="00490183" w:rsidRPr="00472652">
        <w:rPr>
          <w:rFonts w:cstheme="minorHAnsi"/>
          <w:b/>
        </w:rPr>
        <w:t xml:space="preserve"> Placement</w:t>
      </w:r>
      <w:r w:rsidR="00490183" w:rsidRPr="00472652">
        <w:rPr>
          <w:rFonts w:cstheme="minorHAnsi"/>
        </w:rPr>
        <w:t xml:space="preserve"> </w:t>
      </w:r>
      <w:r w:rsidR="00DE53EA" w:rsidRPr="00472652">
        <w:rPr>
          <w:rFonts w:cstheme="minorHAnsi"/>
        </w:rPr>
        <w:t>Number and p</w:t>
      </w:r>
      <w:r w:rsidRPr="00472652">
        <w:rPr>
          <w:rFonts w:cstheme="minorHAnsi"/>
        </w:rPr>
        <w:t>ercentage</w:t>
      </w:r>
      <w:r w:rsidR="00A5185A" w:rsidRPr="00472652">
        <w:rPr>
          <w:rFonts w:cstheme="minorHAnsi"/>
        </w:rPr>
        <w:t xml:space="preserve"> </w:t>
      </w:r>
      <w:r w:rsidR="00816A9F" w:rsidRPr="00472652">
        <w:rPr>
          <w:rFonts w:cstheme="minorHAnsi"/>
        </w:rPr>
        <w:t xml:space="preserve">of CTE concentrators </w:t>
      </w:r>
      <w:r w:rsidR="00A3690C" w:rsidRPr="00472652">
        <w:rPr>
          <w:rFonts w:cstheme="minorHAnsi"/>
        </w:rPr>
        <w:t>who, in the second quarter after exiting from secondary education, are in</w:t>
      </w:r>
      <w:r w:rsidR="00A5185A" w:rsidRPr="00472652">
        <w:rPr>
          <w:rFonts w:cstheme="minorHAnsi"/>
        </w:rPr>
        <w:t xml:space="preserve"> </w:t>
      </w:r>
      <w:r w:rsidR="00A3690C" w:rsidRPr="00472652">
        <w:rPr>
          <w:rFonts w:cstheme="minorHAnsi"/>
        </w:rPr>
        <w:t>postsecondary e</w:t>
      </w:r>
      <w:r w:rsidR="00472652" w:rsidRPr="00472652">
        <w:rPr>
          <w:rFonts w:cstheme="minorHAnsi"/>
        </w:rPr>
        <w:t>ducation or advanced training (i</w:t>
      </w:r>
      <w:r w:rsidR="00A3690C" w:rsidRPr="00472652">
        <w:rPr>
          <w:rFonts w:cstheme="minorHAnsi"/>
        </w:rPr>
        <w:t>ncluding apprenticeship programs)</w:t>
      </w:r>
      <w:r w:rsidR="00816A9F" w:rsidRPr="00472652">
        <w:rPr>
          <w:rFonts w:cstheme="minorHAnsi"/>
        </w:rPr>
        <w:t xml:space="preserve">, </w:t>
      </w:r>
      <w:r w:rsidR="00A5185A" w:rsidRPr="00472652">
        <w:rPr>
          <w:rFonts w:cstheme="minorHAnsi"/>
        </w:rPr>
        <w:t>military service</w:t>
      </w:r>
      <w:r w:rsidR="00A3690C" w:rsidRPr="00472652">
        <w:rPr>
          <w:rFonts w:cstheme="minorHAnsi"/>
        </w:rPr>
        <w:t>,</w:t>
      </w:r>
      <w:r w:rsidR="00A5185A" w:rsidRPr="00472652">
        <w:rPr>
          <w:rFonts w:cstheme="minorHAnsi"/>
        </w:rPr>
        <w:t xml:space="preserve"> </w:t>
      </w:r>
      <w:r w:rsidR="00A3690C" w:rsidRPr="00472652">
        <w:rPr>
          <w:rFonts w:cstheme="minorHAnsi"/>
        </w:rPr>
        <w:t>or service program</w:t>
      </w:r>
      <w:r w:rsidR="00A3690C" w:rsidRPr="00472652">
        <w:rPr>
          <w:rStyle w:val="FootnoteReference"/>
          <w:rFonts w:cstheme="minorHAnsi"/>
        </w:rPr>
        <w:footnoteReference w:id="2"/>
      </w:r>
      <w:r w:rsidR="00A3690C" w:rsidRPr="00472652">
        <w:rPr>
          <w:rFonts w:cstheme="minorHAnsi"/>
        </w:rPr>
        <w:t>, or employed, including</w:t>
      </w:r>
      <w:r w:rsidR="00A5185A" w:rsidRPr="00472652">
        <w:rPr>
          <w:rFonts w:cstheme="minorHAnsi"/>
        </w:rPr>
        <w:t xml:space="preserve"> in high skill, high wage, or </w:t>
      </w:r>
      <w:r w:rsidR="00A3690C" w:rsidRPr="00472652">
        <w:rPr>
          <w:rFonts w:cstheme="minorHAnsi"/>
        </w:rPr>
        <w:t>in-demand sectors or occupations.</w:t>
      </w:r>
    </w:p>
    <w:p w14:paraId="73C3F1D4" w14:textId="77777777" w:rsidR="00490183" w:rsidRPr="00BD1162" w:rsidRDefault="00170925" w:rsidP="00BD1162">
      <w:pPr>
        <w:spacing w:line="240" w:lineRule="auto"/>
        <w:rPr>
          <w:rFonts w:cstheme="minorHAnsi"/>
        </w:rPr>
      </w:pPr>
      <w:r>
        <w:rPr>
          <w:rFonts w:cstheme="minorHAnsi"/>
          <w:b/>
        </w:rPr>
        <w:t xml:space="preserve">4S1 </w:t>
      </w:r>
      <w:r w:rsidR="005B3CC5">
        <w:rPr>
          <w:rFonts w:cstheme="minorHAnsi"/>
          <w:b/>
        </w:rPr>
        <w:t>Nontraditional Program E</w:t>
      </w:r>
      <w:r w:rsidR="00490183" w:rsidRPr="00BD1162">
        <w:rPr>
          <w:rFonts w:cstheme="minorHAnsi"/>
          <w:b/>
        </w:rPr>
        <w:t>nrollment</w:t>
      </w:r>
      <w:r w:rsidR="00490183" w:rsidRPr="00BD1162">
        <w:rPr>
          <w:rFonts w:cstheme="minorHAnsi"/>
        </w:rPr>
        <w:t xml:space="preserve"> Number </w:t>
      </w:r>
      <w:r w:rsidR="00DE53EA">
        <w:rPr>
          <w:rFonts w:cstheme="minorHAnsi"/>
        </w:rPr>
        <w:t xml:space="preserve">and percentage </w:t>
      </w:r>
      <w:r w:rsidR="00490183" w:rsidRPr="00BD1162">
        <w:rPr>
          <w:rFonts w:cstheme="minorHAnsi"/>
        </w:rPr>
        <w:t xml:space="preserve">of CTE </w:t>
      </w:r>
      <w:r w:rsidR="009B3B53" w:rsidRPr="00BD1162">
        <w:rPr>
          <w:rFonts w:cstheme="minorHAnsi"/>
        </w:rPr>
        <w:t>concentrators</w:t>
      </w:r>
      <w:r w:rsidR="00490183" w:rsidRPr="00BD1162">
        <w:rPr>
          <w:rFonts w:cstheme="minorHAnsi"/>
        </w:rPr>
        <w:t xml:space="preserve"> who were enrolled in a career and technical education program that prepared them for a career that would be nontraditional for their gender during the reporting year.</w:t>
      </w:r>
      <w:r w:rsidR="00816A9F" w:rsidRPr="00BD1162">
        <w:rPr>
          <w:rFonts w:cstheme="minorHAnsi"/>
        </w:rPr>
        <w:t xml:space="preserve"> The term nontraditional by gender career is defined as a career for which individuals from one gender comprise less than 25 percent of the individuals employed in the career. Under Perkins V, Massachusetts will use lists of nontraditional careers produced by the National Alliance for Partnerships Equity (NAPE) and the Massachusetts </w:t>
      </w:r>
      <w:r w:rsidR="00816A9F" w:rsidRPr="00BD1162">
        <w:rPr>
          <w:rFonts w:cstheme="minorHAnsi"/>
        </w:rPr>
        <w:lastRenderedPageBreak/>
        <w:t xml:space="preserve">Supplement to the NAPE Nontraditional by Gender Lists.  The lists and supplement are available on the Massachusetts Department of Elementary and Secondary Education - Career/Vocational Technical Education website </w:t>
      </w:r>
      <w:hyperlink r:id="rId12" w:history="1">
        <w:r w:rsidR="00816A9F" w:rsidRPr="00BD1162">
          <w:rPr>
            <w:rStyle w:val="Hyperlink"/>
            <w:rFonts w:cstheme="minorHAnsi"/>
          </w:rPr>
          <w:t>http://www.doe.mass.edu/cte/ntbg/.</w:t>
        </w:r>
      </w:hyperlink>
    </w:p>
    <w:p w14:paraId="3F215690" w14:textId="77777777" w:rsidR="004C2D40" w:rsidRPr="00BD1162" w:rsidRDefault="00170925" w:rsidP="00BD1162">
      <w:pPr>
        <w:spacing w:line="240" w:lineRule="auto"/>
        <w:rPr>
          <w:rFonts w:cstheme="minorHAnsi"/>
          <w:b/>
        </w:rPr>
      </w:pPr>
      <w:r>
        <w:rPr>
          <w:rFonts w:cstheme="minorHAnsi"/>
          <w:b/>
        </w:rPr>
        <w:t xml:space="preserve">5S3 </w:t>
      </w:r>
      <w:r w:rsidR="00490183" w:rsidRPr="00BD1162">
        <w:rPr>
          <w:rFonts w:cstheme="minorHAnsi"/>
          <w:b/>
        </w:rPr>
        <w:t>Program Quality</w:t>
      </w:r>
      <w:r w:rsidR="00900C3B" w:rsidRPr="00BD1162">
        <w:rPr>
          <w:rFonts w:cstheme="minorHAnsi"/>
          <w:b/>
        </w:rPr>
        <w:t>:</w:t>
      </w:r>
      <w:r w:rsidR="005B3CC5">
        <w:rPr>
          <w:rFonts w:cstheme="minorHAnsi"/>
          <w:b/>
        </w:rPr>
        <w:t xml:space="preserve"> Participated in </w:t>
      </w:r>
      <w:r w:rsidR="00490183" w:rsidRPr="00BD1162">
        <w:rPr>
          <w:rFonts w:cstheme="minorHAnsi"/>
          <w:b/>
        </w:rPr>
        <w:t>Work</w:t>
      </w:r>
      <w:r w:rsidR="002462E8" w:rsidRPr="00BD1162">
        <w:rPr>
          <w:rFonts w:cstheme="minorHAnsi"/>
          <w:b/>
        </w:rPr>
        <w:t>-</w:t>
      </w:r>
      <w:r w:rsidR="005B3CC5">
        <w:rPr>
          <w:rFonts w:cstheme="minorHAnsi"/>
          <w:b/>
        </w:rPr>
        <w:t>B</w:t>
      </w:r>
      <w:r>
        <w:rPr>
          <w:rFonts w:cstheme="minorHAnsi"/>
          <w:b/>
        </w:rPr>
        <w:t>ased Learning</w:t>
      </w:r>
      <w:r w:rsidR="00490183" w:rsidRPr="00BD1162">
        <w:rPr>
          <w:rFonts w:cstheme="minorHAnsi"/>
        </w:rPr>
        <w:t xml:space="preserve"> Participation in a work-based learning experience</w:t>
      </w:r>
      <w:r w:rsidR="00A3690C" w:rsidRPr="00BD1162">
        <w:rPr>
          <w:rFonts w:cstheme="minorHAnsi"/>
        </w:rPr>
        <w:t>, as defined below.</w:t>
      </w:r>
      <w:r w:rsidR="00490183" w:rsidRPr="00BD1162">
        <w:rPr>
          <w:rFonts w:cstheme="minorHAnsi"/>
        </w:rPr>
        <w:t xml:space="preserve"> </w:t>
      </w:r>
      <w:r w:rsidR="00FC2ABC" w:rsidRPr="00BD1162">
        <w:rPr>
          <w:rFonts w:cstheme="minorHAnsi"/>
        </w:rPr>
        <w:t xml:space="preserve">The </w:t>
      </w:r>
      <w:r w:rsidR="00490183" w:rsidRPr="00BD1162">
        <w:rPr>
          <w:rFonts w:cstheme="minorHAnsi"/>
        </w:rPr>
        <w:t xml:space="preserve">number and percentage of CTE </w:t>
      </w:r>
      <w:r w:rsidR="00DE53EA">
        <w:rPr>
          <w:rFonts w:cstheme="minorHAnsi"/>
        </w:rPr>
        <w:t>concentrators</w:t>
      </w:r>
      <w:r w:rsidR="00490183" w:rsidRPr="00BD1162">
        <w:rPr>
          <w:rFonts w:cstheme="minorHAnsi"/>
        </w:rPr>
        <w:t xml:space="preserve"> graduating completing a </w:t>
      </w:r>
      <w:r w:rsidR="00490183" w:rsidRPr="00BD1162">
        <w:rPr>
          <w:rFonts w:cstheme="minorHAnsi"/>
          <w:b/>
        </w:rPr>
        <w:t>pre-apprenticeship</w:t>
      </w:r>
      <w:r w:rsidR="00490183" w:rsidRPr="00BD1162">
        <w:rPr>
          <w:rFonts w:cstheme="minorHAnsi"/>
        </w:rPr>
        <w:t xml:space="preserve">, </w:t>
      </w:r>
      <w:r w:rsidR="00490183" w:rsidRPr="00BD1162">
        <w:rPr>
          <w:rFonts w:cstheme="minorHAnsi"/>
          <w:b/>
        </w:rPr>
        <w:t>coo</w:t>
      </w:r>
      <w:r w:rsidR="00A5185A" w:rsidRPr="00BD1162">
        <w:rPr>
          <w:rFonts w:cstheme="minorHAnsi"/>
          <w:b/>
        </w:rPr>
        <w:t>perative education</w:t>
      </w:r>
      <w:r w:rsidR="00A5185A" w:rsidRPr="00BD1162">
        <w:rPr>
          <w:rFonts w:cstheme="minorHAnsi"/>
        </w:rPr>
        <w:t xml:space="preserve">, </w:t>
      </w:r>
      <w:r w:rsidR="00A5185A" w:rsidRPr="00BD1162">
        <w:rPr>
          <w:rFonts w:cstheme="minorHAnsi"/>
          <w:b/>
        </w:rPr>
        <w:t>internship</w:t>
      </w:r>
      <w:r w:rsidR="00B607C1" w:rsidRPr="00BD1162">
        <w:rPr>
          <w:rFonts w:cstheme="minorHAnsi"/>
        </w:rPr>
        <w:t>,</w:t>
      </w:r>
      <w:r w:rsidR="009B3B53" w:rsidRPr="00BD1162">
        <w:rPr>
          <w:rFonts w:cstheme="minorHAnsi"/>
        </w:rPr>
        <w:t xml:space="preserve"> </w:t>
      </w:r>
      <w:r w:rsidR="00490183" w:rsidRPr="00BD1162">
        <w:rPr>
          <w:rFonts w:cstheme="minorHAnsi"/>
          <w:b/>
        </w:rPr>
        <w:t>capstone project</w:t>
      </w:r>
      <w:r w:rsidR="00490183" w:rsidRPr="00BD1162">
        <w:rPr>
          <w:rFonts w:cstheme="minorHAnsi"/>
        </w:rPr>
        <w:t xml:space="preserve">, a </w:t>
      </w:r>
      <w:r w:rsidR="00490183" w:rsidRPr="00BD1162">
        <w:rPr>
          <w:rFonts w:cstheme="minorHAnsi"/>
          <w:b/>
        </w:rPr>
        <w:t>simulated work experience</w:t>
      </w:r>
      <w:r w:rsidR="00490183" w:rsidRPr="00BD1162">
        <w:rPr>
          <w:rFonts w:cstheme="minorHAnsi"/>
        </w:rPr>
        <w:t xml:space="preserve"> within an approved ch74 program,</w:t>
      </w:r>
      <w:r w:rsidR="00A5185A" w:rsidRPr="00BD1162">
        <w:rPr>
          <w:rFonts w:cstheme="minorHAnsi"/>
        </w:rPr>
        <w:t xml:space="preserve"> or obtaining a </w:t>
      </w:r>
      <w:r w:rsidR="00A5185A" w:rsidRPr="00BD1162">
        <w:rPr>
          <w:rFonts w:cstheme="minorHAnsi"/>
          <w:b/>
        </w:rPr>
        <w:t xml:space="preserve">high value </w:t>
      </w:r>
      <w:r w:rsidR="00490183" w:rsidRPr="00BD1162">
        <w:rPr>
          <w:rFonts w:cstheme="minorHAnsi"/>
          <w:b/>
        </w:rPr>
        <w:t>industry-recognized credential</w:t>
      </w:r>
      <w:r w:rsidR="00490183" w:rsidRPr="00BD1162">
        <w:rPr>
          <w:rFonts w:cstheme="minorHAnsi"/>
        </w:rPr>
        <w:t xml:space="preserve"> issued by a recognized private organization and/or other State, or federal government department, agency, or board that reflects completion of a work-based learning experience.</w:t>
      </w:r>
    </w:p>
    <w:p w14:paraId="7D02B896" w14:textId="77777777" w:rsidR="00483D95" w:rsidRPr="00C017CB" w:rsidRDefault="00BD1162" w:rsidP="00BD1162">
      <w:pPr>
        <w:spacing w:line="240" w:lineRule="auto"/>
        <w:rPr>
          <w:rFonts w:cstheme="minorHAnsi"/>
          <w:b/>
        </w:rPr>
      </w:pPr>
      <w:r>
        <w:rPr>
          <w:rFonts w:cstheme="minorHAnsi"/>
          <w:b/>
        </w:rPr>
        <w:t>Work-</w:t>
      </w:r>
      <w:r w:rsidRPr="00C017CB">
        <w:rPr>
          <w:rFonts w:cstheme="minorHAnsi"/>
          <w:b/>
        </w:rPr>
        <w:t>based learning</w:t>
      </w:r>
      <w:r w:rsidR="00B607C1" w:rsidRPr="00C017CB">
        <w:rPr>
          <w:rFonts w:cstheme="minorHAnsi"/>
          <w:b/>
        </w:rPr>
        <w:t xml:space="preserve"> experiences are defined as</w:t>
      </w:r>
      <w:r w:rsidR="004C2D40" w:rsidRPr="00C017CB">
        <w:rPr>
          <w:rFonts w:cstheme="minorHAnsi"/>
          <w:b/>
        </w:rPr>
        <w:t>:</w:t>
      </w:r>
    </w:p>
    <w:p w14:paraId="6C70505F" w14:textId="77777777" w:rsidR="00B607C1" w:rsidRPr="00C017CB" w:rsidRDefault="00B607C1" w:rsidP="00BD1162">
      <w:pPr>
        <w:spacing w:line="240" w:lineRule="auto"/>
        <w:ind w:left="720"/>
        <w:rPr>
          <w:rFonts w:cstheme="minorHAnsi"/>
        </w:rPr>
      </w:pPr>
      <w:r w:rsidRPr="00C017CB">
        <w:rPr>
          <w:rFonts w:cstheme="minorHAnsi"/>
          <w:b/>
        </w:rPr>
        <w:t>Internship:</w:t>
      </w:r>
      <w:r w:rsidRPr="00C017CB">
        <w:rPr>
          <w:rFonts w:cstheme="minorHAnsi"/>
        </w:rPr>
        <w:t xml:space="preserve"> An internship is a paid or unpaid work-based 100 hour or more learning experience in a workplace in which structured learning occurs related to the student’s program of study. </w:t>
      </w:r>
    </w:p>
    <w:p w14:paraId="2BC82C59" w14:textId="77777777" w:rsidR="00B607C1" w:rsidRPr="00C017CB" w:rsidRDefault="00B607C1" w:rsidP="00BD1162">
      <w:pPr>
        <w:tabs>
          <w:tab w:val="left" w:pos="954"/>
        </w:tabs>
        <w:spacing w:line="240" w:lineRule="auto"/>
        <w:ind w:left="720"/>
        <w:rPr>
          <w:rFonts w:cstheme="minorHAnsi"/>
        </w:rPr>
      </w:pPr>
      <w:r w:rsidRPr="00C017CB">
        <w:rPr>
          <w:rFonts w:cstheme="minorHAnsi"/>
          <w:b/>
        </w:rPr>
        <w:t>Capstone:</w:t>
      </w:r>
      <w:r w:rsidRPr="00C017CB">
        <w:rPr>
          <w:rFonts w:cstheme="minorHAnsi"/>
        </w:rPr>
        <w:t xml:space="preserve"> A well-designed process for identification of individual or team student project that ensures an alignment with the industry sector of</w:t>
      </w:r>
      <w:r w:rsidR="00516DDA" w:rsidRPr="00C017CB">
        <w:rPr>
          <w:rFonts w:cstheme="minorHAnsi"/>
        </w:rPr>
        <w:t xml:space="preserve"> a</w:t>
      </w:r>
      <w:r w:rsidRPr="00C017CB">
        <w:rPr>
          <w:rFonts w:cstheme="minorHAnsi"/>
        </w:rPr>
        <w:t>t least one hundred hours of activity by the student outside of the classroom, in the form of research, service-learning, or other related activity, that supports the capstone project.</w:t>
      </w:r>
    </w:p>
    <w:p w14:paraId="395A1219" w14:textId="77777777" w:rsidR="004C2D40" w:rsidRPr="00C017CB" w:rsidRDefault="00516DDA" w:rsidP="00BD1162">
      <w:pPr>
        <w:tabs>
          <w:tab w:val="left" w:pos="954"/>
        </w:tabs>
        <w:spacing w:line="240" w:lineRule="auto"/>
        <w:ind w:left="720"/>
        <w:rPr>
          <w:rFonts w:cstheme="minorHAnsi"/>
          <w:color w:val="000000"/>
          <w:shd w:val="clear" w:color="auto" w:fill="FFFFFF"/>
        </w:rPr>
      </w:pPr>
      <w:r w:rsidRPr="00C017CB">
        <w:rPr>
          <w:rFonts w:cstheme="minorHAnsi"/>
          <w:b/>
        </w:rPr>
        <w:t>Simulated Work Experience:</w:t>
      </w:r>
      <w:r w:rsidRPr="00C017CB">
        <w:rPr>
          <w:rFonts w:cstheme="minorHAnsi"/>
        </w:rPr>
        <w:t xml:space="preserve"> Participation of students in </w:t>
      </w:r>
      <w:r w:rsidRPr="00C017CB">
        <w:rPr>
          <w:rFonts w:cstheme="minorHAnsi"/>
          <w:color w:val="000000"/>
          <w:shd w:val="clear" w:color="auto" w:fill="FFFFFF"/>
        </w:rPr>
        <w:t xml:space="preserve">Chapter 74-approved vocational technical education programs are programs that meet the definition of vocational technical education contained in Massachusetts General Law Chapter 74, and are approved by the Department of Elementary and Secondary Education pursuant to Chapter 74 and the Vocational Technical Education Regulations. </w:t>
      </w:r>
    </w:p>
    <w:p w14:paraId="4F7512A9" w14:textId="77777777" w:rsidR="00FC2ABC" w:rsidRPr="00C017CB" w:rsidRDefault="00516DDA" w:rsidP="00BD1162">
      <w:pPr>
        <w:tabs>
          <w:tab w:val="left" w:pos="954"/>
        </w:tabs>
        <w:spacing w:line="240" w:lineRule="auto"/>
        <w:ind w:left="720"/>
        <w:rPr>
          <w:rFonts w:cstheme="minorHAnsi"/>
        </w:rPr>
      </w:pPr>
      <w:r w:rsidRPr="00C017CB">
        <w:rPr>
          <w:rFonts w:cstheme="minorHAnsi"/>
          <w:b/>
          <w:color w:val="000000"/>
          <w:shd w:val="clear" w:color="auto" w:fill="FFFFFF"/>
        </w:rPr>
        <w:t>High Value Industry Recognized Credentials</w:t>
      </w:r>
      <w:r w:rsidRPr="00C017CB">
        <w:rPr>
          <w:rFonts w:cstheme="minorHAnsi"/>
          <w:color w:val="000000"/>
          <w:shd w:val="clear" w:color="auto" w:fill="FFFFFF"/>
        </w:rPr>
        <w:t>: Students who successfully complete</w:t>
      </w:r>
      <w:r w:rsidR="00255ABC" w:rsidRPr="00C017CB">
        <w:rPr>
          <w:rFonts w:cstheme="minorHAnsi"/>
        </w:rPr>
        <w:t xml:space="preserve"> a credential that is sought or accepted by employers within an industry or sector as a recognized, preferred, or required credential for recruitment, screening, hiring, retention, or advancement purposes, and where appropriate, is endorsed by a recognized trade association or organization representing a significant part of the industry or sector. The Department in partnership with the Massachusetts Workforce Skills Cabinet will determine which credentials are of high value and in high demand in the Commonwealth.</w:t>
      </w:r>
    </w:p>
    <w:p w14:paraId="5959C578" w14:textId="77777777" w:rsidR="00490183" w:rsidRPr="00C017CB" w:rsidRDefault="00490183" w:rsidP="00BD1162">
      <w:pPr>
        <w:framePr w:hSpace="180" w:wrap="around" w:vAnchor="text" w:hAnchor="page" w:x="1194" w:y="177"/>
        <w:spacing w:line="240" w:lineRule="auto"/>
        <w:ind w:left="720"/>
        <w:rPr>
          <w:rFonts w:eastAsia="Times New Roman" w:cstheme="minorHAnsi"/>
          <w:b/>
        </w:rPr>
      </w:pPr>
      <w:r w:rsidRPr="00C017CB">
        <w:rPr>
          <w:rFonts w:eastAsia="Times New Roman" w:cstheme="minorHAnsi"/>
          <w:b/>
        </w:rPr>
        <w:t xml:space="preserve">    </w:t>
      </w:r>
    </w:p>
    <w:p w14:paraId="63F971E5" w14:textId="77777777" w:rsidR="004C2D40" w:rsidRPr="00C017CB" w:rsidRDefault="004C2D40" w:rsidP="00BD1162">
      <w:pPr>
        <w:spacing w:line="240" w:lineRule="auto"/>
        <w:ind w:left="720"/>
        <w:rPr>
          <w:rFonts w:eastAsia="Times New Roman" w:cstheme="minorHAnsi"/>
          <w:iCs/>
        </w:rPr>
      </w:pPr>
      <w:r w:rsidRPr="00C017CB">
        <w:rPr>
          <w:rFonts w:cstheme="minorHAnsi"/>
          <w:b/>
        </w:rPr>
        <w:t xml:space="preserve">Cooperative Education:  </w:t>
      </w:r>
      <w:r w:rsidRPr="00C017CB">
        <w:rPr>
          <w:rFonts w:eastAsia="Times New Roman" w:cstheme="minorHAnsi"/>
        </w:rPr>
        <w:t xml:space="preserve">Cooperative education is a program of vocational technical education for persons who, through a cooperative arrangement between the school and employers, receive instruction, including required academic courses and related vocational technical instruction, by the alternation of study in school with a job in any occupational field.  Such instruction shall be planned and supervised by the school and the employer so that each contributes to the student's education and employability.  Work periods and school attendance may be on alternate half-days, full days, weeks or other coordinated periods of time."  </w:t>
      </w:r>
      <w:r w:rsidRPr="00C017CB">
        <w:rPr>
          <w:rFonts w:eastAsia="Times New Roman" w:cstheme="minorHAnsi"/>
          <w:iCs/>
        </w:rPr>
        <w:t>Editor’s Note: Cooperative education is always paid as inherent in the definition’s use of the term “employer.”</w:t>
      </w:r>
    </w:p>
    <w:p w14:paraId="73934E35" w14:textId="77777777" w:rsidR="00C017CB" w:rsidRDefault="00C017CB" w:rsidP="00BD1162">
      <w:pPr>
        <w:spacing w:line="240" w:lineRule="auto"/>
        <w:rPr>
          <w:rFonts w:eastAsia="Times New Roman" w:cstheme="minorHAnsi"/>
          <w:b/>
          <w:iCs/>
          <w:snapToGrid w:val="0"/>
          <w:color w:val="000000"/>
        </w:rPr>
      </w:pPr>
    </w:p>
    <w:p w14:paraId="752C364B" w14:textId="77777777" w:rsidR="004C2D40" w:rsidRPr="00C017CB" w:rsidRDefault="004C2D40" w:rsidP="00BD1162">
      <w:pPr>
        <w:spacing w:line="240" w:lineRule="auto"/>
        <w:rPr>
          <w:rFonts w:eastAsia="Times New Roman" w:cstheme="minorHAnsi"/>
          <w:b/>
          <w:iCs/>
          <w:snapToGrid w:val="0"/>
          <w:color w:val="000000"/>
        </w:rPr>
      </w:pPr>
      <w:r w:rsidRPr="00C017CB">
        <w:rPr>
          <w:rFonts w:eastAsia="Times New Roman" w:cstheme="minorHAnsi"/>
          <w:b/>
          <w:iCs/>
          <w:snapToGrid w:val="0"/>
          <w:color w:val="000000"/>
        </w:rPr>
        <w:t>Cooperative Education per M.G.L.c.149, Section 1 (MA Child Labor Laws)</w:t>
      </w:r>
    </w:p>
    <w:p w14:paraId="3C2BE2F1" w14:textId="77777777" w:rsidR="004C2D40" w:rsidRPr="00C017CB" w:rsidRDefault="004C2D40" w:rsidP="00BD1162">
      <w:pPr>
        <w:spacing w:line="240" w:lineRule="auto"/>
        <w:rPr>
          <w:rFonts w:eastAsia="Times New Roman" w:cstheme="minorHAnsi"/>
          <w:b/>
          <w:iCs/>
          <w:snapToGrid w:val="0"/>
          <w:color w:val="000000"/>
          <w:u w:val="single"/>
        </w:rPr>
      </w:pPr>
      <w:r w:rsidRPr="00C017CB">
        <w:rPr>
          <w:rFonts w:eastAsia="Times New Roman" w:cstheme="minorHAnsi"/>
        </w:rPr>
        <w:t xml:space="preserve">“Co-operative courses'', courses approved as such by the Department of Education and conducted in public schools or any approved vocational school where technical or related instruction is given in </w:t>
      </w:r>
      <w:r w:rsidRPr="00C017CB">
        <w:rPr>
          <w:rFonts w:eastAsia="Times New Roman" w:cstheme="minorHAnsi"/>
        </w:rPr>
        <w:lastRenderedPageBreak/>
        <w:t>conjunction with practical experience by employment in co-operating factories, manufacturing, mechanical or mercantile establishments or workshops or other co-operating employments.</w:t>
      </w:r>
      <w:r w:rsidRPr="00C017CB">
        <w:rPr>
          <w:rFonts w:eastAsia="Times New Roman" w:cstheme="minorHAnsi"/>
          <w:b/>
          <w:iCs/>
          <w:snapToGrid w:val="0"/>
          <w:color w:val="000000"/>
          <w:u w:val="single"/>
        </w:rPr>
        <w:t xml:space="preserve"> </w:t>
      </w:r>
    </w:p>
    <w:p w14:paraId="7AAE0F97" w14:textId="77777777" w:rsidR="004C2D40" w:rsidRPr="00C017CB" w:rsidRDefault="004C2D40" w:rsidP="00BD1162">
      <w:pPr>
        <w:spacing w:line="240" w:lineRule="auto"/>
        <w:rPr>
          <w:rFonts w:cstheme="minorHAnsi"/>
        </w:rPr>
      </w:pPr>
      <w:r w:rsidRPr="00C017CB">
        <w:rPr>
          <w:rFonts w:cstheme="minorHAnsi"/>
          <w:b/>
          <w:bCs/>
          <w:iCs/>
        </w:rPr>
        <w:t xml:space="preserve">Cooperative Education per The Code of Federal Regulations Title 29 (CFR 29) Part 570.50 (c) (1) (2) </w:t>
      </w:r>
      <w:r w:rsidRPr="00C017CB">
        <w:rPr>
          <w:rFonts w:cstheme="minorHAnsi"/>
        </w:rPr>
        <w:t xml:space="preserve">defines student learners: </w:t>
      </w:r>
    </w:p>
    <w:p w14:paraId="0298FE1C" w14:textId="77777777" w:rsidR="004C2D40" w:rsidRPr="00BD1162" w:rsidRDefault="004C2D40" w:rsidP="00BD1162">
      <w:pPr>
        <w:pStyle w:val="ListParagraph"/>
        <w:numPr>
          <w:ilvl w:val="0"/>
          <w:numId w:val="2"/>
        </w:numPr>
        <w:spacing w:line="240" w:lineRule="auto"/>
        <w:rPr>
          <w:rFonts w:asciiTheme="minorHAnsi" w:hAnsiTheme="minorHAnsi" w:cstheme="minorHAnsi"/>
        </w:rPr>
      </w:pPr>
      <w:r w:rsidRPr="00BD1162">
        <w:rPr>
          <w:rFonts w:asciiTheme="minorHAnsi" w:hAnsiTheme="minorHAnsi" w:cstheme="minorHAnsi"/>
        </w:rPr>
        <w:t xml:space="preserve">The student-learner is enrolled in a course of study and training in a cooperative vocational training program under a recognized State or local educational authority or in a course of study in a substantially similar program conducted by a private school and; </w:t>
      </w:r>
    </w:p>
    <w:p w14:paraId="42591B2A" w14:textId="77777777" w:rsidR="004C2D40" w:rsidRPr="00BD1162" w:rsidRDefault="004C2D40" w:rsidP="00BD1162">
      <w:pPr>
        <w:pStyle w:val="ListParagraph"/>
        <w:numPr>
          <w:ilvl w:val="0"/>
          <w:numId w:val="2"/>
        </w:numPr>
        <w:spacing w:line="240" w:lineRule="auto"/>
        <w:rPr>
          <w:rFonts w:asciiTheme="minorHAnsi" w:hAnsiTheme="minorHAnsi" w:cstheme="minorHAnsi"/>
        </w:rPr>
      </w:pPr>
      <w:r w:rsidRPr="00BD1162">
        <w:rPr>
          <w:rFonts w:asciiTheme="minorHAnsi" w:hAnsiTheme="minorHAnsi" w:cstheme="minorHAnsi"/>
        </w:rPr>
        <w:t xml:space="preserve">Such student-learner is employed under a written agreement, which provides: </w:t>
      </w:r>
    </w:p>
    <w:p w14:paraId="6F73ED6E" w14:textId="77777777" w:rsidR="004C2D40" w:rsidRPr="00BD1162" w:rsidRDefault="004C2D40" w:rsidP="00BD1162">
      <w:pPr>
        <w:pStyle w:val="ListParagraph"/>
        <w:numPr>
          <w:ilvl w:val="0"/>
          <w:numId w:val="1"/>
        </w:numPr>
        <w:spacing w:line="240" w:lineRule="auto"/>
        <w:rPr>
          <w:rFonts w:asciiTheme="minorHAnsi" w:hAnsiTheme="minorHAnsi" w:cstheme="minorHAnsi"/>
        </w:rPr>
      </w:pPr>
      <w:r w:rsidRPr="00BD1162">
        <w:rPr>
          <w:rFonts w:asciiTheme="minorHAnsi" w:hAnsiTheme="minorHAnsi" w:cstheme="minorHAnsi"/>
        </w:rPr>
        <w:t xml:space="preserve">That the work of the student-learner in the occupations declared particularly hazardous shall be incidental to his/her training; </w:t>
      </w:r>
    </w:p>
    <w:p w14:paraId="4D687744" w14:textId="77777777" w:rsidR="004C2D40" w:rsidRPr="00BD1162" w:rsidRDefault="004C2D40" w:rsidP="00BD1162">
      <w:pPr>
        <w:pStyle w:val="ListParagraph"/>
        <w:numPr>
          <w:ilvl w:val="0"/>
          <w:numId w:val="1"/>
        </w:numPr>
        <w:spacing w:line="240" w:lineRule="auto"/>
        <w:rPr>
          <w:rFonts w:asciiTheme="minorHAnsi" w:hAnsiTheme="minorHAnsi" w:cstheme="minorHAnsi"/>
        </w:rPr>
      </w:pPr>
      <w:r w:rsidRPr="00BD1162">
        <w:rPr>
          <w:rFonts w:asciiTheme="minorHAnsi" w:hAnsiTheme="minorHAnsi" w:cstheme="minorHAnsi"/>
        </w:rPr>
        <w:t xml:space="preserve">That such work shall be intermittent and for short periods of time, and under the direct and close supervision of a qualified and experienced person; </w:t>
      </w:r>
    </w:p>
    <w:p w14:paraId="3BB45188" w14:textId="77777777" w:rsidR="004C2D40" w:rsidRPr="00BD1162" w:rsidRDefault="004C2D40" w:rsidP="00BD1162">
      <w:pPr>
        <w:pStyle w:val="ListParagraph"/>
        <w:numPr>
          <w:ilvl w:val="0"/>
          <w:numId w:val="1"/>
        </w:numPr>
        <w:spacing w:line="240" w:lineRule="auto"/>
        <w:rPr>
          <w:rFonts w:asciiTheme="minorHAnsi" w:hAnsiTheme="minorHAnsi" w:cstheme="minorHAnsi"/>
        </w:rPr>
      </w:pPr>
      <w:r w:rsidRPr="00BD1162">
        <w:rPr>
          <w:rFonts w:asciiTheme="minorHAnsi" w:hAnsiTheme="minorHAnsi" w:cstheme="minorHAnsi"/>
        </w:rPr>
        <w:t xml:space="preserve">That safety instructions shall be given by the school and correlated by the employer with on-the-job training; and </w:t>
      </w:r>
    </w:p>
    <w:p w14:paraId="0FA8A27B" w14:textId="77777777" w:rsidR="004C2D40" w:rsidRPr="00BD1162" w:rsidRDefault="004C2D40" w:rsidP="00BD1162">
      <w:pPr>
        <w:pStyle w:val="ListParagraph"/>
        <w:numPr>
          <w:ilvl w:val="0"/>
          <w:numId w:val="1"/>
        </w:numPr>
        <w:spacing w:line="240" w:lineRule="auto"/>
        <w:rPr>
          <w:rFonts w:asciiTheme="minorHAnsi" w:hAnsiTheme="minorHAnsi" w:cstheme="minorHAnsi"/>
          <w:i/>
        </w:rPr>
      </w:pPr>
      <w:r w:rsidRPr="00BD1162">
        <w:rPr>
          <w:rFonts w:asciiTheme="minorHAnsi" w:hAnsiTheme="minorHAnsi" w:cstheme="minorHAnsi"/>
        </w:rPr>
        <w:t>That a schedule of organized and progressive work processes to be performed on the job shall have been prepared. Each such written agreement shall contain the name of student-learner and shall be signed by the employer and the school coordinator or principal. Copies of each agreement shall be kept on file by both the school and the employer</w:t>
      </w:r>
      <w:r w:rsidRPr="00BD1162">
        <w:rPr>
          <w:rFonts w:asciiTheme="minorHAnsi" w:hAnsiTheme="minorHAnsi" w:cstheme="minorHAnsi"/>
          <w:i/>
        </w:rPr>
        <w:t xml:space="preserve">. </w:t>
      </w:r>
    </w:p>
    <w:p w14:paraId="536DF484" w14:textId="77777777" w:rsidR="00490183" w:rsidRPr="00BD1162" w:rsidRDefault="00490183" w:rsidP="00BD1162">
      <w:pPr>
        <w:spacing w:line="240" w:lineRule="auto"/>
        <w:rPr>
          <w:rFonts w:cstheme="minorHAnsi"/>
        </w:rPr>
      </w:pPr>
    </w:p>
    <w:p w14:paraId="3C4A4FC2" w14:textId="77777777" w:rsidR="00532D15" w:rsidRPr="00BD1162" w:rsidRDefault="00532D15" w:rsidP="00BD1162">
      <w:pPr>
        <w:spacing w:line="240" w:lineRule="auto"/>
        <w:rPr>
          <w:rFonts w:cstheme="minorHAnsi"/>
        </w:rPr>
      </w:pPr>
    </w:p>
    <w:p w14:paraId="09E29D39" w14:textId="77777777" w:rsidR="00532D15" w:rsidRPr="00BD1162" w:rsidRDefault="00532D15" w:rsidP="00BD1162">
      <w:pPr>
        <w:spacing w:line="240" w:lineRule="auto"/>
        <w:rPr>
          <w:rFonts w:cstheme="minorHAnsi"/>
        </w:rPr>
      </w:pPr>
    </w:p>
    <w:p w14:paraId="55B63BB8" w14:textId="77777777" w:rsidR="00532D15" w:rsidRPr="00BD1162" w:rsidRDefault="00532D15" w:rsidP="00BD1162">
      <w:pPr>
        <w:spacing w:line="240" w:lineRule="auto"/>
        <w:rPr>
          <w:rFonts w:cstheme="minorHAnsi"/>
        </w:rPr>
      </w:pPr>
    </w:p>
    <w:p w14:paraId="4B1DDB88" w14:textId="77777777" w:rsidR="00532D15" w:rsidRPr="00BD1162" w:rsidRDefault="00532D15" w:rsidP="00BD1162">
      <w:pPr>
        <w:spacing w:line="240" w:lineRule="auto"/>
        <w:rPr>
          <w:rFonts w:cstheme="minorHAnsi"/>
        </w:rPr>
      </w:pPr>
    </w:p>
    <w:p w14:paraId="537BDA81" w14:textId="77777777" w:rsidR="00532D15" w:rsidRPr="00BD1162" w:rsidRDefault="00532D15" w:rsidP="00BD1162">
      <w:pPr>
        <w:spacing w:line="240" w:lineRule="auto"/>
        <w:rPr>
          <w:rFonts w:cstheme="minorHAnsi"/>
        </w:rPr>
      </w:pPr>
    </w:p>
    <w:p w14:paraId="517A687E" w14:textId="77777777" w:rsidR="00532D15" w:rsidRPr="00BD1162" w:rsidRDefault="00532D15" w:rsidP="00BD1162">
      <w:pPr>
        <w:spacing w:line="240" w:lineRule="auto"/>
        <w:rPr>
          <w:rFonts w:cstheme="minorHAnsi"/>
        </w:rPr>
      </w:pPr>
    </w:p>
    <w:p w14:paraId="60079D9C" w14:textId="77777777" w:rsidR="00532D15" w:rsidRPr="00BD1162" w:rsidRDefault="00532D15" w:rsidP="00BD1162">
      <w:pPr>
        <w:spacing w:line="240" w:lineRule="auto"/>
        <w:rPr>
          <w:rFonts w:cstheme="minorHAnsi"/>
        </w:rPr>
      </w:pPr>
    </w:p>
    <w:p w14:paraId="1F3662D5" w14:textId="77777777" w:rsidR="00532D15" w:rsidRPr="00BD1162" w:rsidRDefault="00532D15" w:rsidP="00BD1162">
      <w:pPr>
        <w:spacing w:line="240" w:lineRule="auto"/>
        <w:rPr>
          <w:rFonts w:cstheme="minorHAnsi"/>
        </w:rPr>
      </w:pPr>
    </w:p>
    <w:p w14:paraId="047A5435" w14:textId="77777777" w:rsidR="00532D15" w:rsidRPr="00BD1162" w:rsidRDefault="00532D15" w:rsidP="00BD1162">
      <w:pPr>
        <w:spacing w:line="240" w:lineRule="auto"/>
        <w:rPr>
          <w:rFonts w:cstheme="minorHAnsi"/>
        </w:rPr>
      </w:pPr>
    </w:p>
    <w:p w14:paraId="63FD2C06" w14:textId="77777777" w:rsidR="00532D15" w:rsidRPr="00BD1162" w:rsidRDefault="00532D15" w:rsidP="00BD1162">
      <w:pPr>
        <w:spacing w:line="240" w:lineRule="auto"/>
        <w:rPr>
          <w:rFonts w:cstheme="minorHAnsi"/>
        </w:rPr>
      </w:pPr>
    </w:p>
    <w:p w14:paraId="028ED9EB" w14:textId="77777777" w:rsidR="00532D15" w:rsidRPr="00BD1162" w:rsidRDefault="00532D15" w:rsidP="00BD1162">
      <w:pPr>
        <w:spacing w:line="240" w:lineRule="auto"/>
        <w:rPr>
          <w:rFonts w:cstheme="minorHAnsi"/>
        </w:rPr>
      </w:pPr>
    </w:p>
    <w:p w14:paraId="3D4AC9E3" w14:textId="77777777" w:rsidR="00C017CB" w:rsidRDefault="00C017CB">
      <w:pPr>
        <w:rPr>
          <w:rFonts w:cstheme="minorHAnsi"/>
          <w:b/>
        </w:rPr>
      </w:pPr>
      <w:r>
        <w:rPr>
          <w:rFonts w:cstheme="minorHAnsi"/>
          <w:b/>
        </w:rPr>
        <w:br w:type="page"/>
      </w:r>
    </w:p>
    <w:p w14:paraId="792FE82C" w14:textId="77777777" w:rsidR="00532D15" w:rsidRPr="00C017CB" w:rsidRDefault="00532D15" w:rsidP="0048275D">
      <w:pPr>
        <w:spacing w:line="240" w:lineRule="auto"/>
        <w:rPr>
          <w:rFonts w:cstheme="minorHAnsi"/>
          <w:b/>
          <w:sz w:val="28"/>
        </w:rPr>
      </w:pPr>
      <w:r w:rsidRPr="00C017CB">
        <w:rPr>
          <w:rFonts w:cstheme="minorHAnsi"/>
          <w:b/>
          <w:sz w:val="28"/>
        </w:rPr>
        <w:lastRenderedPageBreak/>
        <w:t xml:space="preserve">Postsecondary </w:t>
      </w:r>
    </w:p>
    <w:p w14:paraId="3DEAE79B" w14:textId="77777777" w:rsidR="00532D15" w:rsidRPr="00C017CB" w:rsidRDefault="00532D15" w:rsidP="00BD1162">
      <w:pPr>
        <w:spacing w:line="240" w:lineRule="auto"/>
        <w:rPr>
          <w:rFonts w:cstheme="minorHAnsi"/>
          <w:b/>
        </w:rPr>
      </w:pPr>
    </w:p>
    <w:p w14:paraId="77C3F674" w14:textId="77777777" w:rsidR="00532D15" w:rsidRPr="00C017CB" w:rsidRDefault="00532D15" w:rsidP="00C017CB">
      <w:pPr>
        <w:kinsoku w:val="0"/>
        <w:overflowPunct w:val="0"/>
        <w:spacing w:line="240" w:lineRule="auto"/>
        <w:contextualSpacing/>
        <w:textAlignment w:val="baseline"/>
        <w:rPr>
          <w:rFonts w:eastAsia="Times New Roman" w:cstheme="minorHAnsi"/>
        </w:rPr>
      </w:pPr>
      <w:r w:rsidRPr="00C017CB">
        <w:rPr>
          <w:rFonts w:eastAsia="Century Gothic" w:cstheme="minorHAnsi"/>
          <w:b/>
          <w:bCs/>
        </w:rPr>
        <w:t xml:space="preserve">1P1 Postsecondary Retention &amp; Placement </w:t>
      </w:r>
    </w:p>
    <w:p w14:paraId="33D2B57B" w14:textId="77777777" w:rsidR="00A3690C" w:rsidRPr="00C017CB" w:rsidRDefault="00DE53EA" w:rsidP="00C017CB">
      <w:pPr>
        <w:kinsoku w:val="0"/>
        <w:overflowPunct w:val="0"/>
        <w:spacing w:line="240" w:lineRule="auto"/>
        <w:textAlignment w:val="baseline"/>
        <w:rPr>
          <w:rFonts w:cstheme="minorHAnsi"/>
        </w:rPr>
      </w:pPr>
      <w:r>
        <w:rPr>
          <w:rFonts w:eastAsia="Century Gothic" w:cstheme="minorHAnsi"/>
        </w:rPr>
        <w:t>Number and p</w:t>
      </w:r>
      <w:r w:rsidR="00532D15" w:rsidRPr="00C017CB">
        <w:rPr>
          <w:rFonts w:eastAsia="Century Gothic" w:cstheme="minorHAnsi"/>
        </w:rPr>
        <w:t>ercent</w:t>
      </w:r>
      <w:r>
        <w:rPr>
          <w:rFonts w:eastAsia="Century Gothic" w:cstheme="minorHAnsi"/>
        </w:rPr>
        <w:t>age</w:t>
      </w:r>
      <w:r w:rsidR="00532D15" w:rsidRPr="00C017CB">
        <w:rPr>
          <w:rFonts w:eastAsia="Century Gothic" w:cstheme="minorHAnsi"/>
        </w:rPr>
        <w:t xml:space="preserve"> of </w:t>
      </w:r>
      <w:r w:rsidR="00A3690C" w:rsidRPr="00C017CB">
        <w:rPr>
          <w:rFonts w:cstheme="minorHAnsi"/>
        </w:rPr>
        <w:t xml:space="preserve">CTE concentrators who, in the second quarter after </w:t>
      </w:r>
      <w:r w:rsidR="00C017CB" w:rsidRPr="00C017CB">
        <w:rPr>
          <w:rFonts w:cstheme="minorHAnsi"/>
        </w:rPr>
        <w:t>program completion</w:t>
      </w:r>
      <w:r w:rsidR="00A3690C" w:rsidRPr="00C017CB">
        <w:rPr>
          <w:rFonts w:cstheme="minorHAnsi"/>
        </w:rPr>
        <w:t xml:space="preserve">, </w:t>
      </w:r>
      <w:r w:rsidR="00C017CB" w:rsidRPr="00C017CB">
        <w:rPr>
          <w:rFonts w:cstheme="minorHAnsi"/>
        </w:rPr>
        <w:t>remain enrolled</w:t>
      </w:r>
      <w:r w:rsidR="00A3690C" w:rsidRPr="00C017CB">
        <w:rPr>
          <w:rFonts w:cstheme="minorHAnsi"/>
        </w:rPr>
        <w:t xml:space="preserve"> in postsecondary education</w:t>
      </w:r>
      <w:r w:rsidR="00C017CB" w:rsidRPr="00C017CB">
        <w:rPr>
          <w:rFonts w:cstheme="minorHAnsi"/>
        </w:rPr>
        <w:t>, are in advanced training</w:t>
      </w:r>
      <w:r w:rsidR="00A3690C" w:rsidRPr="00C017CB">
        <w:rPr>
          <w:rFonts w:cstheme="minorHAnsi"/>
        </w:rPr>
        <w:t>, military service, or</w:t>
      </w:r>
      <w:r w:rsidR="00C017CB" w:rsidRPr="00C017CB">
        <w:rPr>
          <w:rFonts w:cstheme="minorHAnsi"/>
        </w:rPr>
        <w:t xml:space="preserve"> a</w:t>
      </w:r>
      <w:r w:rsidR="00A3690C" w:rsidRPr="00C017CB">
        <w:rPr>
          <w:rFonts w:cstheme="minorHAnsi"/>
        </w:rPr>
        <w:t xml:space="preserve"> service program</w:t>
      </w:r>
      <w:r w:rsidR="00A3690C" w:rsidRPr="00C017CB">
        <w:rPr>
          <w:rStyle w:val="FootnoteReference"/>
          <w:rFonts w:cstheme="minorHAnsi"/>
        </w:rPr>
        <w:footnoteReference w:id="3"/>
      </w:r>
      <w:r w:rsidR="00A3690C" w:rsidRPr="00C017CB">
        <w:rPr>
          <w:rFonts w:cstheme="minorHAnsi"/>
        </w:rPr>
        <w:t xml:space="preserve">, or </w:t>
      </w:r>
      <w:r w:rsidR="00C017CB" w:rsidRPr="00C017CB">
        <w:rPr>
          <w:rFonts w:cstheme="minorHAnsi"/>
        </w:rPr>
        <w:t xml:space="preserve">are placed or retained in </w:t>
      </w:r>
      <w:r w:rsidR="00A3690C" w:rsidRPr="00C017CB">
        <w:rPr>
          <w:rFonts w:cstheme="minorHAnsi"/>
        </w:rPr>
        <w:t>employ</w:t>
      </w:r>
      <w:r w:rsidR="00C017CB" w:rsidRPr="00C017CB">
        <w:rPr>
          <w:rFonts w:cstheme="minorHAnsi"/>
        </w:rPr>
        <w:t>ment</w:t>
      </w:r>
      <w:r w:rsidR="00A3690C" w:rsidRPr="00C017CB">
        <w:rPr>
          <w:rFonts w:cstheme="minorHAnsi"/>
        </w:rPr>
        <w:t>, including in high skill, high wage, or in-demand sectors or occupations.</w:t>
      </w:r>
    </w:p>
    <w:p w14:paraId="3588F48B" w14:textId="77777777" w:rsidR="00532D15" w:rsidRPr="00C017CB" w:rsidRDefault="00532D15" w:rsidP="00BD1162">
      <w:pPr>
        <w:kinsoku w:val="0"/>
        <w:overflowPunct w:val="0"/>
        <w:spacing w:line="240" w:lineRule="auto"/>
        <w:textAlignment w:val="baseline"/>
        <w:rPr>
          <w:rFonts w:eastAsia="Times New Roman" w:cstheme="minorHAnsi"/>
        </w:rPr>
      </w:pPr>
    </w:p>
    <w:p w14:paraId="621A4F90" w14:textId="77777777" w:rsidR="00532D15" w:rsidRPr="00C017CB" w:rsidRDefault="00532D15" w:rsidP="00C017CB">
      <w:pPr>
        <w:kinsoku w:val="0"/>
        <w:overflowPunct w:val="0"/>
        <w:spacing w:line="240" w:lineRule="auto"/>
        <w:contextualSpacing/>
        <w:textAlignment w:val="baseline"/>
        <w:rPr>
          <w:rFonts w:eastAsia="Times New Roman" w:cstheme="minorHAnsi"/>
        </w:rPr>
      </w:pPr>
      <w:r w:rsidRPr="00C017CB">
        <w:rPr>
          <w:rFonts w:eastAsia="Century Gothic" w:cstheme="minorHAnsi"/>
          <w:b/>
          <w:bCs/>
        </w:rPr>
        <w:t xml:space="preserve">2P1 </w:t>
      </w:r>
      <w:r w:rsidR="00472652">
        <w:rPr>
          <w:rFonts w:eastAsia="Century Gothic" w:cstheme="minorHAnsi"/>
          <w:b/>
          <w:bCs/>
        </w:rPr>
        <w:t xml:space="preserve">Postsecondary </w:t>
      </w:r>
      <w:r w:rsidRPr="00C017CB">
        <w:rPr>
          <w:rFonts w:eastAsia="Century Gothic" w:cstheme="minorHAnsi"/>
          <w:b/>
          <w:bCs/>
        </w:rPr>
        <w:t>Credential, Certificate or Diploma</w:t>
      </w:r>
    </w:p>
    <w:p w14:paraId="266B23B3" w14:textId="77777777" w:rsidR="00532D15" w:rsidRPr="00C017CB" w:rsidRDefault="00DE53EA" w:rsidP="00BD1162">
      <w:pPr>
        <w:kinsoku w:val="0"/>
        <w:overflowPunct w:val="0"/>
        <w:spacing w:line="240" w:lineRule="auto"/>
        <w:textAlignment w:val="baseline"/>
        <w:rPr>
          <w:rFonts w:eastAsia="Century Gothic" w:cstheme="minorHAnsi"/>
        </w:rPr>
      </w:pPr>
      <w:r>
        <w:rPr>
          <w:rFonts w:eastAsia="Century Gothic" w:cstheme="minorHAnsi"/>
        </w:rPr>
        <w:t>Number and p</w:t>
      </w:r>
      <w:r w:rsidR="00532D15" w:rsidRPr="00C017CB">
        <w:rPr>
          <w:rFonts w:eastAsia="Century Gothic" w:cstheme="minorHAnsi"/>
        </w:rPr>
        <w:t>ercent</w:t>
      </w:r>
      <w:r>
        <w:rPr>
          <w:rFonts w:eastAsia="Century Gothic" w:cstheme="minorHAnsi"/>
        </w:rPr>
        <w:t>age</w:t>
      </w:r>
      <w:r w:rsidR="00532D15" w:rsidRPr="00C017CB">
        <w:rPr>
          <w:rFonts w:eastAsia="Century Gothic" w:cstheme="minorHAnsi"/>
        </w:rPr>
        <w:t xml:space="preserve"> of CTE Concentrators who receive a recognized postsecondary credential during participation, or within 1 year of program completion</w:t>
      </w:r>
      <w:r w:rsidR="00322B2A">
        <w:rPr>
          <w:rFonts w:eastAsia="Century Gothic" w:cstheme="minorHAnsi"/>
        </w:rPr>
        <w:t>.</w:t>
      </w:r>
    </w:p>
    <w:p w14:paraId="77456271" w14:textId="77777777" w:rsidR="00532D15" w:rsidRPr="00C017CB" w:rsidRDefault="00532D15" w:rsidP="00BD1162">
      <w:pPr>
        <w:kinsoku w:val="0"/>
        <w:overflowPunct w:val="0"/>
        <w:spacing w:line="240" w:lineRule="auto"/>
        <w:textAlignment w:val="baseline"/>
        <w:rPr>
          <w:rFonts w:eastAsia="Times New Roman" w:cstheme="minorHAnsi"/>
        </w:rPr>
      </w:pPr>
    </w:p>
    <w:p w14:paraId="3BDE6FC7" w14:textId="77777777" w:rsidR="00532D15" w:rsidRPr="00C017CB" w:rsidRDefault="00472652" w:rsidP="00C017CB">
      <w:pPr>
        <w:kinsoku w:val="0"/>
        <w:overflowPunct w:val="0"/>
        <w:spacing w:line="240" w:lineRule="auto"/>
        <w:contextualSpacing/>
        <w:textAlignment w:val="baseline"/>
        <w:rPr>
          <w:rFonts w:eastAsia="Times New Roman" w:cstheme="minorHAnsi"/>
        </w:rPr>
      </w:pPr>
      <w:r>
        <w:rPr>
          <w:rFonts w:eastAsia="Century Gothic" w:cstheme="minorHAnsi"/>
          <w:b/>
          <w:bCs/>
        </w:rPr>
        <w:t>3S1 Non</w:t>
      </w:r>
      <w:r w:rsidR="00532D15" w:rsidRPr="00C017CB">
        <w:rPr>
          <w:rFonts w:eastAsia="Century Gothic" w:cstheme="minorHAnsi"/>
          <w:b/>
          <w:bCs/>
        </w:rPr>
        <w:t>traditional Program Enrollment</w:t>
      </w:r>
    </w:p>
    <w:p w14:paraId="5F730054" w14:textId="77777777" w:rsidR="00C017CB" w:rsidRPr="00C017CB" w:rsidRDefault="00DE53EA" w:rsidP="00C017CB">
      <w:pPr>
        <w:kinsoku w:val="0"/>
        <w:overflowPunct w:val="0"/>
        <w:spacing w:line="240" w:lineRule="auto"/>
        <w:textAlignment w:val="baseline"/>
        <w:rPr>
          <w:rFonts w:eastAsia="Century Gothic" w:cstheme="minorHAnsi"/>
        </w:rPr>
      </w:pPr>
      <w:r>
        <w:rPr>
          <w:rFonts w:eastAsia="Century Gothic" w:cstheme="minorHAnsi"/>
        </w:rPr>
        <w:t>Number and p</w:t>
      </w:r>
      <w:r w:rsidR="00532D15" w:rsidRPr="00C017CB">
        <w:rPr>
          <w:rFonts w:eastAsia="Century Gothic" w:cstheme="minorHAnsi"/>
        </w:rPr>
        <w:t>ercent</w:t>
      </w:r>
      <w:r>
        <w:rPr>
          <w:rFonts w:eastAsia="Century Gothic" w:cstheme="minorHAnsi"/>
        </w:rPr>
        <w:t>age</w:t>
      </w:r>
      <w:r w:rsidR="00532D15" w:rsidRPr="00C017CB">
        <w:rPr>
          <w:rFonts w:eastAsia="Century Gothic" w:cstheme="minorHAnsi"/>
        </w:rPr>
        <w:t xml:space="preserve"> of CTE Concentrators in CTE programs that</w:t>
      </w:r>
      <w:r w:rsidR="00472652">
        <w:rPr>
          <w:rFonts w:eastAsia="Century Gothic" w:cstheme="minorHAnsi"/>
        </w:rPr>
        <w:t xml:space="preserve"> lead to Nont</w:t>
      </w:r>
      <w:r w:rsidR="00C017CB" w:rsidRPr="00C017CB">
        <w:rPr>
          <w:rFonts w:eastAsia="Century Gothic" w:cstheme="minorHAnsi"/>
        </w:rPr>
        <w:t>raditional Field</w:t>
      </w:r>
      <w:r>
        <w:rPr>
          <w:rFonts w:eastAsia="Century Gothic" w:cstheme="minorHAnsi"/>
        </w:rPr>
        <w:t>s</w:t>
      </w:r>
      <w:r w:rsidR="00C017CB" w:rsidRPr="00C017CB">
        <w:rPr>
          <w:rFonts w:eastAsia="Century Gothic" w:cstheme="minorHAnsi"/>
        </w:rPr>
        <w:t xml:space="preserve">. </w:t>
      </w:r>
    </w:p>
    <w:p w14:paraId="59E08AF4" w14:textId="77777777" w:rsidR="00C017CB" w:rsidRPr="00C017CB" w:rsidRDefault="00C017CB" w:rsidP="00C017CB">
      <w:pPr>
        <w:kinsoku w:val="0"/>
        <w:overflowPunct w:val="0"/>
        <w:spacing w:line="240" w:lineRule="auto"/>
        <w:textAlignment w:val="baseline"/>
        <w:rPr>
          <w:rFonts w:eastAsia="Century Gothic" w:cstheme="minorHAnsi"/>
          <w:color w:val="003366"/>
        </w:rPr>
      </w:pPr>
      <w:r w:rsidRPr="00C017CB">
        <w:rPr>
          <w:rFonts w:cstheme="minorHAnsi"/>
        </w:rPr>
        <w:t xml:space="preserve">The term nontraditional field is defined as a career for which individuals from one gender comprise less than 25 percent of the individuals employed in the career. Under Perkins V, Massachusetts will use lists of nontraditional careers produced by the </w:t>
      </w:r>
      <w:r w:rsidRPr="00BD1162">
        <w:rPr>
          <w:rFonts w:cstheme="minorHAnsi"/>
        </w:rPr>
        <w:t xml:space="preserve">National Alliance for Partnerships Equity (NAPE) and the Massachusetts Supplement to the NAPE Nontraditional by Gender Lists.  The lists and supplement are available on the Massachusetts Department of Elementary and Secondary Education - Career/Vocational Technical Education website </w:t>
      </w:r>
      <w:hyperlink r:id="rId13" w:history="1">
        <w:r w:rsidRPr="00BD1162">
          <w:rPr>
            <w:rStyle w:val="Hyperlink"/>
            <w:rFonts w:cstheme="minorHAnsi"/>
          </w:rPr>
          <w:t>http://www.doe.mass.edu/cte/ntbg/.</w:t>
        </w:r>
      </w:hyperlink>
    </w:p>
    <w:p w14:paraId="163F96D3" w14:textId="77777777" w:rsidR="00C017CB" w:rsidRPr="00BD1162" w:rsidRDefault="00C017CB" w:rsidP="00BD1162">
      <w:pPr>
        <w:kinsoku w:val="0"/>
        <w:overflowPunct w:val="0"/>
        <w:spacing w:line="240" w:lineRule="auto"/>
        <w:textAlignment w:val="baseline"/>
        <w:rPr>
          <w:rFonts w:eastAsia="Times New Roman" w:cstheme="minorHAnsi"/>
        </w:rPr>
      </w:pPr>
    </w:p>
    <w:p w14:paraId="2089CA83" w14:textId="77777777" w:rsidR="00532D15" w:rsidRPr="00BD1162" w:rsidRDefault="00532D15" w:rsidP="00BD1162">
      <w:pPr>
        <w:spacing w:line="240" w:lineRule="auto"/>
        <w:rPr>
          <w:rFonts w:cstheme="minorHAnsi"/>
          <w:b/>
        </w:rPr>
      </w:pPr>
    </w:p>
    <w:p w14:paraId="612ABD5C" w14:textId="77777777" w:rsidR="004C2D40" w:rsidRPr="00BD1162" w:rsidRDefault="004C2D40" w:rsidP="00BD1162">
      <w:pPr>
        <w:spacing w:line="240" w:lineRule="auto"/>
        <w:rPr>
          <w:rFonts w:cstheme="minorHAnsi"/>
        </w:rPr>
      </w:pPr>
    </w:p>
    <w:p w14:paraId="3FAF4DFC" w14:textId="77777777" w:rsidR="00532D15" w:rsidRPr="00BD1162" w:rsidRDefault="00532D15" w:rsidP="00BD1162">
      <w:pPr>
        <w:spacing w:line="240" w:lineRule="auto"/>
        <w:jc w:val="center"/>
        <w:rPr>
          <w:rFonts w:cstheme="minorHAnsi"/>
        </w:rPr>
      </w:pPr>
    </w:p>
    <w:sectPr w:rsidR="00532D15" w:rsidRPr="00BD1162">
      <w:headerReference w:type="even" r:id="rId14"/>
      <w:head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C7389" w14:textId="77777777" w:rsidR="002054BB" w:rsidRDefault="002054BB" w:rsidP="00296B51">
      <w:pPr>
        <w:spacing w:after="0" w:line="240" w:lineRule="auto"/>
      </w:pPr>
      <w:r>
        <w:separator/>
      </w:r>
    </w:p>
  </w:endnote>
  <w:endnote w:type="continuationSeparator" w:id="0">
    <w:p w14:paraId="3D7059F5" w14:textId="77777777" w:rsidR="002054BB" w:rsidRDefault="002054BB" w:rsidP="0029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7FAC6" w14:textId="77777777" w:rsidR="002054BB" w:rsidRDefault="002054BB" w:rsidP="00296B51">
      <w:pPr>
        <w:spacing w:after="0" w:line="240" w:lineRule="auto"/>
      </w:pPr>
      <w:r>
        <w:separator/>
      </w:r>
    </w:p>
  </w:footnote>
  <w:footnote w:type="continuationSeparator" w:id="0">
    <w:p w14:paraId="44BB20DA" w14:textId="77777777" w:rsidR="002054BB" w:rsidRDefault="002054BB" w:rsidP="00296B51">
      <w:pPr>
        <w:spacing w:after="0" w:line="240" w:lineRule="auto"/>
      </w:pPr>
      <w:r>
        <w:continuationSeparator/>
      </w:r>
    </w:p>
  </w:footnote>
  <w:footnote w:id="1">
    <w:p w14:paraId="3B234FA0" w14:textId="77777777" w:rsidR="00170925" w:rsidRPr="005B3CC5" w:rsidRDefault="00170925">
      <w:pPr>
        <w:pStyle w:val="FootnoteText"/>
      </w:pPr>
      <w:r w:rsidRPr="005B3CC5">
        <w:rPr>
          <w:rStyle w:val="FootnoteReference"/>
        </w:rPr>
        <w:footnoteRef/>
      </w:r>
      <w:r w:rsidRPr="005B3CC5">
        <w:t xml:space="preserve"> Unanticipated circumstances</w:t>
      </w:r>
      <w:r w:rsidR="00472652">
        <w:t xml:space="preserve"> in 2S indicators </w:t>
      </w:r>
      <w:r w:rsidR="005B3CC5" w:rsidRPr="005B3CC5">
        <w:t>due to shifts from legacy to next gen</w:t>
      </w:r>
      <w:r w:rsidR="00D049A6">
        <w:t xml:space="preserve"> MCAS.</w:t>
      </w:r>
    </w:p>
  </w:footnote>
  <w:footnote w:id="2">
    <w:p w14:paraId="54B27714" w14:textId="77777777" w:rsidR="00A3690C" w:rsidRDefault="00A3690C" w:rsidP="00A3690C">
      <w:pPr>
        <w:spacing w:after="0" w:line="240" w:lineRule="auto"/>
      </w:pPr>
      <w:r w:rsidRPr="005B3CC5">
        <w:rPr>
          <w:rStyle w:val="FootnoteReference"/>
          <w:sz w:val="20"/>
          <w:szCs w:val="20"/>
        </w:rPr>
        <w:footnoteRef/>
      </w:r>
      <w:r w:rsidRPr="005B3CC5">
        <w:rPr>
          <w:sz w:val="20"/>
          <w:szCs w:val="20"/>
        </w:rPr>
        <w:t xml:space="preserve"> Member of a service program that receives funding under title 1 of the National and Community Service Act of </w:t>
      </w:r>
      <w:r w:rsidRPr="005B3CC5">
        <w:rPr>
          <w:rFonts w:eastAsia="Times New Roman" w:cstheme="minorHAnsi"/>
          <w:color w:val="000000"/>
          <w:sz w:val="20"/>
          <w:szCs w:val="20"/>
        </w:rPr>
        <w:t>Act of 1990 (42 U.S.C. 12511 et seq.) or volunteers as described in section 5(a) of the Peace Corps Act (22 U.S.C. 2504(a)).</w:t>
      </w:r>
    </w:p>
  </w:footnote>
  <w:footnote w:id="3">
    <w:p w14:paraId="5D8F1ED1" w14:textId="77777777" w:rsidR="00A3690C" w:rsidRDefault="00A3690C" w:rsidP="00A3690C">
      <w:pPr>
        <w:spacing w:after="0" w:line="240" w:lineRule="auto"/>
      </w:pPr>
      <w:r>
        <w:rPr>
          <w:rStyle w:val="FootnoteReference"/>
        </w:rPr>
        <w:footnoteRef/>
      </w:r>
      <w:r>
        <w:t xml:space="preserve"> Member of a </w:t>
      </w:r>
      <w:r w:rsidRPr="00A3690C">
        <w:t xml:space="preserve">service program that receives funding under title 1 of the National and Community Service Act of </w:t>
      </w:r>
      <w:r w:rsidRPr="00A3690C">
        <w:rPr>
          <w:rFonts w:eastAsia="Times New Roman" w:cstheme="minorHAnsi"/>
          <w:color w:val="000000"/>
        </w:rPr>
        <w:t>Act of 1990 (42 U.S.C. 12511 et seq.) or volunteers as described in section 5(a) of the Peace Corps Act (22 U.S.C. 2504(a)).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EB852" w14:textId="3C8F6615" w:rsidR="00296B51" w:rsidRDefault="00296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B055" w14:textId="644C18B5" w:rsidR="00296B51" w:rsidRDefault="00296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FBC79" w14:textId="34EE7F1E" w:rsidR="00296B51" w:rsidRDefault="00296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9E6"/>
    <w:multiLevelType w:val="hybridMultilevel"/>
    <w:tmpl w:val="EAF42D4C"/>
    <w:lvl w:ilvl="0" w:tplc="12DCC004">
      <w:start w:val="1"/>
      <w:numFmt w:val="bullet"/>
      <w:lvlText w:val=""/>
      <w:lvlJc w:val="left"/>
      <w:pPr>
        <w:tabs>
          <w:tab w:val="num" w:pos="720"/>
        </w:tabs>
        <w:ind w:left="720" w:hanging="360"/>
      </w:pPr>
      <w:rPr>
        <w:rFonts w:ascii="Wingdings" w:hAnsi="Wingdings" w:hint="default"/>
      </w:rPr>
    </w:lvl>
    <w:lvl w:ilvl="1" w:tplc="D960B1CA" w:tentative="1">
      <w:start w:val="1"/>
      <w:numFmt w:val="bullet"/>
      <w:lvlText w:val=""/>
      <w:lvlJc w:val="left"/>
      <w:pPr>
        <w:tabs>
          <w:tab w:val="num" w:pos="1440"/>
        </w:tabs>
        <w:ind w:left="1440" w:hanging="360"/>
      </w:pPr>
      <w:rPr>
        <w:rFonts w:ascii="Wingdings" w:hAnsi="Wingdings" w:hint="default"/>
      </w:rPr>
    </w:lvl>
    <w:lvl w:ilvl="2" w:tplc="0E1CBA46" w:tentative="1">
      <w:start w:val="1"/>
      <w:numFmt w:val="bullet"/>
      <w:lvlText w:val=""/>
      <w:lvlJc w:val="left"/>
      <w:pPr>
        <w:tabs>
          <w:tab w:val="num" w:pos="2160"/>
        </w:tabs>
        <w:ind w:left="2160" w:hanging="360"/>
      </w:pPr>
      <w:rPr>
        <w:rFonts w:ascii="Wingdings" w:hAnsi="Wingdings" w:hint="default"/>
      </w:rPr>
    </w:lvl>
    <w:lvl w:ilvl="3" w:tplc="C764D760" w:tentative="1">
      <w:start w:val="1"/>
      <w:numFmt w:val="bullet"/>
      <w:lvlText w:val=""/>
      <w:lvlJc w:val="left"/>
      <w:pPr>
        <w:tabs>
          <w:tab w:val="num" w:pos="2880"/>
        </w:tabs>
        <w:ind w:left="2880" w:hanging="360"/>
      </w:pPr>
      <w:rPr>
        <w:rFonts w:ascii="Wingdings" w:hAnsi="Wingdings" w:hint="default"/>
      </w:rPr>
    </w:lvl>
    <w:lvl w:ilvl="4" w:tplc="1B2E25D0" w:tentative="1">
      <w:start w:val="1"/>
      <w:numFmt w:val="bullet"/>
      <w:lvlText w:val=""/>
      <w:lvlJc w:val="left"/>
      <w:pPr>
        <w:tabs>
          <w:tab w:val="num" w:pos="3600"/>
        </w:tabs>
        <w:ind w:left="3600" w:hanging="360"/>
      </w:pPr>
      <w:rPr>
        <w:rFonts w:ascii="Wingdings" w:hAnsi="Wingdings" w:hint="default"/>
      </w:rPr>
    </w:lvl>
    <w:lvl w:ilvl="5" w:tplc="150AA194" w:tentative="1">
      <w:start w:val="1"/>
      <w:numFmt w:val="bullet"/>
      <w:lvlText w:val=""/>
      <w:lvlJc w:val="left"/>
      <w:pPr>
        <w:tabs>
          <w:tab w:val="num" w:pos="4320"/>
        </w:tabs>
        <w:ind w:left="4320" w:hanging="360"/>
      </w:pPr>
      <w:rPr>
        <w:rFonts w:ascii="Wingdings" w:hAnsi="Wingdings" w:hint="default"/>
      </w:rPr>
    </w:lvl>
    <w:lvl w:ilvl="6" w:tplc="2D6C1326" w:tentative="1">
      <w:start w:val="1"/>
      <w:numFmt w:val="bullet"/>
      <w:lvlText w:val=""/>
      <w:lvlJc w:val="left"/>
      <w:pPr>
        <w:tabs>
          <w:tab w:val="num" w:pos="5040"/>
        </w:tabs>
        <w:ind w:left="5040" w:hanging="360"/>
      </w:pPr>
      <w:rPr>
        <w:rFonts w:ascii="Wingdings" w:hAnsi="Wingdings" w:hint="default"/>
      </w:rPr>
    </w:lvl>
    <w:lvl w:ilvl="7" w:tplc="F93C0936" w:tentative="1">
      <w:start w:val="1"/>
      <w:numFmt w:val="bullet"/>
      <w:lvlText w:val=""/>
      <w:lvlJc w:val="left"/>
      <w:pPr>
        <w:tabs>
          <w:tab w:val="num" w:pos="5760"/>
        </w:tabs>
        <w:ind w:left="5760" w:hanging="360"/>
      </w:pPr>
      <w:rPr>
        <w:rFonts w:ascii="Wingdings" w:hAnsi="Wingdings" w:hint="default"/>
      </w:rPr>
    </w:lvl>
    <w:lvl w:ilvl="8" w:tplc="C2F003F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1597C"/>
    <w:multiLevelType w:val="hybridMultilevel"/>
    <w:tmpl w:val="DB643B26"/>
    <w:lvl w:ilvl="0" w:tplc="CC1612AC">
      <w:start w:val="1"/>
      <w:numFmt w:val="decimal"/>
      <w:lvlText w:val="(%1.)"/>
      <w:lvlJc w:val="left"/>
      <w:pPr>
        <w:ind w:left="740" w:hanging="380"/>
      </w:pPr>
      <w:rPr>
        <w:rFonts w:hint="default"/>
      </w:rPr>
    </w:lvl>
    <w:lvl w:ilvl="1" w:tplc="D0EC9BC6">
      <w:start w:val="1"/>
      <w:numFmt w:val="lowerRoman"/>
      <w:lvlText w:val="(%2)"/>
      <w:lvlJc w:val="left"/>
      <w:pPr>
        <w:ind w:left="1440" w:hanging="360"/>
      </w:pPr>
      <w:rPr>
        <w:rFonts w:ascii="Cambria" w:eastAsia="Times New Roman" w:hAnsi="Cambria" w:cs="Times New Roman"/>
      </w:rPr>
    </w:lvl>
    <w:lvl w:ilvl="2" w:tplc="03ECE50A">
      <w:start w:val="1"/>
      <w:numFmt w:val="lowerRoman"/>
      <w:lvlText w:val="(%3)"/>
      <w:lvlJc w:val="left"/>
      <w:pPr>
        <w:ind w:left="2700" w:hanging="720"/>
      </w:pPr>
      <w:rPr>
        <w:rFonts w:hint="default"/>
      </w:rPr>
    </w:lvl>
    <w:lvl w:ilvl="3" w:tplc="B464F68E">
      <w:start w:val="1"/>
      <w:numFmt w:val="lowerRoman"/>
      <w:lvlText w:val="(%4)"/>
      <w:lvlJc w:val="left"/>
      <w:pPr>
        <w:ind w:left="2880" w:hanging="360"/>
      </w:pPr>
      <w:rPr>
        <w:rFonts w:ascii="Cambria" w:eastAsiaTheme="minorHAnsi" w:hAnsi="Cambria"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D5733"/>
    <w:multiLevelType w:val="hybridMultilevel"/>
    <w:tmpl w:val="346690F4"/>
    <w:lvl w:ilvl="0" w:tplc="83D2754C">
      <w:start w:val="1"/>
      <w:numFmt w:val="bullet"/>
      <w:lvlText w:val=""/>
      <w:lvlJc w:val="left"/>
      <w:pPr>
        <w:tabs>
          <w:tab w:val="num" w:pos="720"/>
        </w:tabs>
        <w:ind w:left="720" w:hanging="360"/>
      </w:pPr>
      <w:rPr>
        <w:rFonts w:ascii="Wingdings" w:hAnsi="Wingdings" w:hint="default"/>
      </w:rPr>
    </w:lvl>
    <w:lvl w:ilvl="1" w:tplc="6C4C2072" w:tentative="1">
      <w:start w:val="1"/>
      <w:numFmt w:val="bullet"/>
      <w:lvlText w:val=""/>
      <w:lvlJc w:val="left"/>
      <w:pPr>
        <w:tabs>
          <w:tab w:val="num" w:pos="1440"/>
        </w:tabs>
        <w:ind w:left="1440" w:hanging="360"/>
      </w:pPr>
      <w:rPr>
        <w:rFonts w:ascii="Wingdings" w:hAnsi="Wingdings" w:hint="default"/>
      </w:rPr>
    </w:lvl>
    <w:lvl w:ilvl="2" w:tplc="3746EAEE" w:tentative="1">
      <w:start w:val="1"/>
      <w:numFmt w:val="bullet"/>
      <w:lvlText w:val=""/>
      <w:lvlJc w:val="left"/>
      <w:pPr>
        <w:tabs>
          <w:tab w:val="num" w:pos="2160"/>
        </w:tabs>
        <w:ind w:left="2160" w:hanging="360"/>
      </w:pPr>
      <w:rPr>
        <w:rFonts w:ascii="Wingdings" w:hAnsi="Wingdings" w:hint="default"/>
      </w:rPr>
    </w:lvl>
    <w:lvl w:ilvl="3" w:tplc="615683B2" w:tentative="1">
      <w:start w:val="1"/>
      <w:numFmt w:val="bullet"/>
      <w:lvlText w:val=""/>
      <w:lvlJc w:val="left"/>
      <w:pPr>
        <w:tabs>
          <w:tab w:val="num" w:pos="2880"/>
        </w:tabs>
        <w:ind w:left="2880" w:hanging="360"/>
      </w:pPr>
      <w:rPr>
        <w:rFonts w:ascii="Wingdings" w:hAnsi="Wingdings" w:hint="default"/>
      </w:rPr>
    </w:lvl>
    <w:lvl w:ilvl="4" w:tplc="C5E0CB62" w:tentative="1">
      <w:start w:val="1"/>
      <w:numFmt w:val="bullet"/>
      <w:lvlText w:val=""/>
      <w:lvlJc w:val="left"/>
      <w:pPr>
        <w:tabs>
          <w:tab w:val="num" w:pos="3600"/>
        </w:tabs>
        <w:ind w:left="3600" w:hanging="360"/>
      </w:pPr>
      <w:rPr>
        <w:rFonts w:ascii="Wingdings" w:hAnsi="Wingdings" w:hint="default"/>
      </w:rPr>
    </w:lvl>
    <w:lvl w:ilvl="5" w:tplc="F1EA5582" w:tentative="1">
      <w:start w:val="1"/>
      <w:numFmt w:val="bullet"/>
      <w:lvlText w:val=""/>
      <w:lvlJc w:val="left"/>
      <w:pPr>
        <w:tabs>
          <w:tab w:val="num" w:pos="4320"/>
        </w:tabs>
        <w:ind w:left="4320" w:hanging="360"/>
      </w:pPr>
      <w:rPr>
        <w:rFonts w:ascii="Wingdings" w:hAnsi="Wingdings" w:hint="default"/>
      </w:rPr>
    </w:lvl>
    <w:lvl w:ilvl="6" w:tplc="E40A0598" w:tentative="1">
      <w:start w:val="1"/>
      <w:numFmt w:val="bullet"/>
      <w:lvlText w:val=""/>
      <w:lvlJc w:val="left"/>
      <w:pPr>
        <w:tabs>
          <w:tab w:val="num" w:pos="5040"/>
        </w:tabs>
        <w:ind w:left="5040" w:hanging="360"/>
      </w:pPr>
      <w:rPr>
        <w:rFonts w:ascii="Wingdings" w:hAnsi="Wingdings" w:hint="default"/>
      </w:rPr>
    </w:lvl>
    <w:lvl w:ilvl="7" w:tplc="FF8896B0" w:tentative="1">
      <w:start w:val="1"/>
      <w:numFmt w:val="bullet"/>
      <w:lvlText w:val=""/>
      <w:lvlJc w:val="left"/>
      <w:pPr>
        <w:tabs>
          <w:tab w:val="num" w:pos="5760"/>
        </w:tabs>
        <w:ind w:left="5760" w:hanging="360"/>
      </w:pPr>
      <w:rPr>
        <w:rFonts w:ascii="Wingdings" w:hAnsi="Wingdings" w:hint="default"/>
      </w:rPr>
    </w:lvl>
    <w:lvl w:ilvl="8" w:tplc="605899E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474181"/>
    <w:multiLevelType w:val="hybridMultilevel"/>
    <w:tmpl w:val="F9CEE70A"/>
    <w:lvl w:ilvl="0" w:tplc="2ABCD9E2">
      <w:start w:val="1"/>
      <w:numFmt w:val="lowerRoman"/>
      <w:lvlText w:val="(%1)"/>
      <w:lvlJc w:val="left"/>
      <w:pPr>
        <w:ind w:left="1854" w:hanging="72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397EE4"/>
    <w:multiLevelType w:val="hybridMultilevel"/>
    <w:tmpl w:val="A5148926"/>
    <w:lvl w:ilvl="0" w:tplc="EF02AD5C">
      <w:start w:val="1"/>
      <w:numFmt w:val="bullet"/>
      <w:lvlText w:val=""/>
      <w:lvlJc w:val="left"/>
      <w:pPr>
        <w:tabs>
          <w:tab w:val="num" w:pos="720"/>
        </w:tabs>
        <w:ind w:left="720" w:hanging="360"/>
      </w:pPr>
      <w:rPr>
        <w:rFonts w:ascii="Wingdings" w:hAnsi="Wingdings" w:hint="default"/>
      </w:rPr>
    </w:lvl>
    <w:lvl w:ilvl="1" w:tplc="2EA02954" w:tentative="1">
      <w:start w:val="1"/>
      <w:numFmt w:val="bullet"/>
      <w:lvlText w:val=""/>
      <w:lvlJc w:val="left"/>
      <w:pPr>
        <w:tabs>
          <w:tab w:val="num" w:pos="1440"/>
        </w:tabs>
        <w:ind w:left="1440" w:hanging="360"/>
      </w:pPr>
      <w:rPr>
        <w:rFonts w:ascii="Wingdings" w:hAnsi="Wingdings" w:hint="default"/>
      </w:rPr>
    </w:lvl>
    <w:lvl w:ilvl="2" w:tplc="E42AB752" w:tentative="1">
      <w:start w:val="1"/>
      <w:numFmt w:val="bullet"/>
      <w:lvlText w:val=""/>
      <w:lvlJc w:val="left"/>
      <w:pPr>
        <w:tabs>
          <w:tab w:val="num" w:pos="2160"/>
        </w:tabs>
        <w:ind w:left="2160" w:hanging="360"/>
      </w:pPr>
      <w:rPr>
        <w:rFonts w:ascii="Wingdings" w:hAnsi="Wingdings" w:hint="default"/>
      </w:rPr>
    </w:lvl>
    <w:lvl w:ilvl="3" w:tplc="3216BE9E" w:tentative="1">
      <w:start w:val="1"/>
      <w:numFmt w:val="bullet"/>
      <w:lvlText w:val=""/>
      <w:lvlJc w:val="left"/>
      <w:pPr>
        <w:tabs>
          <w:tab w:val="num" w:pos="2880"/>
        </w:tabs>
        <w:ind w:left="2880" w:hanging="360"/>
      </w:pPr>
      <w:rPr>
        <w:rFonts w:ascii="Wingdings" w:hAnsi="Wingdings" w:hint="default"/>
      </w:rPr>
    </w:lvl>
    <w:lvl w:ilvl="4" w:tplc="3938A490" w:tentative="1">
      <w:start w:val="1"/>
      <w:numFmt w:val="bullet"/>
      <w:lvlText w:val=""/>
      <w:lvlJc w:val="left"/>
      <w:pPr>
        <w:tabs>
          <w:tab w:val="num" w:pos="3600"/>
        </w:tabs>
        <w:ind w:left="3600" w:hanging="360"/>
      </w:pPr>
      <w:rPr>
        <w:rFonts w:ascii="Wingdings" w:hAnsi="Wingdings" w:hint="default"/>
      </w:rPr>
    </w:lvl>
    <w:lvl w:ilvl="5" w:tplc="C930AF0A" w:tentative="1">
      <w:start w:val="1"/>
      <w:numFmt w:val="bullet"/>
      <w:lvlText w:val=""/>
      <w:lvlJc w:val="left"/>
      <w:pPr>
        <w:tabs>
          <w:tab w:val="num" w:pos="4320"/>
        </w:tabs>
        <w:ind w:left="4320" w:hanging="360"/>
      </w:pPr>
      <w:rPr>
        <w:rFonts w:ascii="Wingdings" w:hAnsi="Wingdings" w:hint="default"/>
      </w:rPr>
    </w:lvl>
    <w:lvl w:ilvl="6" w:tplc="B71C5CB0" w:tentative="1">
      <w:start w:val="1"/>
      <w:numFmt w:val="bullet"/>
      <w:lvlText w:val=""/>
      <w:lvlJc w:val="left"/>
      <w:pPr>
        <w:tabs>
          <w:tab w:val="num" w:pos="5040"/>
        </w:tabs>
        <w:ind w:left="5040" w:hanging="360"/>
      </w:pPr>
      <w:rPr>
        <w:rFonts w:ascii="Wingdings" w:hAnsi="Wingdings" w:hint="default"/>
      </w:rPr>
    </w:lvl>
    <w:lvl w:ilvl="7" w:tplc="637270CE" w:tentative="1">
      <w:start w:val="1"/>
      <w:numFmt w:val="bullet"/>
      <w:lvlText w:val=""/>
      <w:lvlJc w:val="left"/>
      <w:pPr>
        <w:tabs>
          <w:tab w:val="num" w:pos="5760"/>
        </w:tabs>
        <w:ind w:left="5760" w:hanging="360"/>
      </w:pPr>
      <w:rPr>
        <w:rFonts w:ascii="Wingdings" w:hAnsi="Wingdings" w:hint="default"/>
      </w:rPr>
    </w:lvl>
    <w:lvl w:ilvl="8" w:tplc="0710386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183"/>
    <w:rsid w:val="000466C3"/>
    <w:rsid w:val="00095C1E"/>
    <w:rsid w:val="00156BAE"/>
    <w:rsid w:val="00170925"/>
    <w:rsid w:val="001B3B04"/>
    <w:rsid w:val="001F6334"/>
    <w:rsid w:val="002054BB"/>
    <w:rsid w:val="00237FB1"/>
    <w:rsid w:val="00242B7B"/>
    <w:rsid w:val="002462E8"/>
    <w:rsid w:val="00255ABC"/>
    <w:rsid w:val="00296B51"/>
    <w:rsid w:val="002A1D71"/>
    <w:rsid w:val="002A7B52"/>
    <w:rsid w:val="003036F5"/>
    <w:rsid w:val="00322B2A"/>
    <w:rsid w:val="00355AEA"/>
    <w:rsid w:val="00425DD2"/>
    <w:rsid w:val="00472652"/>
    <w:rsid w:val="0048275D"/>
    <w:rsid w:val="00483D95"/>
    <w:rsid w:val="00490183"/>
    <w:rsid w:val="004A43E6"/>
    <w:rsid w:val="004C2D40"/>
    <w:rsid w:val="00516DDA"/>
    <w:rsid w:val="00532D15"/>
    <w:rsid w:val="005B3CC5"/>
    <w:rsid w:val="006603F2"/>
    <w:rsid w:val="00764092"/>
    <w:rsid w:val="007A309E"/>
    <w:rsid w:val="00816A9F"/>
    <w:rsid w:val="008A5C5C"/>
    <w:rsid w:val="00900C3B"/>
    <w:rsid w:val="00954438"/>
    <w:rsid w:val="009B3B53"/>
    <w:rsid w:val="00A3690C"/>
    <w:rsid w:val="00A454F2"/>
    <w:rsid w:val="00A5185A"/>
    <w:rsid w:val="00B14E33"/>
    <w:rsid w:val="00B607C1"/>
    <w:rsid w:val="00B71D46"/>
    <w:rsid w:val="00BD1162"/>
    <w:rsid w:val="00C017CB"/>
    <w:rsid w:val="00C1466D"/>
    <w:rsid w:val="00D049A6"/>
    <w:rsid w:val="00DE53EA"/>
    <w:rsid w:val="00DF0F45"/>
    <w:rsid w:val="00E452EA"/>
    <w:rsid w:val="00EF7D43"/>
    <w:rsid w:val="00FC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F8520"/>
  <w15:chartTrackingRefBased/>
  <w15:docId w15:val="{2315B934-8B5D-4454-8E2C-15C298A9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816A9F"/>
    <w:pPr>
      <w:spacing w:after="120"/>
    </w:pPr>
  </w:style>
  <w:style w:type="character" w:customStyle="1" w:styleId="BodyTextChar">
    <w:name w:val="Body Text Char"/>
    <w:basedOn w:val="DefaultParagraphFont"/>
    <w:link w:val="BodyText"/>
    <w:uiPriority w:val="99"/>
    <w:rsid w:val="00816A9F"/>
  </w:style>
  <w:style w:type="character" w:styleId="Hyperlink">
    <w:name w:val="Hyperlink"/>
    <w:basedOn w:val="DefaultParagraphFont"/>
    <w:rsid w:val="00816A9F"/>
    <w:rPr>
      <w:color w:val="0000FF"/>
      <w:u w:val="single"/>
    </w:rPr>
  </w:style>
  <w:style w:type="character" w:styleId="FollowedHyperlink">
    <w:name w:val="FollowedHyperlink"/>
    <w:basedOn w:val="DefaultParagraphFont"/>
    <w:uiPriority w:val="99"/>
    <w:semiHidden/>
    <w:unhideWhenUsed/>
    <w:rsid w:val="00816A9F"/>
    <w:rPr>
      <w:color w:val="954F72" w:themeColor="followedHyperlink"/>
      <w:u w:val="single"/>
    </w:rPr>
  </w:style>
  <w:style w:type="character" w:styleId="CommentReference">
    <w:name w:val="annotation reference"/>
    <w:basedOn w:val="DefaultParagraphFont"/>
    <w:uiPriority w:val="99"/>
    <w:semiHidden/>
    <w:unhideWhenUsed/>
    <w:rsid w:val="00B607C1"/>
    <w:rPr>
      <w:sz w:val="16"/>
      <w:szCs w:val="16"/>
    </w:rPr>
  </w:style>
  <w:style w:type="paragraph" w:styleId="CommentText">
    <w:name w:val="annotation text"/>
    <w:basedOn w:val="Normal"/>
    <w:link w:val="CommentTextChar"/>
    <w:uiPriority w:val="99"/>
    <w:semiHidden/>
    <w:unhideWhenUsed/>
    <w:rsid w:val="00B607C1"/>
    <w:pPr>
      <w:spacing w:line="240" w:lineRule="auto"/>
    </w:pPr>
    <w:rPr>
      <w:sz w:val="20"/>
      <w:szCs w:val="20"/>
    </w:rPr>
  </w:style>
  <w:style w:type="character" w:customStyle="1" w:styleId="CommentTextChar">
    <w:name w:val="Comment Text Char"/>
    <w:basedOn w:val="DefaultParagraphFont"/>
    <w:link w:val="CommentText"/>
    <w:uiPriority w:val="99"/>
    <w:semiHidden/>
    <w:rsid w:val="00B607C1"/>
    <w:rPr>
      <w:sz w:val="20"/>
      <w:szCs w:val="20"/>
    </w:rPr>
  </w:style>
  <w:style w:type="paragraph" w:styleId="CommentSubject">
    <w:name w:val="annotation subject"/>
    <w:basedOn w:val="CommentText"/>
    <w:next w:val="CommentText"/>
    <w:link w:val="CommentSubjectChar"/>
    <w:uiPriority w:val="99"/>
    <w:semiHidden/>
    <w:unhideWhenUsed/>
    <w:rsid w:val="00B607C1"/>
    <w:rPr>
      <w:b/>
      <w:bCs/>
    </w:rPr>
  </w:style>
  <w:style w:type="character" w:customStyle="1" w:styleId="CommentSubjectChar">
    <w:name w:val="Comment Subject Char"/>
    <w:basedOn w:val="CommentTextChar"/>
    <w:link w:val="CommentSubject"/>
    <w:uiPriority w:val="99"/>
    <w:semiHidden/>
    <w:rsid w:val="00B607C1"/>
    <w:rPr>
      <w:b/>
      <w:bCs/>
      <w:sz w:val="20"/>
      <w:szCs w:val="20"/>
    </w:rPr>
  </w:style>
  <w:style w:type="paragraph" w:styleId="BalloonText">
    <w:name w:val="Balloon Text"/>
    <w:basedOn w:val="Normal"/>
    <w:link w:val="BalloonTextChar"/>
    <w:uiPriority w:val="99"/>
    <w:semiHidden/>
    <w:unhideWhenUsed/>
    <w:rsid w:val="00B60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7C1"/>
    <w:rPr>
      <w:rFonts w:ascii="Segoe UI" w:hAnsi="Segoe UI" w:cs="Segoe UI"/>
      <w:sz w:val="18"/>
      <w:szCs w:val="18"/>
    </w:rPr>
  </w:style>
  <w:style w:type="paragraph" w:styleId="ListParagraph">
    <w:name w:val="List Paragraph"/>
    <w:basedOn w:val="Normal"/>
    <w:uiPriority w:val="34"/>
    <w:qFormat/>
    <w:rsid w:val="004C2D40"/>
    <w:pPr>
      <w:ind w:left="720"/>
      <w:contextualSpacing/>
    </w:pPr>
    <w:rPr>
      <w:rFonts w:ascii="Cambria" w:hAnsi="Cambria"/>
    </w:rPr>
  </w:style>
  <w:style w:type="paragraph" w:styleId="Header">
    <w:name w:val="header"/>
    <w:basedOn w:val="Normal"/>
    <w:link w:val="HeaderChar"/>
    <w:uiPriority w:val="99"/>
    <w:unhideWhenUsed/>
    <w:rsid w:val="00296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B51"/>
  </w:style>
  <w:style w:type="paragraph" w:styleId="Footer">
    <w:name w:val="footer"/>
    <w:basedOn w:val="Normal"/>
    <w:link w:val="FooterChar"/>
    <w:uiPriority w:val="99"/>
    <w:unhideWhenUsed/>
    <w:rsid w:val="00296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B51"/>
  </w:style>
  <w:style w:type="paragraph" w:styleId="FootnoteText">
    <w:name w:val="footnote text"/>
    <w:basedOn w:val="Normal"/>
    <w:link w:val="FootnoteTextChar"/>
    <w:uiPriority w:val="99"/>
    <w:semiHidden/>
    <w:unhideWhenUsed/>
    <w:rsid w:val="00A369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90C"/>
    <w:rPr>
      <w:sz w:val="20"/>
      <w:szCs w:val="20"/>
    </w:rPr>
  </w:style>
  <w:style w:type="character" w:styleId="FootnoteReference">
    <w:name w:val="footnote reference"/>
    <w:basedOn w:val="DefaultParagraphFont"/>
    <w:uiPriority w:val="99"/>
    <w:semiHidden/>
    <w:unhideWhenUsed/>
    <w:rsid w:val="00A369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689935">
      <w:bodyDiv w:val="1"/>
      <w:marLeft w:val="0"/>
      <w:marRight w:val="0"/>
      <w:marTop w:val="0"/>
      <w:marBottom w:val="0"/>
      <w:divBdr>
        <w:top w:val="none" w:sz="0" w:space="0" w:color="auto"/>
        <w:left w:val="none" w:sz="0" w:space="0" w:color="auto"/>
        <w:bottom w:val="none" w:sz="0" w:space="0" w:color="auto"/>
        <w:right w:val="none" w:sz="0" w:space="0" w:color="auto"/>
      </w:divBdr>
      <w:divsChild>
        <w:div w:id="208303748">
          <w:marLeft w:val="605"/>
          <w:marRight w:val="0"/>
          <w:marTop w:val="0"/>
          <w:marBottom w:val="240"/>
          <w:divBdr>
            <w:top w:val="none" w:sz="0" w:space="0" w:color="auto"/>
            <w:left w:val="none" w:sz="0" w:space="0" w:color="auto"/>
            <w:bottom w:val="none" w:sz="0" w:space="0" w:color="auto"/>
            <w:right w:val="none" w:sz="0" w:space="0" w:color="auto"/>
          </w:divBdr>
        </w:div>
        <w:div w:id="1858292">
          <w:marLeft w:val="605"/>
          <w:marRight w:val="0"/>
          <w:marTop w:val="0"/>
          <w:marBottom w:val="240"/>
          <w:divBdr>
            <w:top w:val="none" w:sz="0" w:space="0" w:color="auto"/>
            <w:left w:val="none" w:sz="0" w:space="0" w:color="auto"/>
            <w:bottom w:val="none" w:sz="0" w:space="0" w:color="auto"/>
            <w:right w:val="none" w:sz="0" w:space="0" w:color="auto"/>
          </w:divBdr>
        </w:div>
        <w:div w:id="546994643">
          <w:marLeft w:val="605"/>
          <w:marRight w:val="0"/>
          <w:marTop w:val="0"/>
          <w:marBottom w:val="240"/>
          <w:divBdr>
            <w:top w:val="none" w:sz="0" w:space="0" w:color="auto"/>
            <w:left w:val="none" w:sz="0" w:space="0" w:color="auto"/>
            <w:bottom w:val="none" w:sz="0" w:space="0" w:color="auto"/>
            <w:right w:val="none" w:sz="0" w:space="0" w:color="auto"/>
          </w:divBdr>
        </w:div>
        <w:div w:id="1997761079">
          <w:marLeft w:val="605"/>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te/ntb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cte/ntb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DESE-231-59596</_dlc_DocId>
    <_dlc_DocIdUrl xmlns="733efe1c-5bbe-4968-87dc-d400e65c879f">
      <Url>https://sharepoint.doemass.org/ese/webteam/cps/_layouts/DocIdRedir.aspx?ID=DESE-231-59596</Url>
      <Description>DESE-231-59596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A9DB4-663A-4E81-994C-8126C2BE4130}">
  <ds:schemaRefs>
    <ds:schemaRef ds:uri="http://schemas.microsoft.com/sharepoint/v3/contenttype/forms"/>
  </ds:schemaRefs>
</ds:datastoreItem>
</file>

<file path=customXml/itemProps2.xml><?xml version="1.0" encoding="utf-8"?>
<ds:datastoreItem xmlns:ds="http://schemas.openxmlformats.org/officeDocument/2006/customXml" ds:itemID="{DD3B6CDF-040E-4616-A4D1-D345B71B6A0F}">
  <ds:schemaRefs>
    <ds:schemaRef ds:uri="http://schemas.microsoft.com/sharepoint/events"/>
  </ds:schemaRefs>
</ds:datastoreItem>
</file>

<file path=customXml/itemProps3.xml><?xml version="1.0" encoding="utf-8"?>
<ds:datastoreItem xmlns:ds="http://schemas.openxmlformats.org/officeDocument/2006/customXml" ds:itemID="{2385B015-8FAF-44ED-BCC1-D83ECFE26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DC9A38-EA2B-4945-BD6A-C66DA14DA60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FDEA84E-D746-4DDC-9926-DD259AA7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1323</Words>
  <Characters>7943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Perkins Indicator for Info Sessions</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Perkins Indicator for Info Sessions</dc:title>
  <dc:subject>Perkins Indicator for Info Sessions</dc:subject>
  <dc:creator>Fuentes, Nyal (DESE)</dc:creator>
  <cp:keywords/>
  <dc:description/>
  <cp:lastModifiedBy>O'Brien-Driscoll, Courtney (EOE)</cp:lastModifiedBy>
  <cp:revision>4</cp:revision>
  <cp:lastPrinted>2019-10-11T15:40:00Z</cp:lastPrinted>
  <dcterms:created xsi:type="dcterms:W3CDTF">2020-04-06T13:55:00Z</dcterms:created>
  <dcterms:modified xsi:type="dcterms:W3CDTF">2020-04-06T17:30:00Z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73586332-00de-4285-aee7-121b4f3e1704</vt:lpwstr>
  </property>
  <property fmtid="{D5CDD505-2E9C-101B-9397-08002B2CF9AE}" pid="4" name="metadate">
    <vt:lpwstr>Apr 6 2020</vt:lpwstr>
  </property>
</Properties>
</file>