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0D88F" w14:textId="2C677CDD" w:rsidR="00FD5A1B" w:rsidRPr="004E3FC9" w:rsidRDefault="00601FDF" w:rsidP="00D06960">
      <w:pPr>
        <w:pStyle w:val="Heading2"/>
        <w:jc w:val="center"/>
        <w:rPr>
          <w:caps/>
          <w:smallCaps/>
        </w:rPr>
      </w:pPr>
      <w:bookmarkStart w:id="0" w:name="_Toc461517518"/>
      <w:r w:rsidRPr="004E3FC9">
        <w:t>C</w:t>
      </w:r>
      <w:r w:rsidR="00D06960" w:rsidRPr="004E3FC9">
        <w:t>ore</w:t>
      </w:r>
      <w:r w:rsidRPr="004E3FC9">
        <w:t xml:space="preserve"> </w:t>
      </w:r>
      <w:r w:rsidR="00CF0506" w:rsidRPr="004E3FC9">
        <w:t xml:space="preserve">Perkins Core </w:t>
      </w:r>
      <w:r w:rsidRPr="004E3FC9">
        <w:t>I</w:t>
      </w:r>
      <w:r w:rsidR="00D06960" w:rsidRPr="004E3FC9">
        <w:t>ndicator</w:t>
      </w:r>
      <w:r w:rsidRPr="004E3FC9">
        <w:t xml:space="preserve"> </w:t>
      </w:r>
      <w:r w:rsidR="00E2475C" w:rsidRPr="004E3FC9">
        <w:t>M</w:t>
      </w:r>
      <w:r w:rsidR="00D06960" w:rsidRPr="004E3FC9">
        <w:t xml:space="preserve">easurement </w:t>
      </w:r>
      <w:r w:rsidR="00E2475C" w:rsidRPr="004E3FC9">
        <w:t>D</w:t>
      </w:r>
      <w:r w:rsidR="00D06960" w:rsidRPr="004E3FC9">
        <w:t>efinitions</w:t>
      </w:r>
      <w:r w:rsidR="000131F5" w:rsidRPr="004E3FC9">
        <w:t xml:space="preserve"> </w:t>
      </w:r>
      <w:r w:rsidR="00D06960" w:rsidRPr="004E3FC9">
        <w:t xml:space="preserve">and </w:t>
      </w:r>
      <w:r w:rsidR="000131F5" w:rsidRPr="004E3FC9">
        <w:t>A</w:t>
      </w:r>
      <w:r w:rsidR="00D06960" w:rsidRPr="004E3FC9">
        <w:t>pproaches</w:t>
      </w:r>
      <w:r w:rsidR="008E76AF" w:rsidRPr="004E3FC9">
        <w:t xml:space="preserve"> C</w:t>
      </w:r>
      <w:r w:rsidR="00D06960" w:rsidRPr="004E3FC9">
        <w:t>hart</w:t>
      </w:r>
      <w:bookmarkEnd w:id="0"/>
    </w:p>
    <w:p w14:paraId="0840AA96" w14:textId="05AB5758" w:rsidR="008B7BCF" w:rsidRPr="004E3FC9" w:rsidRDefault="008B7BCF" w:rsidP="00FD5A1B">
      <w:pPr>
        <w:autoSpaceDE w:val="0"/>
        <w:autoSpaceDN w:val="0"/>
        <w:adjustRightInd w:val="0"/>
        <w:rPr>
          <w:rFonts w:ascii="Calibri" w:hAnsi="Calibri"/>
          <w:sz w:val="20"/>
          <w:szCs w:val="20"/>
        </w:rPr>
      </w:pPr>
      <w:r w:rsidRPr="004E3FC9">
        <w:rPr>
          <w:rFonts w:ascii="Calibri" w:hAnsi="Calibri"/>
          <w:sz w:val="20"/>
          <w:szCs w:val="20"/>
        </w:rPr>
        <w:t>Th</w:t>
      </w:r>
      <w:r w:rsidR="00601FDF" w:rsidRPr="004E3FC9">
        <w:rPr>
          <w:rFonts w:ascii="Calibri" w:hAnsi="Calibri"/>
          <w:sz w:val="20"/>
          <w:szCs w:val="20"/>
        </w:rPr>
        <w:t xml:space="preserve">is chart </w:t>
      </w:r>
      <w:r w:rsidR="008B1091" w:rsidRPr="004E3FC9">
        <w:rPr>
          <w:rFonts w:ascii="Calibri" w:hAnsi="Calibri"/>
          <w:sz w:val="20"/>
          <w:szCs w:val="20"/>
        </w:rPr>
        <w:t xml:space="preserve">lists the </w:t>
      </w:r>
      <w:r w:rsidRPr="004E3FC9">
        <w:rPr>
          <w:rFonts w:ascii="Calibri" w:hAnsi="Calibri"/>
          <w:sz w:val="20"/>
          <w:szCs w:val="20"/>
        </w:rPr>
        <w:t>core indicators, defines what each core i</w:t>
      </w:r>
      <w:r w:rsidR="00F23536" w:rsidRPr="004E3FC9">
        <w:rPr>
          <w:rFonts w:ascii="Calibri" w:hAnsi="Calibri"/>
          <w:sz w:val="20"/>
          <w:szCs w:val="20"/>
        </w:rPr>
        <w:t>ndicator measures</w:t>
      </w:r>
      <w:r w:rsidR="00B06C0A" w:rsidRPr="004E3FC9">
        <w:rPr>
          <w:rFonts w:ascii="Calibri" w:hAnsi="Calibri"/>
          <w:sz w:val="20"/>
          <w:szCs w:val="20"/>
        </w:rPr>
        <w:t>,</w:t>
      </w:r>
      <w:r w:rsidR="00F23536" w:rsidRPr="004E3FC9">
        <w:rPr>
          <w:rFonts w:ascii="Calibri" w:hAnsi="Calibri"/>
          <w:sz w:val="20"/>
          <w:szCs w:val="20"/>
        </w:rPr>
        <w:t xml:space="preserve"> and </w:t>
      </w:r>
      <w:r w:rsidR="00601FDF" w:rsidRPr="004E3FC9">
        <w:rPr>
          <w:rFonts w:ascii="Calibri" w:hAnsi="Calibri"/>
          <w:sz w:val="20"/>
          <w:szCs w:val="20"/>
        </w:rPr>
        <w:t>gives</w:t>
      </w:r>
      <w:r w:rsidR="00F23536" w:rsidRPr="004E3FC9">
        <w:rPr>
          <w:rFonts w:ascii="Calibri" w:hAnsi="Calibri"/>
          <w:sz w:val="20"/>
          <w:szCs w:val="20"/>
        </w:rPr>
        <w:t xml:space="preserve"> the </w:t>
      </w:r>
      <w:r w:rsidR="00B06C0A" w:rsidRPr="004E3FC9">
        <w:rPr>
          <w:rFonts w:ascii="Calibri" w:hAnsi="Calibri"/>
          <w:sz w:val="20"/>
          <w:szCs w:val="20"/>
        </w:rPr>
        <w:t xml:space="preserve">measurement approaches that the Massachusetts Department of Elementary and Secondary Education uses to develop Core Indicator </w:t>
      </w:r>
      <w:r w:rsidR="002D2DD2" w:rsidRPr="004E3FC9">
        <w:rPr>
          <w:rFonts w:ascii="Calibri" w:hAnsi="Calibri"/>
          <w:sz w:val="20"/>
          <w:szCs w:val="20"/>
        </w:rPr>
        <w:t>Data Reports for each district.</w:t>
      </w:r>
    </w:p>
    <w:p w14:paraId="194280EB" w14:textId="16591D74" w:rsidR="00CF0506" w:rsidRPr="004E3FC9" w:rsidRDefault="00CF0506">
      <w:pPr>
        <w:spacing w:after="0" w:line="240" w:lineRule="auto"/>
        <w:rPr>
          <w:rFonts w:ascii="Calibri" w:hAnsi="Calibri"/>
          <w:sz w:val="20"/>
          <w:szCs w:val="20"/>
        </w:rPr>
      </w:pP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ppendix B "/>
        <w:tblDescription w:val="Core indicator measurement definitions and approaches chart"/>
      </w:tblPr>
      <w:tblGrid>
        <w:gridCol w:w="1956"/>
        <w:gridCol w:w="5043"/>
        <w:gridCol w:w="6676"/>
      </w:tblGrid>
      <w:tr w:rsidR="00A973CF" w:rsidRPr="004E3FC9" w14:paraId="069F495F" w14:textId="77777777" w:rsidTr="00DF12BE">
        <w:trPr>
          <w:cantSplit/>
          <w:trHeight w:val="440"/>
          <w:tblHeader/>
          <w:jc w:val="center"/>
        </w:trPr>
        <w:tc>
          <w:tcPr>
            <w:tcW w:w="715" w:type="pct"/>
            <w:shd w:val="clear" w:color="auto" w:fill="B8CCE4"/>
            <w:vAlign w:val="center"/>
          </w:tcPr>
          <w:p w14:paraId="6CF4D0E9" w14:textId="77777777" w:rsidR="00CF0506" w:rsidRPr="004E3FC9" w:rsidRDefault="00CF0506" w:rsidP="001511CD">
            <w:pPr>
              <w:spacing w:after="0"/>
              <w:rPr>
                <w:b/>
                <w:bCs/>
              </w:rPr>
            </w:pPr>
            <w:r w:rsidRPr="004E3FC9">
              <w:rPr>
                <w:b/>
                <w:bCs/>
              </w:rPr>
              <w:t>Core Indicator</w:t>
            </w:r>
          </w:p>
        </w:tc>
        <w:tc>
          <w:tcPr>
            <w:tcW w:w="1844" w:type="pct"/>
            <w:shd w:val="clear" w:color="auto" w:fill="B8CCE4"/>
            <w:vAlign w:val="center"/>
          </w:tcPr>
          <w:p w14:paraId="06FF6DAA" w14:textId="77777777" w:rsidR="00CF0506" w:rsidRPr="004E3FC9" w:rsidRDefault="00CF0506" w:rsidP="001511CD">
            <w:pPr>
              <w:spacing w:after="0" w:line="240" w:lineRule="auto"/>
              <w:rPr>
                <w:b/>
                <w:bCs/>
              </w:rPr>
            </w:pPr>
            <w:r w:rsidRPr="004E3FC9">
              <w:rPr>
                <w:b/>
                <w:bCs/>
              </w:rPr>
              <w:t xml:space="preserve">Measurement Definition </w:t>
            </w:r>
          </w:p>
        </w:tc>
        <w:tc>
          <w:tcPr>
            <w:tcW w:w="2441" w:type="pct"/>
            <w:shd w:val="clear" w:color="auto" w:fill="B8CCE4"/>
            <w:vAlign w:val="center"/>
          </w:tcPr>
          <w:p w14:paraId="101EBF58" w14:textId="77777777" w:rsidR="00CF0506" w:rsidRPr="004E3FC9" w:rsidRDefault="00CF0506" w:rsidP="001511CD">
            <w:pPr>
              <w:spacing w:after="0" w:line="240" w:lineRule="auto"/>
              <w:rPr>
                <w:b/>
                <w:bCs/>
              </w:rPr>
            </w:pPr>
            <w:r w:rsidRPr="004E3FC9">
              <w:rPr>
                <w:b/>
                <w:bCs/>
              </w:rPr>
              <w:t>Measurement Approach</w:t>
            </w:r>
          </w:p>
        </w:tc>
      </w:tr>
      <w:tr w:rsidR="00CF0506" w:rsidRPr="004E3FC9" w14:paraId="09058A86" w14:textId="77777777" w:rsidTr="00DF12BE">
        <w:trPr>
          <w:cantSplit/>
          <w:trHeight w:val="7190"/>
          <w:jc w:val="center"/>
        </w:trPr>
        <w:tc>
          <w:tcPr>
            <w:tcW w:w="715" w:type="pct"/>
          </w:tcPr>
          <w:p w14:paraId="2574E02B" w14:textId="641F490E" w:rsidR="00CF0506" w:rsidRPr="004E3FC9" w:rsidRDefault="00CF0506" w:rsidP="00CF0506">
            <w:pPr>
              <w:jc w:val="center"/>
              <w:rPr>
                <w:rFonts w:ascii="Calibri" w:hAnsi="Calibri"/>
                <w:b/>
                <w:bCs/>
              </w:rPr>
            </w:pPr>
            <w:r w:rsidRPr="004E3FC9">
              <w:rPr>
                <w:rFonts w:ascii="Calibri" w:hAnsi="Calibri"/>
                <w:b/>
                <w:bCs/>
              </w:rPr>
              <w:t>Four Year Graduation Rate</w:t>
            </w:r>
          </w:p>
          <w:p w14:paraId="0FC8A6AB" w14:textId="5527D63C" w:rsidR="00CF0506" w:rsidRPr="004E3FC9" w:rsidRDefault="00CF0506" w:rsidP="00CF0506">
            <w:pPr>
              <w:jc w:val="center"/>
              <w:rPr>
                <w:rFonts w:ascii="Calibri" w:hAnsi="Calibri"/>
                <w:b/>
                <w:bCs/>
              </w:rPr>
            </w:pPr>
            <w:r w:rsidRPr="004E3FC9">
              <w:rPr>
                <w:rFonts w:ascii="Calibri" w:hAnsi="Calibri"/>
                <w:b/>
                <w:bCs/>
              </w:rPr>
              <w:t>1S1</w:t>
            </w:r>
          </w:p>
          <w:p w14:paraId="1FAEA7D1" w14:textId="77777777" w:rsidR="00CF0506" w:rsidRPr="004E3FC9" w:rsidRDefault="00CF0506" w:rsidP="00CF0506">
            <w:pPr>
              <w:rPr>
                <w:rFonts w:ascii="Calibri" w:hAnsi="Calibri"/>
                <w:b/>
                <w:bCs/>
              </w:rPr>
            </w:pPr>
          </w:p>
          <w:p w14:paraId="0B08245C" w14:textId="77777777" w:rsidR="00CF0506" w:rsidRPr="004E3FC9" w:rsidRDefault="00CF0506" w:rsidP="00CF0506">
            <w:pPr>
              <w:spacing w:after="0"/>
              <w:jc w:val="center"/>
              <w:rPr>
                <w:rFonts w:ascii="Calibri" w:hAnsi="Calibri"/>
                <w:b/>
              </w:rPr>
            </w:pPr>
          </w:p>
        </w:tc>
        <w:tc>
          <w:tcPr>
            <w:tcW w:w="1844" w:type="pct"/>
          </w:tcPr>
          <w:p w14:paraId="72DD507C" w14:textId="3EB1463C" w:rsidR="002A73EF" w:rsidRPr="004E3FC9" w:rsidRDefault="002A73EF" w:rsidP="00CF0506">
            <w:pPr>
              <w:rPr>
                <w:rFonts w:ascii="Calibri" w:hAnsi="Calibri"/>
                <w:bCs/>
                <w:sz w:val="20"/>
                <w:szCs w:val="20"/>
              </w:rPr>
            </w:pPr>
            <w:r w:rsidRPr="004E3FC9">
              <w:rPr>
                <w:rFonts w:ascii="Calibri" w:hAnsi="Calibri"/>
                <w:bCs/>
                <w:sz w:val="20"/>
                <w:szCs w:val="20"/>
              </w:rPr>
              <w:t xml:space="preserve">The percentage of CTE concentrators who graduate high school, as measured by the four-year adjusted cohort graduation rate (defined in section 8101 of the Elementary and Secondary Education Act of 1965).  </w:t>
            </w:r>
          </w:p>
          <w:p w14:paraId="31E053A6" w14:textId="7AB337D6" w:rsidR="00DF12BE" w:rsidRPr="004E3FC9" w:rsidRDefault="00DF12BE" w:rsidP="00CF0506">
            <w:pPr>
              <w:rPr>
                <w:rFonts w:ascii="Calibri" w:hAnsi="Calibri"/>
                <w:bCs/>
                <w:sz w:val="20"/>
                <w:szCs w:val="20"/>
              </w:rPr>
            </w:pPr>
          </w:p>
          <w:p w14:paraId="4871FE8F" w14:textId="77777777" w:rsidR="00C50FDA" w:rsidRPr="004E3FC9" w:rsidRDefault="00C50FDA" w:rsidP="00CF0506">
            <w:pPr>
              <w:rPr>
                <w:rFonts w:ascii="Calibri" w:hAnsi="Calibri"/>
                <w:bCs/>
                <w:sz w:val="20"/>
                <w:szCs w:val="20"/>
              </w:rPr>
            </w:pPr>
          </w:p>
          <w:p w14:paraId="723AB7ED" w14:textId="77777777" w:rsidR="00CF0506" w:rsidRPr="004E3FC9" w:rsidRDefault="00CF0506" w:rsidP="00CF0506">
            <w:pPr>
              <w:rPr>
                <w:rFonts w:ascii="Calibri" w:hAnsi="Calibri"/>
                <w:sz w:val="20"/>
                <w:szCs w:val="20"/>
              </w:rPr>
            </w:pPr>
            <w:r w:rsidRPr="004E3FC9">
              <w:rPr>
                <w:rFonts w:ascii="Calibri" w:hAnsi="Calibri"/>
                <w:b/>
                <w:sz w:val="20"/>
                <w:szCs w:val="20"/>
              </w:rPr>
              <w:t>Denominator:</w:t>
            </w:r>
            <w:r w:rsidRPr="004E3FC9">
              <w:rPr>
                <w:rFonts w:ascii="Calibri" w:hAnsi="Calibri"/>
                <w:sz w:val="20"/>
                <w:szCs w:val="20"/>
              </w:rPr>
              <w:t xml:space="preserve"> Number of CTE concentrators who, in the reporting year, were included in the State’s Consolidated Accountability Plan pursuant to Section 1111(b)(2)(C)(vi) of the ESEA. </w:t>
            </w:r>
          </w:p>
          <w:p w14:paraId="7CC383A1" w14:textId="39BB6380" w:rsidR="00DF12BE" w:rsidRPr="004E3FC9" w:rsidRDefault="00DF12BE" w:rsidP="00DF12BE">
            <w:pPr>
              <w:rPr>
                <w:rFonts w:ascii="Calibri" w:hAnsi="Calibri"/>
                <w:sz w:val="20"/>
                <w:szCs w:val="20"/>
              </w:rPr>
            </w:pPr>
            <w:r w:rsidRPr="004E3FC9">
              <w:rPr>
                <w:rFonts w:ascii="Calibri" w:hAnsi="Calibri"/>
                <w:b/>
                <w:sz w:val="20"/>
                <w:szCs w:val="20"/>
              </w:rPr>
              <w:t>Numerator:</w:t>
            </w:r>
            <w:r w:rsidRPr="004E3FC9">
              <w:rPr>
                <w:rFonts w:ascii="Calibri" w:hAnsi="Calibri"/>
                <w:sz w:val="20"/>
                <w:szCs w:val="20"/>
              </w:rPr>
              <w:t xml:space="preserve"> Number of CTE concentrators, who in the reporting year, were included as graduated in the State’s computation of its graduation rate as described in Section 1111(b)(2)(C)(vi) of the ESEA. </w:t>
            </w:r>
          </w:p>
          <w:p w14:paraId="52678ECC" w14:textId="77777777" w:rsidR="00CF0506" w:rsidRPr="004E3FC9" w:rsidRDefault="00CF0506" w:rsidP="00CF0506">
            <w:pPr>
              <w:spacing w:line="240" w:lineRule="auto"/>
              <w:rPr>
                <w:rFonts w:ascii="Calibri" w:hAnsi="Calibri"/>
                <w:sz w:val="20"/>
                <w:szCs w:val="20"/>
              </w:rPr>
            </w:pPr>
          </w:p>
        </w:tc>
        <w:tc>
          <w:tcPr>
            <w:tcW w:w="2441" w:type="pct"/>
          </w:tcPr>
          <w:p w14:paraId="51AEEC6B" w14:textId="113EA16C" w:rsidR="00CF0506" w:rsidRPr="004E3FC9" w:rsidRDefault="00CF0506" w:rsidP="00CF0506">
            <w:pPr>
              <w:rPr>
                <w:rFonts w:ascii="Calibri" w:hAnsi="Calibri"/>
                <w:sz w:val="20"/>
                <w:szCs w:val="20"/>
              </w:rPr>
            </w:pPr>
            <w:r w:rsidRPr="004E3FC9">
              <w:rPr>
                <w:rFonts w:ascii="Calibri" w:hAnsi="Calibri"/>
                <w:sz w:val="20"/>
                <w:szCs w:val="20"/>
              </w:rPr>
              <w:t>The actual state and local performance levels for core indicator 1S1 are computed from SIMS in the following manner:</w:t>
            </w:r>
          </w:p>
          <w:p w14:paraId="7E8DCCDD" w14:textId="3DAA81A4" w:rsidR="00730176" w:rsidRPr="004E3FC9" w:rsidRDefault="00730176" w:rsidP="00CF0506">
            <w:pPr>
              <w:spacing w:after="0" w:line="240" w:lineRule="auto"/>
              <w:rPr>
                <w:rFonts w:ascii="Calibri" w:hAnsi="Calibri"/>
                <w:sz w:val="20"/>
                <w:szCs w:val="20"/>
              </w:rPr>
            </w:pPr>
            <w:r w:rsidRPr="004E3FC9">
              <w:rPr>
                <w:rFonts w:ascii="Calibri" w:hAnsi="Calibri"/>
                <w:sz w:val="20"/>
                <w:szCs w:val="20"/>
              </w:rPr>
              <w:t>Of the students in the graduate cohort, determine the students who were CTE concentrators at some point during high school. For example, a 2018 Cohort CTE concentrator is a student who was reported in SIMS in a CTE program in both October 2015 and October 2016 or both October 2016 and October 2017, or in October 2015 and October 2017.</w:t>
            </w:r>
          </w:p>
          <w:p w14:paraId="417421B7" w14:textId="77777777" w:rsidR="00CF0506" w:rsidRPr="004E3FC9" w:rsidRDefault="00CF0506" w:rsidP="00CF0506">
            <w:pPr>
              <w:spacing w:after="0" w:line="240" w:lineRule="auto"/>
              <w:rPr>
                <w:rFonts w:ascii="Calibri" w:hAnsi="Calibri"/>
                <w:sz w:val="20"/>
                <w:szCs w:val="20"/>
              </w:rPr>
            </w:pPr>
          </w:p>
          <w:p w14:paraId="3CE89E98" w14:textId="77777777" w:rsidR="00951639" w:rsidRPr="004E3FC9" w:rsidRDefault="00CF0506" w:rsidP="00CF0506">
            <w:pPr>
              <w:spacing w:after="0" w:line="240" w:lineRule="auto"/>
              <w:rPr>
                <w:rFonts w:ascii="Calibri" w:hAnsi="Calibri"/>
                <w:sz w:val="20"/>
                <w:szCs w:val="20"/>
              </w:rPr>
            </w:pPr>
            <w:r w:rsidRPr="004E3FC9">
              <w:rPr>
                <w:rFonts w:ascii="Calibri" w:hAnsi="Calibri"/>
                <w:sz w:val="20"/>
                <w:szCs w:val="20"/>
              </w:rPr>
              <w:t xml:space="preserve">The denominator includes all CTE concentrators in the graduate cohort. </w:t>
            </w:r>
          </w:p>
          <w:p w14:paraId="3119C8AB" w14:textId="740B1133" w:rsidR="00951639" w:rsidRPr="004E3FC9" w:rsidRDefault="00951639" w:rsidP="00CF0506">
            <w:pPr>
              <w:spacing w:after="0" w:line="240" w:lineRule="auto"/>
              <w:rPr>
                <w:rFonts w:ascii="Calibri" w:hAnsi="Calibri"/>
                <w:sz w:val="20"/>
                <w:szCs w:val="20"/>
              </w:rPr>
            </w:pPr>
          </w:p>
          <w:p w14:paraId="679FDA0B" w14:textId="1461EAE0" w:rsidR="00C50FDA" w:rsidRPr="004E3FC9" w:rsidRDefault="00C50FDA" w:rsidP="00CF0506">
            <w:pPr>
              <w:spacing w:after="0" w:line="240" w:lineRule="auto"/>
              <w:rPr>
                <w:rFonts w:ascii="Calibri" w:hAnsi="Calibri"/>
                <w:sz w:val="20"/>
                <w:szCs w:val="20"/>
              </w:rPr>
            </w:pPr>
          </w:p>
          <w:p w14:paraId="0B7C4043" w14:textId="7EDD7572" w:rsidR="00C50FDA" w:rsidRPr="004E3FC9" w:rsidRDefault="00C50FDA" w:rsidP="00CF0506">
            <w:pPr>
              <w:spacing w:after="0" w:line="240" w:lineRule="auto"/>
              <w:rPr>
                <w:rFonts w:ascii="Calibri" w:hAnsi="Calibri"/>
                <w:sz w:val="20"/>
                <w:szCs w:val="20"/>
              </w:rPr>
            </w:pPr>
          </w:p>
          <w:p w14:paraId="10EF9678" w14:textId="5511AF31" w:rsidR="00C50FDA" w:rsidRPr="004E3FC9" w:rsidRDefault="00C50FDA" w:rsidP="00CF0506">
            <w:pPr>
              <w:spacing w:after="0" w:line="240" w:lineRule="auto"/>
              <w:rPr>
                <w:rFonts w:ascii="Calibri" w:hAnsi="Calibri"/>
                <w:sz w:val="20"/>
                <w:szCs w:val="20"/>
              </w:rPr>
            </w:pPr>
          </w:p>
          <w:p w14:paraId="227ADC8B" w14:textId="77777777" w:rsidR="00C50FDA" w:rsidRPr="004E3FC9" w:rsidRDefault="00C50FDA" w:rsidP="00CF0506">
            <w:pPr>
              <w:spacing w:after="0" w:line="240" w:lineRule="auto"/>
              <w:rPr>
                <w:rFonts w:ascii="Calibri" w:hAnsi="Calibri"/>
                <w:sz w:val="20"/>
                <w:szCs w:val="20"/>
              </w:rPr>
            </w:pPr>
          </w:p>
          <w:p w14:paraId="1780F688" w14:textId="02443CD3" w:rsidR="00CF0506" w:rsidRPr="004E3FC9" w:rsidRDefault="00CF0506" w:rsidP="00CF0506">
            <w:pPr>
              <w:spacing w:after="0" w:line="240" w:lineRule="auto"/>
              <w:rPr>
                <w:rFonts w:ascii="Calibri" w:hAnsi="Calibri"/>
                <w:sz w:val="20"/>
                <w:szCs w:val="20"/>
              </w:rPr>
            </w:pPr>
            <w:r w:rsidRPr="004E3FC9">
              <w:rPr>
                <w:rFonts w:ascii="Calibri" w:hAnsi="Calibri"/>
                <w:sz w:val="20"/>
                <w:szCs w:val="20"/>
              </w:rPr>
              <w:t xml:space="preserve">The numerator includes </w:t>
            </w:r>
            <w:r w:rsidR="008D0653">
              <w:rPr>
                <w:rFonts w:ascii="Calibri" w:hAnsi="Calibri"/>
                <w:sz w:val="20"/>
                <w:szCs w:val="20"/>
              </w:rPr>
              <w:t xml:space="preserve">only </w:t>
            </w:r>
            <w:r w:rsidRPr="004E3FC9">
              <w:rPr>
                <w:rFonts w:ascii="Calibri" w:hAnsi="Calibri"/>
                <w:sz w:val="20"/>
                <w:szCs w:val="20"/>
              </w:rPr>
              <w:t xml:space="preserve">the CTE concentrators who were </w:t>
            </w:r>
            <w:proofErr w:type="spellStart"/>
            <w:r w:rsidR="008D0653">
              <w:rPr>
                <w:rFonts w:ascii="Calibri" w:hAnsi="Calibri"/>
                <w:sz w:val="20"/>
                <w:szCs w:val="20"/>
              </w:rPr>
              <w:t>idenified</w:t>
            </w:r>
            <w:proofErr w:type="spellEnd"/>
            <w:r w:rsidR="008D0653" w:rsidRPr="004E3FC9">
              <w:rPr>
                <w:rFonts w:ascii="Calibri" w:hAnsi="Calibri"/>
                <w:sz w:val="20"/>
                <w:szCs w:val="20"/>
              </w:rPr>
              <w:t xml:space="preserve"> </w:t>
            </w:r>
            <w:r w:rsidRPr="004E3FC9">
              <w:rPr>
                <w:rFonts w:ascii="Calibri" w:hAnsi="Calibri"/>
                <w:sz w:val="20"/>
                <w:szCs w:val="20"/>
              </w:rPr>
              <w:t>as graduated</w:t>
            </w:r>
            <w:r w:rsidR="0013131F" w:rsidRPr="004E3FC9">
              <w:rPr>
                <w:rFonts w:ascii="Calibri" w:hAnsi="Calibri"/>
                <w:sz w:val="20"/>
                <w:szCs w:val="20"/>
              </w:rPr>
              <w:t>.</w:t>
            </w:r>
            <w:r w:rsidR="002D271A" w:rsidRPr="004E3FC9">
              <w:rPr>
                <w:rFonts w:ascii="Calibri" w:hAnsi="Calibri"/>
                <w:sz w:val="20"/>
                <w:szCs w:val="20"/>
              </w:rPr>
              <w:t xml:space="preserve"> </w:t>
            </w:r>
          </w:p>
          <w:p w14:paraId="1299FED2" w14:textId="7B9E9A54" w:rsidR="00730176" w:rsidRPr="004E3FC9" w:rsidRDefault="00730176" w:rsidP="00CF0506">
            <w:pPr>
              <w:spacing w:after="0" w:line="240" w:lineRule="auto"/>
              <w:rPr>
                <w:rFonts w:ascii="Calibri" w:hAnsi="Calibri"/>
                <w:sz w:val="20"/>
                <w:szCs w:val="20"/>
              </w:rPr>
            </w:pPr>
          </w:p>
          <w:p w14:paraId="47979EC5" w14:textId="1EB2B825" w:rsidR="00730176" w:rsidRPr="004E3FC9" w:rsidRDefault="00730176" w:rsidP="00CF0506">
            <w:pPr>
              <w:spacing w:after="0" w:line="240" w:lineRule="auto"/>
              <w:rPr>
                <w:rFonts w:ascii="Calibri" w:hAnsi="Calibri"/>
                <w:sz w:val="20"/>
                <w:szCs w:val="20"/>
              </w:rPr>
            </w:pPr>
          </w:p>
          <w:p w14:paraId="494F2F58" w14:textId="37B5525C" w:rsidR="00730176" w:rsidRPr="004E3FC9" w:rsidRDefault="00730176" w:rsidP="00CF0506">
            <w:pPr>
              <w:spacing w:after="0" w:line="240" w:lineRule="auto"/>
              <w:rPr>
                <w:rFonts w:ascii="Calibri" w:hAnsi="Calibri"/>
                <w:b/>
                <w:bCs/>
                <w:sz w:val="20"/>
                <w:szCs w:val="20"/>
              </w:rPr>
            </w:pPr>
            <w:r w:rsidRPr="004E3FC9">
              <w:rPr>
                <w:rFonts w:ascii="Calibri" w:hAnsi="Calibri"/>
                <w:b/>
                <w:bCs/>
                <w:sz w:val="20"/>
                <w:szCs w:val="20"/>
              </w:rPr>
              <w:t>This remains the same as Perkins IV</w:t>
            </w:r>
            <w:r w:rsidR="00301587" w:rsidRPr="004E3FC9">
              <w:rPr>
                <w:rFonts w:ascii="Calibri" w:hAnsi="Calibri"/>
                <w:b/>
                <w:bCs/>
                <w:sz w:val="20"/>
                <w:szCs w:val="20"/>
              </w:rPr>
              <w:t xml:space="preserve"> Grad Rate (4S1).</w:t>
            </w:r>
          </w:p>
          <w:p w14:paraId="66D8E2BD" w14:textId="7453BD1F" w:rsidR="00730176" w:rsidRPr="004E3FC9" w:rsidRDefault="00730176" w:rsidP="00CF0506">
            <w:pPr>
              <w:spacing w:after="0" w:line="240" w:lineRule="auto"/>
              <w:rPr>
                <w:rFonts w:ascii="Calibri" w:hAnsi="Calibri"/>
                <w:sz w:val="20"/>
                <w:szCs w:val="20"/>
              </w:rPr>
            </w:pPr>
          </w:p>
          <w:p w14:paraId="4B8B4AA4" w14:textId="77777777" w:rsidR="00730176" w:rsidRPr="004E3FC9" w:rsidRDefault="00730176" w:rsidP="00CF0506">
            <w:pPr>
              <w:spacing w:after="0" w:line="240" w:lineRule="auto"/>
              <w:rPr>
                <w:rFonts w:ascii="Calibri" w:hAnsi="Calibri"/>
                <w:sz w:val="20"/>
                <w:szCs w:val="20"/>
              </w:rPr>
            </w:pPr>
          </w:p>
          <w:p w14:paraId="689F939D" w14:textId="77777777" w:rsidR="006C6E8E" w:rsidRPr="004E3FC9" w:rsidRDefault="00BD6C28" w:rsidP="00CF0506">
            <w:pPr>
              <w:spacing w:after="0" w:line="240" w:lineRule="auto"/>
              <w:rPr>
                <w:rFonts w:ascii="Calibri" w:hAnsi="Calibri"/>
                <w:sz w:val="20"/>
                <w:szCs w:val="20"/>
              </w:rPr>
            </w:pPr>
            <w:r w:rsidRPr="004E3FC9">
              <w:rPr>
                <w:rFonts w:ascii="Calibri" w:hAnsi="Calibri"/>
                <w:sz w:val="20"/>
                <w:szCs w:val="20"/>
              </w:rPr>
              <w:t>For</w:t>
            </w:r>
            <w:r w:rsidR="00730176" w:rsidRPr="004E3FC9">
              <w:rPr>
                <w:rFonts w:ascii="Calibri" w:hAnsi="Calibri"/>
                <w:sz w:val="20"/>
                <w:szCs w:val="20"/>
              </w:rPr>
              <w:t xml:space="preserve"> 2020, this will refer to </w:t>
            </w:r>
            <w:r w:rsidR="00730176" w:rsidRPr="004E3FC9">
              <w:rPr>
                <w:rFonts w:ascii="Calibri" w:hAnsi="Calibri"/>
                <w:b/>
                <w:bCs/>
                <w:sz w:val="20"/>
                <w:szCs w:val="20"/>
              </w:rPr>
              <w:t>2019 Grads</w:t>
            </w:r>
            <w:r w:rsidR="00730176" w:rsidRPr="004E3FC9">
              <w:rPr>
                <w:rFonts w:ascii="Calibri" w:hAnsi="Calibri"/>
                <w:sz w:val="20"/>
                <w:szCs w:val="20"/>
              </w:rPr>
              <w:t xml:space="preserve">. </w:t>
            </w:r>
          </w:p>
          <w:p w14:paraId="50432B9E" w14:textId="77777777" w:rsidR="006C6E8E" w:rsidRPr="004E3FC9" w:rsidRDefault="006C6E8E" w:rsidP="00CF0506">
            <w:pPr>
              <w:spacing w:after="0" w:line="240" w:lineRule="auto"/>
              <w:rPr>
                <w:rFonts w:ascii="Calibri" w:hAnsi="Calibri"/>
                <w:sz w:val="20"/>
                <w:szCs w:val="20"/>
              </w:rPr>
            </w:pPr>
          </w:p>
          <w:p w14:paraId="69DE1CD8" w14:textId="6538E162" w:rsidR="00730176" w:rsidRPr="004E3FC9" w:rsidRDefault="00BD6C28" w:rsidP="00CF0506">
            <w:pPr>
              <w:spacing w:after="0" w:line="240" w:lineRule="auto"/>
              <w:rPr>
                <w:rFonts w:ascii="Calibri" w:hAnsi="Calibri"/>
                <w:sz w:val="20"/>
                <w:szCs w:val="20"/>
              </w:rPr>
            </w:pPr>
            <w:r w:rsidRPr="004E3FC9">
              <w:rPr>
                <w:rFonts w:ascii="Calibri" w:hAnsi="Calibri"/>
                <w:sz w:val="20"/>
                <w:szCs w:val="20"/>
              </w:rPr>
              <w:t>People</w:t>
            </w:r>
            <w:r w:rsidR="00573FEA" w:rsidRPr="004E3FC9">
              <w:rPr>
                <w:rFonts w:ascii="Calibri" w:hAnsi="Calibri"/>
                <w:sz w:val="20"/>
                <w:szCs w:val="20"/>
              </w:rPr>
              <w:t xml:space="preserve"> may</w:t>
            </w:r>
            <w:r w:rsidRPr="004E3FC9">
              <w:rPr>
                <w:rFonts w:ascii="Calibri" w:hAnsi="Calibri"/>
                <w:sz w:val="20"/>
                <w:szCs w:val="20"/>
              </w:rPr>
              <w:t xml:space="preserve"> refer to this as ‘2019 reporting year’ because its reporting on 2019 Grads </w:t>
            </w:r>
            <w:r w:rsidRPr="004E3FC9">
              <w:rPr>
                <w:rFonts w:ascii="Calibri" w:hAnsi="Calibri"/>
                <w:i/>
                <w:iCs/>
                <w:sz w:val="20"/>
                <w:szCs w:val="20"/>
              </w:rPr>
              <w:t xml:space="preserve">and </w:t>
            </w:r>
            <w:r w:rsidR="00782C87" w:rsidRPr="004E3FC9">
              <w:rPr>
                <w:rFonts w:ascii="Calibri" w:hAnsi="Calibri"/>
                <w:i/>
                <w:iCs/>
                <w:sz w:val="20"/>
                <w:szCs w:val="20"/>
              </w:rPr>
              <w:t xml:space="preserve">other </w:t>
            </w:r>
            <w:r w:rsidRPr="004E3FC9">
              <w:rPr>
                <w:rFonts w:ascii="Calibri" w:hAnsi="Calibri"/>
                <w:i/>
                <w:iCs/>
                <w:sz w:val="20"/>
                <w:szCs w:val="20"/>
              </w:rPr>
              <w:t>earlier metrics.</w:t>
            </w:r>
            <w:r w:rsidR="00897B08" w:rsidRPr="004E3FC9">
              <w:rPr>
                <w:rFonts w:ascii="Calibri" w:hAnsi="Calibri"/>
                <w:i/>
                <w:iCs/>
                <w:sz w:val="20"/>
                <w:szCs w:val="20"/>
              </w:rPr>
              <w:t xml:space="preserve"> </w:t>
            </w:r>
            <w:r w:rsidR="00573FEA" w:rsidRPr="004E3FC9">
              <w:rPr>
                <w:rFonts w:ascii="Calibri" w:hAnsi="Calibri"/>
                <w:i/>
                <w:iCs/>
                <w:sz w:val="20"/>
                <w:szCs w:val="20"/>
              </w:rPr>
              <w:t>However, t</w:t>
            </w:r>
            <w:r w:rsidR="00897B08" w:rsidRPr="004E3FC9">
              <w:rPr>
                <w:rFonts w:ascii="Calibri" w:hAnsi="Calibri"/>
                <w:i/>
                <w:iCs/>
                <w:sz w:val="20"/>
                <w:szCs w:val="20"/>
              </w:rPr>
              <w:t>h</w:t>
            </w:r>
            <w:r w:rsidR="006C6E8E" w:rsidRPr="004E3FC9">
              <w:rPr>
                <w:rFonts w:ascii="Calibri" w:hAnsi="Calibri"/>
                <w:i/>
                <w:iCs/>
                <w:sz w:val="20"/>
                <w:szCs w:val="20"/>
              </w:rPr>
              <w:t>e</w:t>
            </w:r>
            <w:r w:rsidR="00897B08" w:rsidRPr="004E3FC9">
              <w:rPr>
                <w:rFonts w:ascii="Calibri" w:hAnsi="Calibri"/>
                <w:i/>
                <w:iCs/>
                <w:sz w:val="20"/>
                <w:szCs w:val="20"/>
              </w:rPr>
              <w:t xml:space="preserve"> nam</w:t>
            </w:r>
            <w:r w:rsidR="006C6E8E" w:rsidRPr="004E3FC9">
              <w:rPr>
                <w:rFonts w:ascii="Calibri" w:hAnsi="Calibri"/>
                <w:i/>
                <w:iCs/>
                <w:sz w:val="20"/>
                <w:szCs w:val="20"/>
              </w:rPr>
              <w:t>e ‘reporting year’</w:t>
            </w:r>
            <w:r w:rsidR="00897B08" w:rsidRPr="004E3FC9">
              <w:rPr>
                <w:rFonts w:ascii="Calibri" w:hAnsi="Calibri"/>
                <w:i/>
                <w:iCs/>
                <w:sz w:val="20"/>
                <w:szCs w:val="20"/>
              </w:rPr>
              <w:t xml:space="preserve"> may get confusing under Perkins V.</w:t>
            </w:r>
            <w:r w:rsidR="00897B08" w:rsidRPr="004E3FC9">
              <w:rPr>
                <w:rFonts w:ascii="Calibri" w:hAnsi="Calibri"/>
                <w:sz w:val="20"/>
                <w:szCs w:val="20"/>
              </w:rPr>
              <w:t xml:space="preserve"> </w:t>
            </w:r>
          </w:p>
        </w:tc>
      </w:tr>
      <w:tr w:rsidR="00CF0506" w:rsidRPr="004E3FC9" w14:paraId="31309DF3" w14:textId="184DDEC5" w:rsidTr="00DF12BE">
        <w:trPr>
          <w:cantSplit/>
          <w:trHeight w:val="7190"/>
          <w:jc w:val="center"/>
        </w:trPr>
        <w:tc>
          <w:tcPr>
            <w:tcW w:w="715" w:type="pct"/>
          </w:tcPr>
          <w:p w14:paraId="3AC744F1" w14:textId="2BCD6EB7" w:rsidR="002A73EF" w:rsidRPr="004E3FC9" w:rsidRDefault="002A73EF" w:rsidP="00CF0506">
            <w:pPr>
              <w:spacing w:after="0"/>
              <w:jc w:val="center"/>
              <w:rPr>
                <w:rFonts w:ascii="Calibri" w:hAnsi="Calibri"/>
                <w:b/>
              </w:rPr>
            </w:pPr>
            <w:r w:rsidRPr="004E3FC9">
              <w:rPr>
                <w:rFonts w:ascii="Calibri" w:hAnsi="Calibri"/>
                <w:b/>
              </w:rPr>
              <w:lastRenderedPageBreak/>
              <w:t>Academic Proficiency in Reading/Language Arts</w:t>
            </w:r>
          </w:p>
          <w:p w14:paraId="19887321" w14:textId="031D32CF" w:rsidR="00CF0506" w:rsidRPr="004E3FC9" w:rsidRDefault="00CF0506" w:rsidP="00CF0506">
            <w:pPr>
              <w:spacing w:after="0"/>
              <w:jc w:val="center"/>
              <w:rPr>
                <w:rFonts w:ascii="Calibri" w:hAnsi="Calibri"/>
                <w:b/>
              </w:rPr>
            </w:pPr>
          </w:p>
          <w:p w14:paraId="556C8238" w14:textId="0B5F2C15" w:rsidR="00CF0506" w:rsidRPr="004E3FC9" w:rsidRDefault="00CF0506" w:rsidP="00CF0506">
            <w:pPr>
              <w:jc w:val="center"/>
              <w:rPr>
                <w:rFonts w:ascii="Calibri" w:hAnsi="Calibri"/>
                <w:b/>
                <w:bCs/>
              </w:rPr>
            </w:pPr>
            <w:r w:rsidRPr="004E3FC9">
              <w:rPr>
                <w:rFonts w:ascii="Calibri" w:hAnsi="Calibri"/>
                <w:b/>
              </w:rPr>
              <w:t>2S1</w:t>
            </w:r>
          </w:p>
        </w:tc>
        <w:tc>
          <w:tcPr>
            <w:tcW w:w="1844" w:type="pct"/>
          </w:tcPr>
          <w:p w14:paraId="313F837C" w14:textId="31611FF3" w:rsidR="00951639" w:rsidRPr="004E3FC9" w:rsidRDefault="00951639" w:rsidP="00CF0506">
            <w:pPr>
              <w:spacing w:line="240" w:lineRule="auto"/>
              <w:rPr>
                <w:rFonts w:ascii="Calibri" w:hAnsi="Calibri"/>
                <w:sz w:val="20"/>
                <w:szCs w:val="20"/>
              </w:rPr>
            </w:pPr>
            <w:r w:rsidRPr="004E3FC9">
              <w:rPr>
                <w:rFonts w:ascii="Calibri" w:hAnsi="Calibri"/>
                <w:sz w:val="20"/>
                <w:szCs w:val="20"/>
              </w:rPr>
              <w:t>CTE concentrator proficiency in the challenging State academic standards adopted by the State under section 1111(b)(1) of the Elementary and Secondary Education Act of 1965, as measured by the academic assessments in reading/language arts as described in section 1111(b)(2) of such Act.</w:t>
            </w:r>
          </w:p>
          <w:p w14:paraId="71986D82" w14:textId="3C75A9ED" w:rsidR="00951639" w:rsidRPr="004E3FC9" w:rsidRDefault="00951639" w:rsidP="00CF0506">
            <w:pPr>
              <w:spacing w:line="240" w:lineRule="auto"/>
              <w:rPr>
                <w:rFonts w:ascii="Calibri" w:hAnsi="Calibri"/>
                <w:sz w:val="20"/>
                <w:szCs w:val="20"/>
              </w:rPr>
            </w:pPr>
          </w:p>
          <w:p w14:paraId="0904BEBF" w14:textId="32A90656" w:rsidR="00C50FDA" w:rsidRPr="004E3FC9" w:rsidRDefault="00C50FDA" w:rsidP="00CF0506">
            <w:pPr>
              <w:spacing w:line="240" w:lineRule="auto"/>
              <w:rPr>
                <w:rFonts w:ascii="Calibri" w:hAnsi="Calibri"/>
                <w:sz w:val="20"/>
                <w:szCs w:val="20"/>
              </w:rPr>
            </w:pPr>
          </w:p>
          <w:p w14:paraId="3918A638" w14:textId="23249CFB" w:rsidR="00CF0506" w:rsidRPr="004E3FC9" w:rsidRDefault="00CF0506" w:rsidP="00CF0506">
            <w:pPr>
              <w:spacing w:line="240" w:lineRule="auto"/>
              <w:rPr>
                <w:rFonts w:ascii="Calibri" w:hAnsi="Calibri"/>
                <w:sz w:val="20"/>
                <w:szCs w:val="20"/>
              </w:rPr>
            </w:pPr>
            <w:r w:rsidRPr="004E3FC9">
              <w:rPr>
                <w:rFonts w:ascii="Calibri" w:hAnsi="Calibri"/>
                <w:b/>
                <w:bCs/>
                <w:sz w:val="20"/>
                <w:szCs w:val="20"/>
              </w:rPr>
              <w:t>Denominator:</w:t>
            </w:r>
            <w:r w:rsidRPr="004E3FC9">
              <w:rPr>
                <w:rFonts w:ascii="Calibri" w:hAnsi="Calibri"/>
                <w:sz w:val="20"/>
                <w:szCs w:val="20"/>
              </w:rPr>
              <w:t xml:space="preserve"> Number of CTE concentrators who took the MCAS assessment in language arts. </w:t>
            </w:r>
          </w:p>
          <w:p w14:paraId="7A29D5C5" w14:textId="55742166" w:rsidR="00CF0506" w:rsidRPr="004E3FC9" w:rsidRDefault="00CF0506" w:rsidP="00CF0506">
            <w:pPr>
              <w:rPr>
                <w:rFonts w:ascii="Calibri" w:hAnsi="Calibri"/>
                <w:sz w:val="20"/>
                <w:szCs w:val="20"/>
              </w:rPr>
            </w:pPr>
          </w:p>
          <w:p w14:paraId="79776620" w14:textId="4B52F9F0" w:rsidR="00C50FDA" w:rsidRPr="004E3FC9" w:rsidRDefault="00C50FDA" w:rsidP="00C50FDA">
            <w:pPr>
              <w:spacing w:line="240" w:lineRule="auto"/>
              <w:rPr>
                <w:rFonts w:ascii="Calibri" w:hAnsi="Calibri"/>
                <w:sz w:val="20"/>
                <w:szCs w:val="20"/>
              </w:rPr>
            </w:pPr>
            <w:r w:rsidRPr="004E3FC9">
              <w:rPr>
                <w:rFonts w:ascii="Calibri" w:hAnsi="Calibri"/>
                <w:b/>
                <w:bCs/>
                <w:sz w:val="20"/>
                <w:szCs w:val="20"/>
              </w:rPr>
              <w:t>Numerator:</w:t>
            </w:r>
            <w:r w:rsidRPr="004E3FC9">
              <w:rPr>
                <w:rFonts w:ascii="Calibri" w:hAnsi="Calibri"/>
                <w:sz w:val="20"/>
                <w:szCs w:val="20"/>
              </w:rPr>
              <w:t xml:space="preserve"> Number of CTE concentrators</w:t>
            </w:r>
            <w:r w:rsidR="00F52B02" w:rsidRPr="004E3FC9">
              <w:rPr>
                <w:rFonts w:ascii="Calibri" w:hAnsi="Calibri"/>
                <w:sz w:val="20"/>
                <w:szCs w:val="20"/>
              </w:rPr>
              <w:t xml:space="preserve"> </w:t>
            </w:r>
            <w:r w:rsidRPr="004E3FC9">
              <w:rPr>
                <w:rFonts w:ascii="Calibri" w:hAnsi="Calibri"/>
                <w:sz w:val="20"/>
                <w:szCs w:val="20"/>
              </w:rPr>
              <w:t>who have met the Meeting or Exceeding level on the MCAS</w:t>
            </w:r>
            <w:r w:rsidR="00F52B02" w:rsidRPr="004E3FC9">
              <w:rPr>
                <w:rFonts w:ascii="Calibri" w:hAnsi="Calibri"/>
                <w:sz w:val="20"/>
                <w:szCs w:val="20"/>
              </w:rPr>
              <w:t xml:space="preserve"> assessment in</w:t>
            </w:r>
            <w:r w:rsidRPr="004E3FC9">
              <w:rPr>
                <w:rFonts w:ascii="Calibri" w:hAnsi="Calibri"/>
                <w:sz w:val="20"/>
                <w:szCs w:val="20"/>
              </w:rPr>
              <w:t xml:space="preserve"> language arts.</w:t>
            </w:r>
          </w:p>
          <w:p w14:paraId="7EADFC42" w14:textId="144C2DE2" w:rsidR="00CF0506" w:rsidRPr="004E3FC9" w:rsidRDefault="00CF0506" w:rsidP="00CF0506">
            <w:pPr>
              <w:rPr>
                <w:rFonts w:ascii="Calibri" w:hAnsi="Calibri"/>
                <w:sz w:val="20"/>
                <w:szCs w:val="20"/>
              </w:rPr>
            </w:pPr>
          </w:p>
          <w:p w14:paraId="3ECC7603" w14:textId="59A9ECDA" w:rsidR="00CF0506" w:rsidRPr="004E3FC9" w:rsidRDefault="00CF0506" w:rsidP="00CF0506">
            <w:pPr>
              <w:rPr>
                <w:rFonts w:ascii="Calibri" w:hAnsi="Calibri"/>
                <w:b/>
                <w:sz w:val="20"/>
                <w:szCs w:val="20"/>
              </w:rPr>
            </w:pPr>
          </w:p>
        </w:tc>
        <w:tc>
          <w:tcPr>
            <w:tcW w:w="2441" w:type="pct"/>
          </w:tcPr>
          <w:p w14:paraId="2835D5DF" w14:textId="43C4E957" w:rsidR="00CF0506" w:rsidRPr="004E3FC9" w:rsidRDefault="00CF0506" w:rsidP="00CF0506">
            <w:pPr>
              <w:spacing w:after="0" w:line="240" w:lineRule="auto"/>
              <w:rPr>
                <w:rFonts w:ascii="Calibri" w:hAnsi="Calibri"/>
                <w:sz w:val="20"/>
                <w:szCs w:val="20"/>
              </w:rPr>
            </w:pPr>
            <w:r w:rsidRPr="004E3FC9">
              <w:rPr>
                <w:rFonts w:ascii="Calibri" w:hAnsi="Calibri"/>
                <w:sz w:val="20"/>
                <w:szCs w:val="20"/>
              </w:rPr>
              <w:t xml:space="preserve">The actual state and district performance levels for core indicator </w:t>
            </w:r>
            <w:r w:rsidR="00951639" w:rsidRPr="004E3FC9">
              <w:rPr>
                <w:rFonts w:ascii="Calibri" w:hAnsi="Calibri"/>
                <w:sz w:val="20"/>
                <w:szCs w:val="20"/>
              </w:rPr>
              <w:t xml:space="preserve">2S1 </w:t>
            </w:r>
            <w:r w:rsidRPr="004E3FC9">
              <w:rPr>
                <w:rFonts w:ascii="Calibri" w:hAnsi="Calibri"/>
                <w:sz w:val="20"/>
                <w:szCs w:val="20"/>
              </w:rPr>
              <w:t>(proficiency level on MCAS in English language arts (ELA)) are computed from SIMS and MCAS data in the following manner:</w:t>
            </w:r>
          </w:p>
          <w:p w14:paraId="539F2F09" w14:textId="6C7C81AF" w:rsidR="00951639" w:rsidRPr="004E3FC9" w:rsidRDefault="00CF0506" w:rsidP="00CF0506">
            <w:pPr>
              <w:numPr>
                <w:ilvl w:val="0"/>
                <w:numId w:val="35"/>
              </w:numPr>
              <w:spacing w:after="0" w:line="240" w:lineRule="auto"/>
              <w:ind w:left="250" w:hanging="200"/>
              <w:rPr>
                <w:rFonts w:ascii="Calibri" w:hAnsi="Calibri"/>
                <w:sz w:val="20"/>
                <w:szCs w:val="20"/>
              </w:rPr>
            </w:pPr>
            <w:r w:rsidRPr="004E3FC9">
              <w:rPr>
                <w:rFonts w:ascii="Calibri" w:hAnsi="Calibri"/>
                <w:sz w:val="20"/>
                <w:szCs w:val="20"/>
              </w:rPr>
              <w:t>Determine the students who are</w:t>
            </w:r>
            <w:r w:rsidRPr="004E3FC9">
              <w:rPr>
                <w:rFonts w:ascii="Calibri" w:hAnsi="Calibri"/>
                <w:b/>
                <w:bCs/>
                <w:sz w:val="20"/>
                <w:szCs w:val="20"/>
              </w:rPr>
              <w:t xml:space="preserve"> CTE </w:t>
            </w:r>
            <w:r w:rsidR="00600B48" w:rsidRPr="004E3FC9">
              <w:rPr>
                <w:rFonts w:ascii="Calibri" w:hAnsi="Calibri"/>
                <w:b/>
                <w:bCs/>
                <w:sz w:val="20"/>
                <w:szCs w:val="20"/>
              </w:rPr>
              <w:t>C</w:t>
            </w:r>
            <w:r w:rsidRPr="004E3FC9">
              <w:rPr>
                <w:rFonts w:ascii="Calibri" w:hAnsi="Calibri"/>
                <w:b/>
                <w:bCs/>
                <w:sz w:val="20"/>
                <w:szCs w:val="20"/>
              </w:rPr>
              <w:t>oncentrators</w:t>
            </w:r>
            <w:r w:rsidR="00951639" w:rsidRPr="004E3FC9">
              <w:rPr>
                <w:rFonts w:ascii="Calibri" w:hAnsi="Calibri"/>
                <w:sz w:val="20"/>
                <w:szCs w:val="20"/>
              </w:rPr>
              <w:t xml:space="preserve"> (two consecutive years of program enrollment)</w:t>
            </w:r>
            <w:r w:rsidR="00BD6C28" w:rsidRPr="004E3FC9">
              <w:rPr>
                <w:rFonts w:ascii="Calibri" w:hAnsi="Calibri"/>
                <w:sz w:val="20"/>
                <w:szCs w:val="20"/>
              </w:rPr>
              <w:t>.</w:t>
            </w:r>
          </w:p>
          <w:p w14:paraId="63161182" w14:textId="21F8AC63" w:rsidR="00C50FDA" w:rsidRPr="004E3FC9" w:rsidRDefault="00CF0506" w:rsidP="0060035A">
            <w:pPr>
              <w:numPr>
                <w:ilvl w:val="0"/>
                <w:numId w:val="35"/>
              </w:numPr>
              <w:spacing w:after="0" w:line="240" w:lineRule="auto"/>
              <w:ind w:left="250" w:hanging="200"/>
              <w:rPr>
                <w:rFonts w:ascii="Calibri" w:hAnsi="Calibri"/>
                <w:sz w:val="20"/>
              </w:rPr>
            </w:pPr>
            <w:r w:rsidRPr="004E3FC9">
              <w:rPr>
                <w:rFonts w:ascii="Calibri" w:hAnsi="Calibri"/>
                <w:sz w:val="20"/>
              </w:rPr>
              <w:t xml:space="preserve">Determine the Grade 10 </w:t>
            </w:r>
            <w:r w:rsidR="00BD6C28" w:rsidRPr="004E3FC9">
              <w:rPr>
                <w:rFonts w:ascii="Calibri" w:hAnsi="Calibri"/>
                <w:sz w:val="20"/>
              </w:rPr>
              <w:t>ELA achievement levels</w:t>
            </w:r>
            <w:r w:rsidRPr="004E3FC9">
              <w:rPr>
                <w:rFonts w:ascii="Calibri" w:hAnsi="Calibri"/>
                <w:sz w:val="20"/>
              </w:rPr>
              <w:t xml:space="preserve"> of the CTE concentrators. </w:t>
            </w:r>
          </w:p>
          <w:p w14:paraId="438E2E3F" w14:textId="5673A983" w:rsidR="00C50FDA" w:rsidRPr="004E3FC9" w:rsidRDefault="00C50FDA" w:rsidP="00CF0506">
            <w:pPr>
              <w:rPr>
                <w:rFonts w:ascii="Calibri" w:hAnsi="Calibri"/>
                <w:sz w:val="20"/>
              </w:rPr>
            </w:pPr>
          </w:p>
          <w:p w14:paraId="2E3AFD47" w14:textId="77777777" w:rsidR="008156C4" w:rsidRPr="004E3FC9" w:rsidRDefault="008156C4" w:rsidP="00CF0506">
            <w:pPr>
              <w:rPr>
                <w:rFonts w:ascii="Calibri" w:hAnsi="Calibri"/>
                <w:sz w:val="20"/>
              </w:rPr>
            </w:pPr>
          </w:p>
          <w:p w14:paraId="2A22863D" w14:textId="16170850" w:rsidR="00951639" w:rsidRPr="004E3FC9" w:rsidRDefault="00CF0506" w:rsidP="00CF0506">
            <w:pPr>
              <w:rPr>
                <w:rFonts w:ascii="Calibri" w:hAnsi="Calibri"/>
                <w:sz w:val="20"/>
              </w:rPr>
            </w:pPr>
            <w:r w:rsidRPr="004E3FC9">
              <w:rPr>
                <w:rFonts w:ascii="Calibri" w:hAnsi="Calibri"/>
                <w:sz w:val="20"/>
              </w:rPr>
              <w:t xml:space="preserve">The denominator includes CTE concentrators who took the ELA </w:t>
            </w:r>
            <w:r w:rsidR="00BD6C28" w:rsidRPr="004E3FC9">
              <w:rPr>
                <w:rFonts w:ascii="Calibri" w:hAnsi="Calibri"/>
                <w:sz w:val="20"/>
              </w:rPr>
              <w:t>MCAS</w:t>
            </w:r>
            <w:r w:rsidRPr="004E3FC9">
              <w:rPr>
                <w:rFonts w:ascii="Calibri" w:hAnsi="Calibri"/>
                <w:sz w:val="20"/>
              </w:rPr>
              <w:t xml:space="preserve">. </w:t>
            </w:r>
          </w:p>
          <w:p w14:paraId="3951FC40" w14:textId="77777777" w:rsidR="00C50FDA" w:rsidRPr="004E3FC9" w:rsidRDefault="00C50FDA" w:rsidP="00CF0506">
            <w:pPr>
              <w:rPr>
                <w:rFonts w:ascii="Calibri" w:hAnsi="Calibri"/>
                <w:sz w:val="20"/>
              </w:rPr>
            </w:pPr>
          </w:p>
          <w:p w14:paraId="1E62C9D5" w14:textId="16DEF46F" w:rsidR="00CF0506" w:rsidRPr="004E3FC9" w:rsidRDefault="00CF0506" w:rsidP="00CF0506">
            <w:pPr>
              <w:rPr>
                <w:rFonts w:ascii="Calibri" w:hAnsi="Calibri"/>
                <w:sz w:val="20"/>
              </w:rPr>
            </w:pPr>
            <w:r w:rsidRPr="004E3FC9">
              <w:rPr>
                <w:rFonts w:ascii="Calibri" w:hAnsi="Calibri"/>
                <w:sz w:val="20"/>
              </w:rPr>
              <w:t>The numerator includes</w:t>
            </w:r>
            <w:r w:rsidR="008D0653">
              <w:rPr>
                <w:rFonts w:ascii="Calibri" w:hAnsi="Calibri"/>
                <w:sz w:val="20"/>
              </w:rPr>
              <w:t xml:space="preserve"> only</w:t>
            </w:r>
            <w:r w:rsidRPr="004E3FC9">
              <w:rPr>
                <w:rFonts w:ascii="Calibri" w:hAnsi="Calibri"/>
                <w:sz w:val="20"/>
              </w:rPr>
              <w:t xml:space="preserve"> the CTE concentrators who scored </w:t>
            </w:r>
            <w:r w:rsidR="00951639" w:rsidRPr="004E3FC9">
              <w:rPr>
                <w:rFonts w:ascii="Calibri" w:hAnsi="Calibri"/>
                <w:sz w:val="20"/>
              </w:rPr>
              <w:t>Meeting or Exceeding</w:t>
            </w:r>
            <w:r w:rsidRPr="004E3FC9">
              <w:rPr>
                <w:rFonts w:ascii="Calibri" w:hAnsi="Calibri"/>
                <w:sz w:val="20"/>
              </w:rPr>
              <w:t xml:space="preserve"> in the </w:t>
            </w:r>
            <w:r w:rsidR="00B22FD9" w:rsidRPr="004E3FC9">
              <w:rPr>
                <w:rFonts w:ascii="Calibri" w:hAnsi="Calibri"/>
                <w:sz w:val="20"/>
              </w:rPr>
              <w:t xml:space="preserve">Grade 10 </w:t>
            </w:r>
            <w:r w:rsidRPr="004E3FC9">
              <w:rPr>
                <w:rFonts w:ascii="Calibri" w:hAnsi="Calibri"/>
                <w:sz w:val="20"/>
              </w:rPr>
              <w:t xml:space="preserve">ELA </w:t>
            </w:r>
            <w:r w:rsidR="00BD6C28" w:rsidRPr="004E3FC9">
              <w:rPr>
                <w:rFonts w:ascii="Calibri" w:hAnsi="Calibri"/>
                <w:sz w:val="20"/>
              </w:rPr>
              <w:t>MCAS</w:t>
            </w:r>
            <w:r w:rsidRPr="004E3FC9">
              <w:rPr>
                <w:rFonts w:ascii="Calibri" w:hAnsi="Calibri"/>
                <w:sz w:val="20"/>
              </w:rPr>
              <w:t>.</w:t>
            </w:r>
          </w:p>
          <w:p w14:paraId="5AF4186B" w14:textId="77777777" w:rsidR="00F52B02" w:rsidRPr="004E3FC9" w:rsidRDefault="00F52B02" w:rsidP="00CF0506">
            <w:pPr>
              <w:rPr>
                <w:rFonts w:ascii="Calibri" w:hAnsi="Calibri"/>
                <w:sz w:val="20"/>
              </w:rPr>
            </w:pPr>
          </w:p>
          <w:p w14:paraId="4859E9B7" w14:textId="77777777" w:rsidR="00F52B02" w:rsidRPr="004E3FC9" w:rsidRDefault="00F52B02" w:rsidP="00CF0506">
            <w:pPr>
              <w:rPr>
                <w:rFonts w:ascii="Calibri" w:hAnsi="Calibri"/>
                <w:sz w:val="20"/>
              </w:rPr>
            </w:pPr>
          </w:p>
          <w:p w14:paraId="7BBB2370" w14:textId="77777777" w:rsidR="00F52B02" w:rsidRPr="004E3FC9" w:rsidRDefault="00F52B02" w:rsidP="00CF0506">
            <w:pPr>
              <w:rPr>
                <w:rFonts w:ascii="Calibri" w:hAnsi="Calibri"/>
                <w:sz w:val="20"/>
              </w:rPr>
            </w:pPr>
          </w:p>
          <w:p w14:paraId="44D8187F" w14:textId="50CAFDD9" w:rsidR="00F52B02" w:rsidRPr="004E3FC9" w:rsidRDefault="00F52B02" w:rsidP="00A54C51">
            <w:pPr>
              <w:rPr>
                <w:rFonts w:ascii="Calibri" w:hAnsi="Calibri"/>
                <w:sz w:val="20"/>
                <w:szCs w:val="20"/>
              </w:rPr>
            </w:pPr>
            <w:r w:rsidRPr="004E3FC9">
              <w:rPr>
                <w:rFonts w:ascii="Calibri" w:hAnsi="Calibri"/>
                <w:sz w:val="20"/>
                <w:szCs w:val="20"/>
              </w:rPr>
              <w:t xml:space="preserve">For 2020, this will refer </w:t>
            </w:r>
            <w:r w:rsidR="00782C87" w:rsidRPr="004E3FC9">
              <w:rPr>
                <w:rFonts w:ascii="Calibri" w:hAnsi="Calibri"/>
                <w:sz w:val="20"/>
                <w:szCs w:val="20"/>
              </w:rPr>
              <w:t xml:space="preserve">to 2020 </w:t>
            </w:r>
            <w:r w:rsidR="00EE1CDB">
              <w:rPr>
                <w:rFonts w:ascii="Calibri" w:hAnsi="Calibri"/>
                <w:sz w:val="20"/>
                <w:szCs w:val="20"/>
              </w:rPr>
              <w:t>C</w:t>
            </w:r>
            <w:r w:rsidR="00782C87" w:rsidRPr="004E3FC9">
              <w:rPr>
                <w:rFonts w:ascii="Calibri" w:hAnsi="Calibri"/>
                <w:sz w:val="20"/>
                <w:szCs w:val="20"/>
              </w:rPr>
              <w:t>oncentrators</w:t>
            </w:r>
            <w:r w:rsidR="00782C87" w:rsidRPr="004E3FC9">
              <w:rPr>
                <w:rFonts w:ascii="Calibri" w:hAnsi="Calibri"/>
                <w:i/>
                <w:iCs/>
                <w:sz w:val="20"/>
                <w:szCs w:val="20"/>
              </w:rPr>
              <w:t xml:space="preserve"> and </w:t>
            </w:r>
            <w:r w:rsidRPr="004E3FC9">
              <w:rPr>
                <w:rFonts w:ascii="Calibri" w:hAnsi="Calibri"/>
                <w:i/>
                <w:iCs/>
                <w:sz w:val="20"/>
                <w:szCs w:val="20"/>
              </w:rPr>
              <w:t xml:space="preserve">2019 MCAS. </w:t>
            </w:r>
          </w:p>
        </w:tc>
      </w:tr>
      <w:tr w:rsidR="00CF0506" w:rsidRPr="004E3FC9" w14:paraId="76FC120A" w14:textId="77777777" w:rsidTr="00DF12BE">
        <w:trPr>
          <w:cantSplit/>
          <w:trHeight w:val="7190"/>
          <w:jc w:val="center"/>
        </w:trPr>
        <w:tc>
          <w:tcPr>
            <w:tcW w:w="715" w:type="pct"/>
          </w:tcPr>
          <w:p w14:paraId="6103B4D1" w14:textId="4EAC8E0E" w:rsidR="002A73EF" w:rsidRPr="004E3FC9" w:rsidRDefault="002A73EF" w:rsidP="00CF0506">
            <w:pPr>
              <w:jc w:val="center"/>
              <w:rPr>
                <w:rFonts w:ascii="Calibri" w:hAnsi="Calibri"/>
                <w:b/>
                <w:bCs/>
              </w:rPr>
            </w:pPr>
          </w:p>
          <w:p w14:paraId="3071C8F2" w14:textId="10C141BD" w:rsidR="002A73EF" w:rsidRPr="004E3FC9" w:rsidRDefault="002A73EF" w:rsidP="00CF0506">
            <w:pPr>
              <w:jc w:val="center"/>
              <w:rPr>
                <w:rFonts w:ascii="Calibri" w:hAnsi="Calibri"/>
                <w:b/>
                <w:bCs/>
              </w:rPr>
            </w:pPr>
            <w:r w:rsidRPr="004E3FC9">
              <w:rPr>
                <w:rFonts w:ascii="Calibri" w:hAnsi="Calibri"/>
                <w:b/>
                <w:bCs/>
              </w:rPr>
              <w:t>Academic Proficiency in Mathematics</w:t>
            </w:r>
          </w:p>
          <w:p w14:paraId="6282306E" w14:textId="6B5348BA" w:rsidR="00CF0506" w:rsidRPr="004E3FC9" w:rsidRDefault="00CF0506" w:rsidP="00CF0506">
            <w:pPr>
              <w:jc w:val="center"/>
              <w:rPr>
                <w:rFonts w:ascii="Calibri" w:hAnsi="Calibri"/>
                <w:b/>
                <w:bCs/>
              </w:rPr>
            </w:pPr>
            <w:r w:rsidRPr="004E3FC9">
              <w:rPr>
                <w:rFonts w:ascii="Calibri" w:hAnsi="Calibri"/>
                <w:b/>
                <w:bCs/>
              </w:rPr>
              <w:t>2S2</w:t>
            </w:r>
          </w:p>
        </w:tc>
        <w:tc>
          <w:tcPr>
            <w:tcW w:w="1844" w:type="pct"/>
          </w:tcPr>
          <w:p w14:paraId="73E856F0" w14:textId="0ECE12D8" w:rsidR="00DF12BE" w:rsidRPr="004E3FC9" w:rsidRDefault="00DF12BE" w:rsidP="00CF0506">
            <w:pPr>
              <w:rPr>
                <w:rFonts w:ascii="Calibri" w:hAnsi="Calibri"/>
                <w:sz w:val="20"/>
                <w:szCs w:val="20"/>
              </w:rPr>
            </w:pPr>
            <w:r w:rsidRPr="004E3FC9">
              <w:rPr>
                <w:rFonts w:ascii="Calibri" w:hAnsi="Calibri"/>
                <w:sz w:val="20"/>
                <w:szCs w:val="20"/>
              </w:rPr>
              <w:t>CTE concentrator proficiency in the challenging State academic standards adopted by the State under section 1111(b)(1) of the Elementary and Secondary Education Act of 1965, as measured by the academic assessments in mathematics as described in section 1111(b)(2) of such Act.</w:t>
            </w:r>
          </w:p>
          <w:p w14:paraId="4EF8C56C" w14:textId="77777777" w:rsidR="00DF12BE" w:rsidRPr="004E3FC9" w:rsidRDefault="00DF12BE" w:rsidP="00CF0506">
            <w:pPr>
              <w:rPr>
                <w:rFonts w:ascii="Calibri" w:hAnsi="Calibri"/>
                <w:b/>
                <w:bCs/>
                <w:sz w:val="20"/>
                <w:szCs w:val="20"/>
              </w:rPr>
            </w:pPr>
          </w:p>
          <w:p w14:paraId="565A910D" w14:textId="77777777" w:rsidR="00FC58D4" w:rsidRPr="004E3FC9" w:rsidRDefault="00FC58D4" w:rsidP="00FC58D4">
            <w:pPr>
              <w:spacing w:line="240" w:lineRule="auto"/>
              <w:rPr>
                <w:rFonts w:ascii="Calibri" w:hAnsi="Calibri"/>
                <w:sz w:val="20"/>
                <w:szCs w:val="20"/>
              </w:rPr>
            </w:pPr>
          </w:p>
          <w:p w14:paraId="6B7B7763" w14:textId="4D4316B3" w:rsidR="00FC58D4" w:rsidRPr="004E3FC9" w:rsidRDefault="00FC58D4" w:rsidP="00FC58D4">
            <w:pPr>
              <w:spacing w:line="240" w:lineRule="auto"/>
              <w:rPr>
                <w:rFonts w:ascii="Calibri" w:hAnsi="Calibri"/>
                <w:sz w:val="20"/>
                <w:szCs w:val="20"/>
              </w:rPr>
            </w:pPr>
            <w:r w:rsidRPr="004E3FC9">
              <w:rPr>
                <w:rFonts w:ascii="Calibri" w:hAnsi="Calibri"/>
                <w:b/>
                <w:bCs/>
                <w:sz w:val="20"/>
                <w:szCs w:val="20"/>
              </w:rPr>
              <w:t>Denominator:</w:t>
            </w:r>
            <w:r w:rsidRPr="004E3FC9">
              <w:rPr>
                <w:rFonts w:ascii="Calibri" w:hAnsi="Calibri"/>
                <w:sz w:val="20"/>
                <w:szCs w:val="20"/>
              </w:rPr>
              <w:t xml:space="preserve"> Number of CTE concentrators who took the MCAS assessment in mathematics. </w:t>
            </w:r>
          </w:p>
          <w:p w14:paraId="7A9FFEBB" w14:textId="77777777" w:rsidR="00FC58D4" w:rsidRPr="004E3FC9" w:rsidRDefault="00FC58D4" w:rsidP="00FC58D4">
            <w:pPr>
              <w:rPr>
                <w:rFonts w:ascii="Calibri" w:hAnsi="Calibri"/>
                <w:sz w:val="20"/>
                <w:szCs w:val="20"/>
              </w:rPr>
            </w:pPr>
          </w:p>
          <w:p w14:paraId="66FC502E" w14:textId="42727D25" w:rsidR="00FC58D4" w:rsidRPr="004E3FC9" w:rsidRDefault="00FC58D4" w:rsidP="00FC58D4">
            <w:pPr>
              <w:spacing w:line="240" w:lineRule="auto"/>
              <w:rPr>
                <w:rFonts w:ascii="Calibri" w:hAnsi="Calibri"/>
                <w:sz w:val="20"/>
                <w:szCs w:val="20"/>
              </w:rPr>
            </w:pPr>
            <w:r w:rsidRPr="004E3FC9">
              <w:rPr>
                <w:rFonts w:ascii="Calibri" w:hAnsi="Calibri"/>
                <w:b/>
                <w:bCs/>
                <w:sz w:val="20"/>
                <w:szCs w:val="20"/>
              </w:rPr>
              <w:t>Numerator:</w:t>
            </w:r>
            <w:r w:rsidRPr="004E3FC9">
              <w:rPr>
                <w:rFonts w:ascii="Calibri" w:hAnsi="Calibri"/>
                <w:sz w:val="20"/>
                <w:szCs w:val="20"/>
              </w:rPr>
              <w:t xml:space="preserve"> Number of CTE concentrators who have met the Meeting or Exceeding level on the MCAS assessment in mathematics.</w:t>
            </w:r>
          </w:p>
          <w:p w14:paraId="3788D35D" w14:textId="2C50B3CC" w:rsidR="00C50FDA" w:rsidRPr="004E3FC9" w:rsidRDefault="00C50FDA" w:rsidP="00CF0506">
            <w:pPr>
              <w:rPr>
                <w:rFonts w:ascii="Calibri" w:hAnsi="Calibri"/>
                <w:b/>
                <w:sz w:val="20"/>
                <w:szCs w:val="20"/>
              </w:rPr>
            </w:pPr>
          </w:p>
        </w:tc>
        <w:tc>
          <w:tcPr>
            <w:tcW w:w="2441" w:type="pct"/>
          </w:tcPr>
          <w:p w14:paraId="42134A67" w14:textId="34A2C1F6" w:rsidR="00FC58D4" w:rsidRPr="004E3FC9" w:rsidRDefault="00FC58D4" w:rsidP="00FC58D4">
            <w:pPr>
              <w:spacing w:after="0" w:line="240" w:lineRule="auto"/>
              <w:rPr>
                <w:rFonts w:ascii="Calibri" w:hAnsi="Calibri"/>
                <w:sz w:val="20"/>
                <w:szCs w:val="20"/>
              </w:rPr>
            </w:pPr>
            <w:r w:rsidRPr="004E3FC9">
              <w:rPr>
                <w:rFonts w:ascii="Calibri" w:hAnsi="Calibri"/>
                <w:sz w:val="20"/>
                <w:szCs w:val="20"/>
              </w:rPr>
              <w:t>The actual state and district performance levels for core indicator 2S2 (proficiency level on MCAS in mathematics are computed from SIMS and MCAS data in the following manner:</w:t>
            </w:r>
          </w:p>
          <w:p w14:paraId="791A1A8B" w14:textId="622B8D05" w:rsidR="00FC58D4" w:rsidRPr="004E3FC9" w:rsidRDefault="00FC58D4" w:rsidP="00FC58D4">
            <w:pPr>
              <w:numPr>
                <w:ilvl w:val="0"/>
                <w:numId w:val="35"/>
              </w:numPr>
              <w:spacing w:after="0" w:line="240" w:lineRule="auto"/>
              <w:ind w:left="250" w:hanging="200"/>
              <w:rPr>
                <w:rFonts w:ascii="Calibri" w:hAnsi="Calibri"/>
                <w:sz w:val="20"/>
                <w:szCs w:val="20"/>
              </w:rPr>
            </w:pPr>
            <w:r w:rsidRPr="004E3FC9">
              <w:rPr>
                <w:rFonts w:ascii="Calibri" w:hAnsi="Calibri"/>
                <w:sz w:val="20"/>
                <w:szCs w:val="20"/>
              </w:rPr>
              <w:t>Determine the students who are</w:t>
            </w:r>
            <w:r w:rsidRPr="004E3FC9">
              <w:rPr>
                <w:rFonts w:ascii="Calibri" w:hAnsi="Calibri"/>
                <w:b/>
                <w:bCs/>
                <w:sz w:val="20"/>
                <w:szCs w:val="20"/>
              </w:rPr>
              <w:t xml:space="preserve"> CTE Concentrators</w:t>
            </w:r>
            <w:r w:rsidRPr="004E3FC9">
              <w:rPr>
                <w:rFonts w:ascii="Calibri" w:hAnsi="Calibri"/>
                <w:sz w:val="20"/>
                <w:szCs w:val="20"/>
              </w:rPr>
              <w:t xml:space="preserve"> (two consecutive years of program enrollment).</w:t>
            </w:r>
          </w:p>
          <w:p w14:paraId="3E380027" w14:textId="6225A80E" w:rsidR="00FC58D4" w:rsidRPr="004E3FC9" w:rsidRDefault="00FC58D4" w:rsidP="00FC58D4">
            <w:pPr>
              <w:numPr>
                <w:ilvl w:val="0"/>
                <w:numId w:val="35"/>
              </w:numPr>
              <w:spacing w:after="0" w:line="240" w:lineRule="auto"/>
              <w:ind w:left="250" w:hanging="200"/>
              <w:rPr>
                <w:rFonts w:ascii="Calibri" w:hAnsi="Calibri"/>
                <w:sz w:val="20"/>
              </w:rPr>
            </w:pPr>
            <w:r w:rsidRPr="004E3FC9">
              <w:rPr>
                <w:rFonts w:ascii="Calibri" w:hAnsi="Calibri"/>
                <w:sz w:val="20"/>
              </w:rPr>
              <w:t xml:space="preserve">Determine the Grade 10 Math achievement levels of the CTE concentrators. </w:t>
            </w:r>
          </w:p>
          <w:p w14:paraId="056AA69F" w14:textId="312D7450" w:rsidR="00FC58D4" w:rsidRPr="004E3FC9" w:rsidRDefault="00FC58D4" w:rsidP="00FC58D4">
            <w:pPr>
              <w:rPr>
                <w:rFonts w:ascii="Calibri" w:hAnsi="Calibri"/>
                <w:sz w:val="20"/>
              </w:rPr>
            </w:pPr>
          </w:p>
          <w:p w14:paraId="37D3FFB3" w14:textId="0E982290" w:rsidR="008156C4" w:rsidRPr="004E3FC9" w:rsidRDefault="008156C4" w:rsidP="00FC58D4">
            <w:pPr>
              <w:rPr>
                <w:rFonts w:ascii="Calibri" w:hAnsi="Calibri"/>
                <w:sz w:val="20"/>
              </w:rPr>
            </w:pPr>
          </w:p>
          <w:p w14:paraId="6294592C" w14:textId="77777777" w:rsidR="008156C4" w:rsidRPr="004E3FC9" w:rsidRDefault="008156C4" w:rsidP="00FC58D4">
            <w:pPr>
              <w:rPr>
                <w:rFonts w:ascii="Calibri" w:hAnsi="Calibri"/>
                <w:sz w:val="20"/>
              </w:rPr>
            </w:pPr>
          </w:p>
          <w:p w14:paraId="6786DC0E" w14:textId="3D5AE1C7" w:rsidR="00FC58D4" w:rsidRPr="004E3FC9" w:rsidRDefault="00FC58D4" w:rsidP="00FC58D4">
            <w:pPr>
              <w:rPr>
                <w:rFonts w:ascii="Calibri" w:hAnsi="Calibri"/>
                <w:sz w:val="20"/>
              </w:rPr>
            </w:pPr>
            <w:r w:rsidRPr="004E3FC9">
              <w:rPr>
                <w:rFonts w:ascii="Calibri" w:hAnsi="Calibri"/>
                <w:sz w:val="20"/>
              </w:rPr>
              <w:t xml:space="preserve">The denominator includes CTE concentrators who took the Math MCAS. </w:t>
            </w:r>
          </w:p>
          <w:p w14:paraId="3BB4EB10" w14:textId="77777777" w:rsidR="00FC58D4" w:rsidRPr="004E3FC9" w:rsidRDefault="00FC58D4" w:rsidP="00FC58D4">
            <w:pPr>
              <w:rPr>
                <w:rFonts w:ascii="Calibri" w:hAnsi="Calibri"/>
                <w:sz w:val="20"/>
              </w:rPr>
            </w:pPr>
          </w:p>
          <w:p w14:paraId="26AAA6D2" w14:textId="73B2064E" w:rsidR="00FC58D4" w:rsidRPr="004E3FC9" w:rsidRDefault="00FC58D4" w:rsidP="00FC58D4">
            <w:pPr>
              <w:rPr>
                <w:rFonts w:ascii="Calibri" w:hAnsi="Calibri"/>
                <w:sz w:val="20"/>
              </w:rPr>
            </w:pPr>
            <w:r w:rsidRPr="004E3FC9">
              <w:rPr>
                <w:rFonts w:ascii="Calibri" w:hAnsi="Calibri"/>
                <w:sz w:val="20"/>
              </w:rPr>
              <w:t>The numerator includes</w:t>
            </w:r>
            <w:r w:rsidR="008D0653">
              <w:rPr>
                <w:rFonts w:ascii="Calibri" w:hAnsi="Calibri"/>
                <w:sz w:val="20"/>
              </w:rPr>
              <w:t xml:space="preserve"> only</w:t>
            </w:r>
            <w:r w:rsidRPr="004E3FC9">
              <w:rPr>
                <w:rFonts w:ascii="Calibri" w:hAnsi="Calibri"/>
                <w:sz w:val="20"/>
              </w:rPr>
              <w:t xml:space="preserve"> the CTE concentrators who scored Meeting or Exceeding in the Grade 10 Math MCAS.</w:t>
            </w:r>
          </w:p>
          <w:p w14:paraId="7BCE903D" w14:textId="77777777" w:rsidR="00FC58D4" w:rsidRPr="004E3FC9" w:rsidRDefault="00FC58D4" w:rsidP="00FC58D4">
            <w:pPr>
              <w:rPr>
                <w:rFonts w:ascii="Calibri" w:hAnsi="Calibri"/>
                <w:sz w:val="20"/>
              </w:rPr>
            </w:pPr>
          </w:p>
          <w:p w14:paraId="6297F31D" w14:textId="77777777" w:rsidR="00FC58D4" w:rsidRPr="004E3FC9" w:rsidRDefault="00FC58D4" w:rsidP="00FC58D4">
            <w:pPr>
              <w:rPr>
                <w:rFonts w:ascii="Calibri" w:hAnsi="Calibri"/>
                <w:sz w:val="20"/>
              </w:rPr>
            </w:pPr>
          </w:p>
          <w:p w14:paraId="172163BD" w14:textId="481B07FF" w:rsidR="00CF0506" w:rsidRPr="004E3FC9" w:rsidRDefault="008156C4" w:rsidP="00CF0506">
            <w:pPr>
              <w:rPr>
                <w:rFonts w:ascii="Calibri" w:hAnsi="Calibri"/>
                <w:sz w:val="20"/>
                <w:szCs w:val="20"/>
              </w:rPr>
            </w:pPr>
            <w:r w:rsidRPr="004E3FC9">
              <w:rPr>
                <w:rFonts w:ascii="Calibri" w:hAnsi="Calibri"/>
                <w:sz w:val="20"/>
                <w:szCs w:val="20"/>
              </w:rPr>
              <w:t xml:space="preserve">For 2020, this will refer to 2020 </w:t>
            </w:r>
            <w:r w:rsidR="00EE1CDB">
              <w:rPr>
                <w:rFonts w:ascii="Calibri" w:hAnsi="Calibri"/>
                <w:sz w:val="20"/>
                <w:szCs w:val="20"/>
              </w:rPr>
              <w:t>C</w:t>
            </w:r>
            <w:r w:rsidRPr="004E3FC9">
              <w:rPr>
                <w:rFonts w:ascii="Calibri" w:hAnsi="Calibri"/>
                <w:sz w:val="20"/>
                <w:szCs w:val="20"/>
              </w:rPr>
              <w:t>oncentrators</w:t>
            </w:r>
            <w:r w:rsidRPr="004E3FC9">
              <w:rPr>
                <w:rFonts w:ascii="Calibri" w:hAnsi="Calibri"/>
                <w:i/>
                <w:iCs/>
                <w:sz w:val="20"/>
                <w:szCs w:val="20"/>
              </w:rPr>
              <w:t xml:space="preserve"> and 2019 MCAS.</w:t>
            </w:r>
          </w:p>
        </w:tc>
      </w:tr>
      <w:tr w:rsidR="00CF0506" w:rsidRPr="004E3FC9" w14:paraId="14335168" w14:textId="65C47F73" w:rsidTr="00DF12BE">
        <w:trPr>
          <w:cantSplit/>
          <w:trHeight w:val="7190"/>
          <w:jc w:val="center"/>
        </w:trPr>
        <w:tc>
          <w:tcPr>
            <w:tcW w:w="715" w:type="pct"/>
          </w:tcPr>
          <w:p w14:paraId="4027188D" w14:textId="2F97CB79" w:rsidR="002A73EF" w:rsidRPr="004E3FC9" w:rsidRDefault="002A73EF" w:rsidP="00CF0506">
            <w:pPr>
              <w:spacing w:after="0"/>
              <w:jc w:val="center"/>
              <w:rPr>
                <w:rFonts w:ascii="Calibri" w:hAnsi="Calibri"/>
                <w:b/>
              </w:rPr>
            </w:pPr>
          </w:p>
          <w:p w14:paraId="32437482" w14:textId="72DE743A" w:rsidR="002A73EF" w:rsidRPr="004E3FC9" w:rsidRDefault="002A73EF" w:rsidP="00CF0506">
            <w:pPr>
              <w:spacing w:after="0"/>
              <w:jc w:val="center"/>
              <w:rPr>
                <w:rFonts w:asciiTheme="minorHAnsi" w:hAnsiTheme="minorHAnsi" w:cstheme="minorHAnsi"/>
                <w:b/>
                <w:bCs/>
              </w:rPr>
            </w:pPr>
            <w:r w:rsidRPr="004E3FC9">
              <w:rPr>
                <w:rFonts w:asciiTheme="minorHAnsi" w:hAnsiTheme="minorHAnsi" w:cstheme="minorHAnsi"/>
                <w:b/>
                <w:bCs/>
              </w:rPr>
              <w:t xml:space="preserve">Academic Proficiency in Science </w:t>
            </w:r>
          </w:p>
          <w:p w14:paraId="516D6B03" w14:textId="49449AFE" w:rsidR="00CF0506" w:rsidRPr="004E3FC9" w:rsidRDefault="00CF0506" w:rsidP="00CF0506">
            <w:pPr>
              <w:spacing w:after="0"/>
              <w:jc w:val="center"/>
              <w:rPr>
                <w:rFonts w:ascii="Calibri" w:hAnsi="Calibri"/>
                <w:b/>
              </w:rPr>
            </w:pPr>
          </w:p>
          <w:p w14:paraId="690822D8" w14:textId="0301EE88" w:rsidR="00CF0506" w:rsidRPr="004E3FC9" w:rsidRDefault="00CF0506" w:rsidP="00CF0506">
            <w:pPr>
              <w:jc w:val="center"/>
              <w:rPr>
                <w:rFonts w:ascii="Calibri" w:hAnsi="Calibri"/>
                <w:b/>
                <w:bCs/>
              </w:rPr>
            </w:pPr>
            <w:r w:rsidRPr="004E3FC9">
              <w:rPr>
                <w:rFonts w:ascii="Calibri" w:hAnsi="Calibri"/>
                <w:b/>
              </w:rPr>
              <w:t>2S3</w:t>
            </w:r>
          </w:p>
        </w:tc>
        <w:tc>
          <w:tcPr>
            <w:tcW w:w="1844" w:type="pct"/>
          </w:tcPr>
          <w:p w14:paraId="1CAFA35F" w14:textId="77777777" w:rsidR="00FC58D4" w:rsidRPr="004E3FC9" w:rsidRDefault="00FC58D4" w:rsidP="00CF0506">
            <w:pPr>
              <w:spacing w:line="240" w:lineRule="auto"/>
              <w:rPr>
                <w:rFonts w:asciiTheme="minorHAnsi" w:hAnsiTheme="minorHAnsi" w:cstheme="minorHAnsi"/>
                <w:b/>
                <w:sz w:val="20"/>
                <w:szCs w:val="20"/>
              </w:rPr>
            </w:pPr>
            <w:r w:rsidRPr="004E3FC9">
              <w:rPr>
                <w:rFonts w:asciiTheme="minorHAnsi" w:hAnsiTheme="minorHAnsi" w:cstheme="minorHAnsi"/>
                <w:sz w:val="20"/>
                <w:szCs w:val="20"/>
              </w:rPr>
              <w:t>CTE concentrator proficiency in the challenging State academic standards adopted by the State under section 1111(b)(1) of the Elementary and Secondary Education Act of 1965, as measured by the academic assessments in science as described in section 1111(b)(2) of such Act.</w:t>
            </w:r>
            <w:r w:rsidRPr="004E3FC9">
              <w:rPr>
                <w:rFonts w:asciiTheme="minorHAnsi" w:hAnsiTheme="minorHAnsi" w:cstheme="minorHAnsi"/>
                <w:b/>
                <w:sz w:val="20"/>
                <w:szCs w:val="20"/>
              </w:rPr>
              <w:t xml:space="preserve"> </w:t>
            </w:r>
          </w:p>
          <w:p w14:paraId="6A39E8AB" w14:textId="77777777" w:rsidR="00FC58D4" w:rsidRPr="004E3FC9" w:rsidRDefault="00FC58D4" w:rsidP="00FC58D4">
            <w:pPr>
              <w:spacing w:line="240" w:lineRule="auto"/>
              <w:rPr>
                <w:rFonts w:ascii="Calibri" w:hAnsi="Calibri"/>
                <w:b/>
                <w:bCs/>
                <w:sz w:val="20"/>
                <w:szCs w:val="20"/>
              </w:rPr>
            </w:pPr>
          </w:p>
          <w:p w14:paraId="28A56613" w14:textId="77777777" w:rsidR="00FC58D4" w:rsidRPr="004E3FC9" w:rsidRDefault="00FC58D4" w:rsidP="00FC58D4">
            <w:pPr>
              <w:spacing w:line="240" w:lineRule="auto"/>
              <w:rPr>
                <w:rFonts w:ascii="Calibri" w:hAnsi="Calibri"/>
                <w:b/>
                <w:bCs/>
                <w:sz w:val="20"/>
                <w:szCs w:val="20"/>
              </w:rPr>
            </w:pPr>
          </w:p>
          <w:p w14:paraId="6FC3ABB7" w14:textId="77777777" w:rsidR="00FC58D4" w:rsidRPr="004E3FC9" w:rsidRDefault="00FC58D4" w:rsidP="00FC58D4">
            <w:pPr>
              <w:spacing w:line="240" w:lineRule="auto"/>
              <w:rPr>
                <w:rFonts w:ascii="Calibri" w:hAnsi="Calibri"/>
                <w:b/>
                <w:bCs/>
                <w:sz w:val="20"/>
                <w:szCs w:val="20"/>
              </w:rPr>
            </w:pPr>
          </w:p>
          <w:p w14:paraId="360D1771" w14:textId="66D939AF" w:rsidR="00FC58D4" w:rsidRPr="004E3FC9" w:rsidRDefault="00FC58D4" w:rsidP="00FC58D4">
            <w:pPr>
              <w:spacing w:line="240" w:lineRule="auto"/>
              <w:rPr>
                <w:rFonts w:ascii="Calibri" w:hAnsi="Calibri"/>
                <w:sz w:val="20"/>
                <w:szCs w:val="20"/>
              </w:rPr>
            </w:pPr>
            <w:r w:rsidRPr="004E3FC9">
              <w:rPr>
                <w:rFonts w:ascii="Calibri" w:hAnsi="Calibri"/>
                <w:b/>
                <w:bCs/>
                <w:sz w:val="20"/>
                <w:szCs w:val="20"/>
              </w:rPr>
              <w:t>Denominator:</w:t>
            </w:r>
            <w:r w:rsidRPr="004E3FC9">
              <w:rPr>
                <w:rFonts w:ascii="Calibri" w:hAnsi="Calibri"/>
                <w:sz w:val="20"/>
                <w:szCs w:val="20"/>
              </w:rPr>
              <w:t xml:space="preserve"> Number of CTE concentrators who took the MCAS assessment in Science and Technology/Engineering. </w:t>
            </w:r>
          </w:p>
          <w:p w14:paraId="2F491F3F" w14:textId="77777777" w:rsidR="00FC58D4" w:rsidRPr="004E3FC9" w:rsidRDefault="00FC58D4" w:rsidP="00FC58D4">
            <w:pPr>
              <w:rPr>
                <w:rFonts w:ascii="Calibri" w:hAnsi="Calibri"/>
                <w:sz w:val="20"/>
                <w:szCs w:val="20"/>
              </w:rPr>
            </w:pPr>
          </w:p>
          <w:p w14:paraId="23407B85" w14:textId="3A650BB4" w:rsidR="00FC58D4" w:rsidRPr="004E3FC9" w:rsidRDefault="00FC58D4" w:rsidP="00FC58D4">
            <w:pPr>
              <w:spacing w:line="240" w:lineRule="auto"/>
              <w:rPr>
                <w:rFonts w:ascii="Calibri" w:hAnsi="Calibri"/>
                <w:sz w:val="20"/>
                <w:szCs w:val="20"/>
              </w:rPr>
            </w:pPr>
            <w:r w:rsidRPr="004E3FC9">
              <w:rPr>
                <w:rFonts w:ascii="Calibri" w:hAnsi="Calibri"/>
                <w:b/>
                <w:bCs/>
                <w:sz w:val="20"/>
                <w:szCs w:val="20"/>
              </w:rPr>
              <w:t>Numerator:</w:t>
            </w:r>
            <w:r w:rsidRPr="004E3FC9">
              <w:rPr>
                <w:rFonts w:ascii="Calibri" w:hAnsi="Calibri"/>
                <w:sz w:val="20"/>
                <w:szCs w:val="20"/>
              </w:rPr>
              <w:t xml:space="preserve"> Number of CTE concentrators who have met the Proficient or Advanced level on the MCAS assessment in Science and Technology/Engineering.</w:t>
            </w:r>
          </w:p>
          <w:p w14:paraId="1B3C7F34" w14:textId="1F4B76D0" w:rsidR="00CF0506" w:rsidRPr="004E3FC9" w:rsidRDefault="00CF0506" w:rsidP="00CF0506">
            <w:pPr>
              <w:rPr>
                <w:rFonts w:ascii="Calibri" w:hAnsi="Calibri"/>
                <w:sz w:val="20"/>
                <w:szCs w:val="20"/>
              </w:rPr>
            </w:pPr>
          </w:p>
          <w:p w14:paraId="7AE8C0D5" w14:textId="2D19D371" w:rsidR="00CF0506" w:rsidRPr="004E3FC9" w:rsidRDefault="00CF0506" w:rsidP="00CF0506">
            <w:pPr>
              <w:rPr>
                <w:rFonts w:ascii="Calibri" w:hAnsi="Calibri"/>
                <w:sz w:val="20"/>
                <w:szCs w:val="20"/>
              </w:rPr>
            </w:pPr>
          </w:p>
          <w:p w14:paraId="4E3AAE81" w14:textId="52D173A3" w:rsidR="00CF0506" w:rsidRPr="004E3FC9" w:rsidRDefault="00CF0506" w:rsidP="00CF0506">
            <w:pPr>
              <w:rPr>
                <w:rFonts w:ascii="Calibri" w:hAnsi="Calibri"/>
                <w:sz w:val="20"/>
                <w:szCs w:val="20"/>
              </w:rPr>
            </w:pPr>
          </w:p>
          <w:p w14:paraId="3C455FE8" w14:textId="484E0909" w:rsidR="00CF0506" w:rsidRPr="004E3FC9" w:rsidRDefault="00CF0506" w:rsidP="00CF0506">
            <w:pPr>
              <w:rPr>
                <w:rFonts w:ascii="Calibri" w:hAnsi="Calibri"/>
                <w:sz w:val="20"/>
                <w:szCs w:val="20"/>
              </w:rPr>
            </w:pPr>
          </w:p>
          <w:p w14:paraId="782D9AEC" w14:textId="74BD696B" w:rsidR="00CF0506" w:rsidRPr="004E3FC9" w:rsidRDefault="00CF0506" w:rsidP="00CF0506">
            <w:pPr>
              <w:rPr>
                <w:rFonts w:ascii="Calibri" w:hAnsi="Calibri"/>
                <w:b/>
                <w:bCs/>
                <w:sz w:val="20"/>
                <w:szCs w:val="20"/>
              </w:rPr>
            </w:pPr>
          </w:p>
        </w:tc>
        <w:tc>
          <w:tcPr>
            <w:tcW w:w="2441" w:type="pct"/>
          </w:tcPr>
          <w:p w14:paraId="1919435A" w14:textId="6368A0DF" w:rsidR="00FC58D4" w:rsidRPr="004E3FC9" w:rsidRDefault="00FC58D4" w:rsidP="00FC58D4">
            <w:pPr>
              <w:spacing w:after="0" w:line="240" w:lineRule="auto"/>
              <w:rPr>
                <w:rFonts w:asciiTheme="minorHAnsi" w:hAnsiTheme="minorHAnsi" w:cstheme="minorHAnsi"/>
                <w:sz w:val="20"/>
                <w:szCs w:val="20"/>
              </w:rPr>
            </w:pPr>
            <w:r w:rsidRPr="004E3FC9">
              <w:rPr>
                <w:rFonts w:ascii="Calibri" w:hAnsi="Calibri"/>
                <w:sz w:val="20"/>
                <w:szCs w:val="20"/>
              </w:rPr>
              <w:t>The actual state and district performance levels for core indicator 2S3 (</w:t>
            </w:r>
            <w:r w:rsidRPr="004E3FC9">
              <w:rPr>
                <w:rFonts w:asciiTheme="minorHAnsi" w:hAnsiTheme="minorHAnsi" w:cstheme="minorHAnsi"/>
                <w:sz w:val="20"/>
                <w:szCs w:val="20"/>
              </w:rPr>
              <w:t xml:space="preserve">proficiency level on MCAS in Science </w:t>
            </w:r>
            <w:r w:rsidR="00A64E34" w:rsidRPr="004E3FC9">
              <w:rPr>
                <w:rFonts w:asciiTheme="minorHAnsi" w:hAnsiTheme="minorHAnsi" w:cstheme="minorHAnsi"/>
                <w:sz w:val="20"/>
                <w:szCs w:val="20"/>
              </w:rPr>
              <w:t>and</w:t>
            </w:r>
            <w:r w:rsidRPr="004E3FC9">
              <w:rPr>
                <w:rFonts w:asciiTheme="minorHAnsi" w:hAnsiTheme="minorHAnsi" w:cstheme="minorHAnsi"/>
                <w:sz w:val="20"/>
                <w:szCs w:val="20"/>
              </w:rPr>
              <w:t xml:space="preserve"> Technology/Engineering are computed from SIMS and MCAS data in the following manner:</w:t>
            </w:r>
          </w:p>
          <w:p w14:paraId="7939A0CB" w14:textId="27BFA509" w:rsidR="00FC58D4" w:rsidRPr="004E3FC9" w:rsidRDefault="00FC58D4" w:rsidP="00FC58D4">
            <w:pPr>
              <w:numPr>
                <w:ilvl w:val="0"/>
                <w:numId w:val="35"/>
              </w:numPr>
              <w:spacing w:after="0" w:line="240" w:lineRule="auto"/>
              <w:ind w:left="250" w:hanging="200"/>
              <w:rPr>
                <w:rFonts w:asciiTheme="minorHAnsi" w:hAnsiTheme="minorHAnsi" w:cstheme="minorHAnsi"/>
                <w:sz w:val="20"/>
                <w:szCs w:val="20"/>
              </w:rPr>
            </w:pPr>
            <w:r w:rsidRPr="004E3FC9">
              <w:rPr>
                <w:rFonts w:asciiTheme="minorHAnsi" w:hAnsiTheme="minorHAnsi" w:cstheme="minorHAnsi"/>
                <w:sz w:val="20"/>
                <w:szCs w:val="20"/>
              </w:rPr>
              <w:t>Determine the students who are</w:t>
            </w:r>
            <w:r w:rsidRPr="004E3FC9">
              <w:rPr>
                <w:rFonts w:asciiTheme="minorHAnsi" w:hAnsiTheme="minorHAnsi" w:cstheme="minorHAnsi"/>
                <w:b/>
                <w:bCs/>
                <w:sz w:val="20"/>
                <w:szCs w:val="20"/>
              </w:rPr>
              <w:t xml:space="preserve"> CTE Concentrators</w:t>
            </w:r>
            <w:r w:rsidRPr="004E3FC9">
              <w:rPr>
                <w:rFonts w:asciiTheme="minorHAnsi" w:hAnsiTheme="minorHAnsi" w:cstheme="minorHAnsi"/>
                <w:sz w:val="20"/>
                <w:szCs w:val="20"/>
              </w:rPr>
              <w:t xml:space="preserve"> (two consecutive years of program enrollment).</w:t>
            </w:r>
          </w:p>
          <w:p w14:paraId="04B0A108" w14:textId="56716AB9" w:rsidR="00FC58D4" w:rsidRPr="004E3FC9" w:rsidRDefault="00FC58D4" w:rsidP="00FC58D4">
            <w:pPr>
              <w:numPr>
                <w:ilvl w:val="0"/>
                <w:numId w:val="35"/>
              </w:numPr>
              <w:spacing w:after="0" w:line="240" w:lineRule="auto"/>
              <w:ind w:left="250" w:hanging="200"/>
              <w:rPr>
                <w:rFonts w:asciiTheme="minorHAnsi" w:hAnsiTheme="minorHAnsi" w:cstheme="minorHAnsi"/>
                <w:sz w:val="20"/>
                <w:szCs w:val="20"/>
              </w:rPr>
            </w:pPr>
            <w:r w:rsidRPr="004E3FC9">
              <w:rPr>
                <w:rFonts w:asciiTheme="minorHAnsi" w:hAnsiTheme="minorHAnsi" w:cstheme="minorHAnsi"/>
                <w:sz w:val="20"/>
                <w:szCs w:val="20"/>
              </w:rPr>
              <w:t xml:space="preserve">Determine the Grade 10 </w:t>
            </w:r>
            <w:r w:rsidR="00A64E34" w:rsidRPr="004E3FC9">
              <w:rPr>
                <w:rFonts w:asciiTheme="minorHAnsi" w:hAnsiTheme="minorHAnsi" w:cstheme="minorHAnsi"/>
                <w:sz w:val="20"/>
                <w:szCs w:val="20"/>
              </w:rPr>
              <w:t>Science and Technology/Engineering</w:t>
            </w:r>
            <w:r w:rsidRPr="004E3FC9">
              <w:rPr>
                <w:rFonts w:asciiTheme="minorHAnsi" w:hAnsiTheme="minorHAnsi" w:cstheme="minorHAnsi"/>
                <w:sz w:val="20"/>
                <w:szCs w:val="20"/>
              </w:rPr>
              <w:t xml:space="preserve"> achievement levels</w:t>
            </w:r>
            <w:r w:rsidR="00A64E34" w:rsidRPr="004E3FC9">
              <w:rPr>
                <w:rFonts w:asciiTheme="minorHAnsi" w:hAnsiTheme="minorHAnsi" w:cstheme="minorHAnsi"/>
                <w:sz w:val="20"/>
                <w:szCs w:val="20"/>
              </w:rPr>
              <w:t>*</w:t>
            </w:r>
            <w:r w:rsidRPr="004E3FC9">
              <w:rPr>
                <w:rFonts w:asciiTheme="minorHAnsi" w:hAnsiTheme="minorHAnsi" w:cstheme="minorHAnsi"/>
                <w:sz w:val="20"/>
                <w:szCs w:val="20"/>
              </w:rPr>
              <w:t xml:space="preserve"> of the CTE concentrators. </w:t>
            </w:r>
          </w:p>
          <w:p w14:paraId="071E64CF" w14:textId="767A0AA8" w:rsidR="00FC58D4" w:rsidRPr="004E3FC9" w:rsidRDefault="00FC58D4" w:rsidP="00FC58D4">
            <w:pPr>
              <w:rPr>
                <w:rFonts w:asciiTheme="minorHAnsi" w:hAnsiTheme="minorHAnsi" w:cstheme="minorHAnsi"/>
                <w:sz w:val="20"/>
                <w:szCs w:val="20"/>
              </w:rPr>
            </w:pPr>
          </w:p>
          <w:p w14:paraId="42F7C232" w14:textId="77777777" w:rsidR="00A64E34" w:rsidRPr="004E3FC9" w:rsidRDefault="00A64E34" w:rsidP="00FC58D4">
            <w:pPr>
              <w:rPr>
                <w:rFonts w:asciiTheme="minorHAnsi" w:hAnsiTheme="minorHAnsi" w:cstheme="minorHAnsi"/>
                <w:sz w:val="20"/>
                <w:szCs w:val="20"/>
              </w:rPr>
            </w:pPr>
          </w:p>
          <w:p w14:paraId="340E15D1" w14:textId="225A0D1A" w:rsidR="00FC58D4" w:rsidRPr="004E3FC9" w:rsidRDefault="00FC58D4" w:rsidP="00FC58D4">
            <w:pPr>
              <w:rPr>
                <w:rFonts w:asciiTheme="minorHAnsi" w:hAnsiTheme="minorHAnsi" w:cstheme="minorHAnsi"/>
                <w:sz w:val="20"/>
                <w:szCs w:val="20"/>
              </w:rPr>
            </w:pPr>
            <w:r w:rsidRPr="004E3FC9">
              <w:rPr>
                <w:rFonts w:asciiTheme="minorHAnsi" w:hAnsiTheme="minorHAnsi" w:cstheme="minorHAnsi"/>
                <w:sz w:val="20"/>
                <w:szCs w:val="20"/>
              </w:rPr>
              <w:t xml:space="preserve">The denominator includes CTE concentrators who took the </w:t>
            </w:r>
            <w:r w:rsidR="00A64E34" w:rsidRPr="004E3FC9">
              <w:rPr>
                <w:rFonts w:asciiTheme="minorHAnsi" w:hAnsiTheme="minorHAnsi" w:cstheme="minorHAnsi"/>
                <w:sz w:val="20"/>
                <w:szCs w:val="20"/>
              </w:rPr>
              <w:t xml:space="preserve">Science and Technology/Engineering </w:t>
            </w:r>
            <w:r w:rsidRPr="004E3FC9">
              <w:rPr>
                <w:rFonts w:asciiTheme="minorHAnsi" w:hAnsiTheme="minorHAnsi" w:cstheme="minorHAnsi"/>
                <w:sz w:val="20"/>
                <w:szCs w:val="20"/>
              </w:rPr>
              <w:t xml:space="preserve">MCAS. </w:t>
            </w:r>
          </w:p>
          <w:p w14:paraId="1B67CABF" w14:textId="77777777" w:rsidR="00FC58D4" w:rsidRPr="004E3FC9" w:rsidRDefault="00FC58D4" w:rsidP="00FC58D4">
            <w:pPr>
              <w:rPr>
                <w:rFonts w:asciiTheme="minorHAnsi" w:hAnsiTheme="minorHAnsi" w:cstheme="minorHAnsi"/>
                <w:sz w:val="20"/>
                <w:szCs w:val="20"/>
              </w:rPr>
            </w:pPr>
          </w:p>
          <w:p w14:paraId="77D9B05D" w14:textId="351B68B2" w:rsidR="00FC58D4" w:rsidRPr="004E3FC9" w:rsidRDefault="00FC58D4" w:rsidP="00FC58D4">
            <w:pPr>
              <w:rPr>
                <w:rFonts w:asciiTheme="minorHAnsi" w:hAnsiTheme="minorHAnsi" w:cstheme="minorHAnsi"/>
                <w:sz w:val="20"/>
                <w:szCs w:val="20"/>
              </w:rPr>
            </w:pPr>
            <w:r w:rsidRPr="004E3FC9">
              <w:rPr>
                <w:rFonts w:asciiTheme="minorHAnsi" w:hAnsiTheme="minorHAnsi" w:cstheme="minorHAnsi"/>
                <w:sz w:val="20"/>
                <w:szCs w:val="20"/>
              </w:rPr>
              <w:t xml:space="preserve">The numerator includes </w:t>
            </w:r>
            <w:r w:rsidR="008D0653">
              <w:rPr>
                <w:rFonts w:asciiTheme="minorHAnsi" w:hAnsiTheme="minorHAnsi" w:cstheme="minorHAnsi"/>
                <w:sz w:val="20"/>
                <w:szCs w:val="20"/>
              </w:rPr>
              <w:t xml:space="preserve">only </w:t>
            </w:r>
            <w:r w:rsidRPr="004E3FC9">
              <w:rPr>
                <w:rFonts w:asciiTheme="minorHAnsi" w:hAnsiTheme="minorHAnsi" w:cstheme="minorHAnsi"/>
                <w:sz w:val="20"/>
                <w:szCs w:val="20"/>
              </w:rPr>
              <w:t xml:space="preserve">the CTE concentrators who scored </w:t>
            </w:r>
            <w:r w:rsidR="00A64E34" w:rsidRPr="004E3FC9">
              <w:rPr>
                <w:rFonts w:asciiTheme="minorHAnsi" w:hAnsiTheme="minorHAnsi" w:cstheme="minorHAnsi"/>
                <w:sz w:val="20"/>
                <w:szCs w:val="20"/>
              </w:rPr>
              <w:t xml:space="preserve">Advanced or Proficient in </w:t>
            </w:r>
            <w:r w:rsidRPr="004E3FC9">
              <w:rPr>
                <w:rFonts w:asciiTheme="minorHAnsi" w:hAnsiTheme="minorHAnsi" w:cstheme="minorHAnsi"/>
                <w:sz w:val="20"/>
                <w:szCs w:val="20"/>
              </w:rPr>
              <w:t xml:space="preserve">the Grade 10 </w:t>
            </w:r>
            <w:r w:rsidR="00A64E34" w:rsidRPr="004E3FC9">
              <w:rPr>
                <w:rFonts w:asciiTheme="minorHAnsi" w:hAnsiTheme="minorHAnsi" w:cstheme="minorHAnsi"/>
                <w:sz w:val="20"/>
                <w:szCs w:val="20"/>
              </w:rPr>
              <w:t xml:space="preserve">Science and Technology/Engineering </w:t>
            </w:r>
            <w:r w:rsidRPr="004E3FC9">
              <w:rPr>
                <w:rFonts w:asciiTheme="minorHAnsi" w:hAnsiTheme="minorHAnsi" w:cstheme="minorHAnsi"/>
                <w:sz w:val="20"/>
                <w:szCs w:val="20"/>
              </w:rPr>
              <w:t>MCAS.</w:t>
            </w:r>
          </w:p>
          <w:p w14:paraId="3E9D006C" w14:textId="3F2B31BC" w:rsidR="00FC58D4" w:rsidRPr="004E3FC9" w:rsidRDefault="00A64E34" w:rsidP="00FC58D4">
            <w:pPr>
              <w:spacing w:after="0" w:line="240" w:lineRule="auto"/>
              <w:rPr>
                <w:rFonts w:asciiTheme="minorHAnsi" w:hAnsiTheme="minorHAnsi" w:cstheme="minorHAnsi"/>
                <w:color w:val="000000"/>
                <w:sz w:val="20"/>
                <w:szCs w:val="20"/>
                <w:shd w:val="clear" w:color="auto" w:fill="FFFFFF"/>
              </w:rPr>
            </w:pPr>
            <w:r w:rsidRPr="004E3FC9">
              <w:rPr>
                <w:rFonts w:asciiTheme="minorHAnsi" w:hAnsiTheme="minorHAnsi" w:cstheme="minorHAnsi"/>
                <w:color w:val="000000"/>
                <w:sz w:val="20"/>
                <w:szCs w:val="20"/>
                <w:shd w:val="clear" w:color="auto" w:fill="FFFFFF"/>
              </w:rPr>
              <w:t>* This follows P</w:t>
            </w:r>
            <w:r w:rsidR="00FC58D4" w:rsidRPr="004E3FC9">
              <w:rPr>
                <w:rFonts w:asciiTheme="minorHAnsi" w:hAnsiTheme="minorHAnsi" w:cstheme="minorHAnsi"/>
                <w:color w:val="000000"/>
                <w:sz w:val="20"/>
                <w:szCs w:val="20"/>
                <w:shd w:val="clear" w:color="auto" w:fill="FFFFFF"/>
              </w:rPr>
              <w:t>rofile</w:t>
            </w:r>
            <w:r w:rsidRPr="004E3FC9">
              <w:rPr>
                <w:rFonts w:asciiTheme="minorHAnsi" w:hAnsiTheme="minorHAnsi" w:cstheme="minorHAnsi"/>
                <w:color w:val="000000"/>
                <w:sz w:val="20"/>
                <w:szCs w:val="20"/>
                <w:shd w:val="clear" w:color="auto" w:fill="FFFFFF"/>
              </w:rPr>
              <w:t>s</w:t>
            </w:r>
            <w:r w:rsidR="00FC58D4" w:rsidRPr="004E3FC9">
              <w:rPr>
                <w:rFonts w:asciiTheme="minorHAnsi" w:hAnsiTheme="minorHAnsi" w:cstheme="minorHAnsi"/>
                <w:color w:val="000000"/>
                <w:sz w:val="20"/>
                <w:szCs w:val="20"/>
                <w:shd w:val="clear" w:color="auto" w:fill="FFFFFF"/>
              </w:rPr>
              <w:t xml:space="preserve"> reporting rules:</w:t>
            </w:r>
          </w:p>
          <w:p w14:paraId="52A03A2C" w14:textId="6649F731" w:rsidR="00FC58D4" w:rsidRPr="004E3FC9" w:rsidRDefault="00FC58D4" w:rsidP="006E37AE">
            <w:pPr>
              <w:spacing w:after="0" w:line="240" w:lineRule="auto"/>
              <w:rPr>
                <w:rFonts w:asciiTheme="minorHAnsi" w:hAnsiTheme="minorHAnsi" w:cstheme="minorHAnsi"/>
                <w:color w:val="1F497D"/>
                <w:sz w:val="20"/>
                <w:szCs w:val="20"/>
                <w:lang w:bidi="ar-SA"/>
              </w:rPr>
            </w:pPr>
            <w:r w:rsidRPr="004E3FC9">
              <w:rPr>
                <w:rFonts w:asciiTheme="minorHAnsi" w:hAnsiTheme="minorHAnsi" w:cstheme="minorHAnsi"/>
                <w:color w:val="000000"/>
                <w:sz w:val="20"/>
                <w:szCs w:val="20"/>
                <w:shd w:val="clear" w:color="auto" w:fill="FFFFFF"/>
              </w:rPr>
              <w:t xml:space="preserve">Grade 10 Science and Technology/Engineering results represent </w:t>
            </w:r>
            <w:r w:rsidRPr="004E3FC9">
              <w:rPr>
                <w:rFonts w:asciiTheme="minorHAnsi" w:hAnsiTheme="minorHAnsi" w:cstheme="minorHAnsi"/>
                <w:i/>
                <w:iCs/>
                <w:color w:val="000000"/>
                <w:sz w:val="20"/>
                <w:szCs w:val="20"/>
                <w:shd w:val="clear" w:color="auto" w:fill="FFFFFF"/>
              </w:rPr>
              <w:t>the highest achievement level attained by students by the end of grade 10</w:t>
            </w:r>
            <w:r w:rsidRPr="004E3FC9">
              <w:rPr>
                <w:rFonts w:asciiTheme="minorHAnsi" w:hAnsiTheme="minorHAnsi" w:cstheme="minorHAnsi"/>
                <w:color w:val="000000"/>
                <w:sz w:val="20"/>
                <w:szCs w:val="20"/>
                <w:shd w:val="clear" w:color="auto" w:fill="FFFFFF"/>
              </w:rPr>
              <w:t>. In addition, only students enrolled for two full years in the state/district/school are included in state/district/school achievement level results.</w:t>
            </w:r>
          </w:p>
          <w:p w14:paraId="6B045F91" w14:textId="77777777" w:rsidR="00FC58D4" w:rsidRPr="004E3FC9" w:rsidRDefault="00FC58D4" w:rsidP="00FC58D4">
            <w:pPr>
              <w:rPr>
                <w:rFonts w:asciiTheme="minorHAnsi" w:hAnsiTheme="minorHAnsi" w:cstheme="minorHAnsi"/>
                <w:sz w:val="20"/>
                <w:szCs w:val="20"/>
              </w:rPr>
            </w:pPr>
          </w:p>
          <w:p w14:paraId="089D4381" w14:textId="5DE7CC8A" w:rsidR="00CF0506" w:rsidRPr="004E3FC9" w:rsidRDefault="008156C4" w:rsidP="00CF0506">
            <w:pPr>
              <w:spacing w:after="0"/>
              <w:rPr>
                <w:rFonts w:ascii="Calibri" w:hAnsi="Calibri"/>
                <w:sz w:val="20"/>
                <w:szCs w:val="20"/>
              </w:rPr>
            </w:pPr>
            <w:r w:rsidRPr="004E3FC9">
              <w:rPr>
                <w:rFonts w:ascii="Calibri" w:hAnsi="Calibri"/>
                <w:sz w:val="20"/>
                <w:szCs w:val="20"/>
              </w:rPr>
              <w:t xml:space="preserve">For 2020, this will refer to 2020 </w:t>
            </w:r>
            <w:r w:rsidR="00EE1CDB">
              <w:rPr>
                <w:rFonts w:ascii="Calibri" w:hAnsi="Calibri"/>
                <w:sz w:val="20"/>
                <w:szCs w:val="20"/>
              </w:rPr>
              <w:t>C</w:t>
            </w:r>
            <w:r w:rsidRPr="004E3FC9">
              <w:rPr>
                <w:rFonts w:ascii="Calibri" w:hAnsi="Calibri"/>
                <w:sz w:val="20"/>
                <w:szCs w:val="20"/>
              </w:rPr>
              <w:t>oncentrators</w:t>
            </w:r>
            <w:r w:rsidRPr="004E3FC9">
              <w:rPr>
                <w:rFonts w:ascii="Calibri" w:hAnsi="Calibri"/>
                <w:i/>
                <w:iCs/>
                <w:sz w:val="20"/>
                <w:szCs w:val="20"/>
              </w:rPr>
              <w:t xml:space="preserve"> and 2019 MCAS.</w:t>
            </w:r>
          </w:p>
        </w:tc>
      </w:tr>
      <w:tr w:rsidR="00CF0506" w:rsidRPr="004E3FC9" w14:paraId="756850B8" w14:textId="77777777" w:rsidTr="00DF12BE">
        <w:trPr>
          <w:cantSplit/>
          <w:trHeight w:val="7190"/>
          <w:jc w:val="center"/>
        </w:trPr>
        <w:tc>
          <w:tcPr>
            <w:tcW w:w="715" w:type="pct"/>
          </w:tcPr>
          <w:p w14:paraId="1A543AEC" w14:textId="1B69D855" w:rsidR="00CF0506" w:rsidRPr="004E3FC9" w:rsidRDefault="00CF0506" w:rsidP="00CF0506">
            <w:pPr>
              <w:jc w:val="center"/>
              <w:rPr>
                <w:rFonts w:ascii="Calibri" w:hAnsi="Calibri"/>
                <w:b/>
                <w:bCs/>
              </w:rPr>
            </w:pPr>
            <w:r w:rsidRPr="004E3FC9">
              <w:rPr>
                <w:rFonts w:ascii="Calibri" w:hAnsi="Calibri"/>
                <w:b/>
                <w:bCs/>
              </w:rPr>
              <w:lastRenderedPageBreak/>
              <w:t>Post</w:t>
            </w:r>
            <w:r w:rsidR="002A73EF" w:rsidRPr="004E3FC9">
              <w:rPr>
                <w:rFonts w:ascii="Calibri" w:hAnsi="Calibri"/>
                <w:b/>
                <w:bCs/>
              </w:rPr>
              <w:t xml:space="preserve">-program </w:t>
            </w:r>
            <w:r w:rsidRPr="004E3FC9">
              <w:rPr>
                <w:rFonts w:ascii="Calibri" w:hAnsi="Calibri"/>
                <w:b/>
                <w:bCs/>
              </w:rPr>
              <w:t>Placement</w:t>
            </w:r>
          </w:p>
          <w:p w14:paraId="711350A9" w14:textId="6F31A85C" w:rsidR="00CF0506" w:rsidRPr="004E3FC9" w:rsidRDefault="00CF0506" w:rsidP="00CF0506">
            <w:pPr>
              <w:jc w:val="center"/>
              <w:rPr>
                <w:rFonts w:ascii="Calibri" w:hAnsi="Calibri"/>
                <w:b/>
                <w:bCs/>
              </w:rPr>
            </w:pPr>
            <w:r w:rsidRPr="004E3FC9">
              <w:rPr>
                <w:rFonts w:ascii="Calibri" w:hAnsi="Calibri"/>
                <w:b/>
                <w:bCs/>
              </w:rPr>
              <w:t>3S1</w:t>
            </w:r>
          </w:p>
        </w:tc>
        <w:tc>
          <w:tcPr>
            <w:tcW w:w="1844" w:type="pct"/>
          </w:tcPr>
          <w:p w14:paraId="1DE69412" w14:textId="57EAA67E" w:rsidR="00C9086A" w:rsidRPr="004E3FC9" w:rsidRDefault="00C9086A" w:rsidP="00CF0506">
            <w:pPr>
              <w:widowControl w:val="0"/>
              <w:autoSpaceDE w:val="0"/>
              <w:autoSpaceDN w:val="0"/>
              <w:adjustRightInd w:val="0"/>
              <w:ind w:right="24"/>
              <w:rPr>
                <w:rFonts w:ascii="Calibri" w:hAnsi="Calibri"/>
                <w:bCs/>
                <w:sz w:val="20"/>
                <w:szCs w:val="20"/>
              </w:rPr>
            </w:pPr>
            <w:r w:rsidRPr="004E3FC9">
              <w:rPr>
                <w:rFonts w:ascii="Calibri" w:hAnsi="Calibri"/>
                <w:bCs/>
                <w:sz w:val="20"/>
                <w:szCs w:val="20"/>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w:t>
            </w:r>
          </w:p>
          <w:p w14:paraId="3E70E2A0" w14:textId="77777777" w:rsidR="00331ED4" w:rsidRPr="004E3FC9" w:rsidRDefault="00331ED4" w:rsidP="00CF0506">
            <w:pPr>
              <w:rPr>
                <w:rFonts w:ascii="Calibri" w:hAnsi="Calibri"/>
                <w:b/>
                <w:sz w:val="20"/>
                <w:szCs w:val="20"/>
              </w:rPr>
            </w:pPr>
          </w:p>
          <w:p w14:paraId="706492B6" w14:textId="59E2853D" w:rsidR="00CF0506" w:rsidRPr="004E3FC9" w:rsidRDefault="00CF0506" w:rsidP="00CF0506">
            <w:pPr>
              <w:rPr>
                <w:rFonts w:ascii="Calibri" w:hAnsi="Calibri"/>
                <w:sz w:val="20"/>
                <w:szCs w:val="20"/>
              </w:rPr>
            </w:pPr>
            <w:r w:rsidRPr="004E3FC9">
              <w:rPr>
                <w:rFonts w:ascii="Calibri" w:hAnsi="Calibri"/>
                <w:b/>
                <w:sz w:val="20"/>
                <w:szCs w:val="20"/>
              </w:rPr>
              <w:t>Denominator</w:t>
            </w:r>
            <w:r w:rsidRPr="004E3FC9">
              <w:rPr>
                <w:rFonts w:ascii="Calibri" w:hAnsi="Calibri"/>
                <w:sz w:val="20"/>
                <w:szCs w:val="20"/>
              </w:rPr>
              <w:t>: Number of CTE concentrators</w:t>
            </w:r>
            <w:r w:rsidRPr="004E3FC9">
              <w:rPr>
                <w:rFonts w:ascii="Calibri" w:hAnsi="Calibri"/>
                <w:sz w:val="20"/>
                <w:szCs w:val="20"/>
                <w:u w:val="single"/>
              </w:rPr>
              <w:t xml:space="preserve"> </w:t>
            </w:r>
            <w:r w:rsidR="002D5908" w:rsidRPr="004E3FC9">
              <w:rPr>
                <w:rFonts w:ascii="Calibri" w:hAnsi="Calibri"/>
                <w:sz w:val="20"/>
                <w:szCs w:val="20"/>
              </w:rPr>
              <w:t xml:space="preserve">who graduated </w:t>
            </w:r>
            <w:r w:rsidR="005A428D" w:rsidRPr="004E3FC9">
              <w:rPr>
                <w:rFonts w:ascii="Calibri" w:hAnsi="Calibri"/>
                <w:sz w:val="20"/>
                <w:szCs w:val="20"/>
              </w:rPr>
              <w:t>*</w:t>
            </w:r>
            <w:r w:rsidRPr="004E3FC9">
              <w:rPr>
                <w:rFonts w:ascii="Calibri" w:hAnsi="Calibri"/>
                <w:sz w:val="20"/>
                <w:szCs w:val="20"/>
              </w:rPr>
              <w:t xml:space="preserve">during the </w:t>
            </w:r>
            <w:r w:rsidR="001D087C" w:rsidRPr="004E3FC9">
              <w:rPr>
                <w:rFonts w:ascii="Calibri" w:hAnsi="Calibri"/>
                <w:sz w:val="20"/>
                <w:szCs w:val="20"/>
              </w:rPr>
              <w:t>year prior</w:t>
            </w:r>
            <w:r w:rsidRPr="004E3FC9">
              <w:rPr>
                <w:rFonts w:ascii="Calibri" w:hAnsi="Calibri"/>
                <w:sz w:val="20"/>
                <w:szCs w:val="20"/>
              </w:rPr>
              <w:t>.</w:t>
            </w:r>
          </w:p>
          <w:p w14:paraId="75B90170" w14:textId="77777777" w:rsidR="00C50FDA" w:rsidRPr="004E3FC9" w:rsidRDefault="00C50FDA" w:rsidP="00C50FDA">
            <w:pPr>
              <w:widowControl w:val="0"/>
              <w:autoSpaceDE w:val="0"/>
              <w:autoSpaceDN w:val="0"/>
              <w:adjustRightInd w:val="0"/>
              <w:ind w:right="24"/>
              <w:rPr>
                <w:rFonts w:ascii="Calibri" w:hAnsi="Calibri"/>
                <w:sz w:val="20"/>
                <w:szCs w:val="20"/>
              </w:rPr>
            </w:pPr>
            <w:r w:rsidRPr="004E3FC9">
              <w:rPr>
                <w:rFonts w:ascii="Calibri" w:hAnsi="Calibri"/>
                <w:b/>
                <w:sz w:val="20"/>
                <w:szCs w:val="20"/>
              </w:rPr>
              <w:t>Numerator</w:t>
            </w:r>
            <w:r w:rsidRPr="004E3FC9">
              <w:rPr>
                <w:rFonts w:ascii="Calibri" w:hAnsi="Calibri"/>
                <w:sz w:val="20"/>
                <w:szCs w:val="20"/>
              </w:rPr>
              <w:t>: Number of CTE concentrators who graduated and were in postsecondary education or advanced training including registered apprenticeships, in the military service or a service program (as described), or are volunteers (as described), or employment, in the second quarter (3-6 months) after they left secondary education (unduplicated placement status).</w:t>
            </w:r>
          </w:p>
          <w:p w14:paraId="0D0A548A" w14:textId="466A2043" w:rsidR="00C50FDA" w:rsidRPr="004E3FC9" w:rsidRDefault="00C50FDA" w:rsidP="00CF0506">
            <w:pPr>
              <w:rPr>
                <w:rFonts w:ascii="Calibri" w:hAnsi="Calibri"/>
                <w:b/>
                <w:bCs/>
                <w:sz w:val="20"/>
                <w:szCs w:val="20"/>
              </w:rPr>
            </w:pPr>
          </w:p>
        </w:tc>
        <w:tc>
          <w:tcPr>
            <w:tcW w:w="2441" w:type="pct"/>
          </w:tcPr>
          <w:p w14:paraId="02DE6647" w14:textId="14EE8CF4" w:rsidR="00CF0506" w:rsidRPr="004E3FC9" w:rsidRDefault="00CF0506" w:rsidP="00CF0506">
            <w:pPr>
              <w:rPr>
                <w:rFonts w:ascii="Calibri" w:hAnsi="Calibri"/>
                <w:sz w:val="20"/>
                <w:szCs w:val="20"/>
              </w:rPr>
            </w:pPr>
            <w:r w:rsidRPr="004E3FC9">
              <w:rPr>
                <w:rFonts w:ascii="Calibri" w:hAnsi="Calibri"/>
                <w:sz w:val="20"/>
                <w:szCs w:val="20"/>
              </w:rPr>
              <w:t xml:space="preserve">The actual state and local performance levels for core indicator </w:t>
            </w:r>
            <w:r w:rsidR="00C9086A" w:rsidRPr="004E3FC9">
              <w:rPr>
                <w:rFonts w:ascii="Calibri" w:hAnsi="Calibri"/>
                <w:sz w:val="20"/>
                <w:szCs w:val="20"/>
              </w:rPr>
              <w:t>3</w:t>
            </w:r>
            <w:r w:rsidRPr="004E3FC9">
              <w:rPr>
                <w:rFonts w:ascii="Calibri" w:hAnsi="Calibri"/>
                <w:sz w:val="20"/>
                <w:szCs w:val="20"/>
              </w:rPr>
              <w:t>S1 are computed from the Career/Vocational Technical Education Graduate Follow-up Report in the following manner:</w:t>
            </w:r>
          </w:p>
          <w:p w14:paraId="191C82CF" w14:textId="77777777" w:rsidR="00C50FDA" w:rsidRPr="004E3FC9" w:rsidRDefault="00C50FDA" w:rsidP="00CF0506">
            <w:pPr>
              <w:spacing w:after="0"/>
              <w:rPr>
                <w:rFonts w:ascii="Calibri" w:hAnsi="Calibri"/>
                <w:sz w:val="20"/>
                <w:szCs w:val="20"/>
              </w:rPr>
            </w:pPr>
          </w:p>
          <w:p w14:paraId="587879C3" w14:textId="77777777" w:rsidR="00C50FDA" w:rsidRPr="004E3FC9" w:rsidRDefault="00C50FDA" w:rsidP="00CF0506">
            <w:pPr>
              <w:spacing w:after="0"/>
              <w:rPr>
                <w:rFonts w:ascii="Calibri" w:hAnsi="Calibri"/>
                <w:sz w:val="20"/>
                <w:szCs w:val="20"/>
              </w:rPr>
            </w:pPr>
          </w:p>
          <w:p w14:paraId="0AF17DF3" w14:textId="77777777" w:rsidR="00C50FDA" w:rsidRPr="004E3FC9" w:rsidRDefault="00C50FDA" w:rsidP="00CF0506">
            <w:pPr>
              <w:spacing w:after="0"/>
              <w:rPr>
                <w:rFonts w:ascii="Calibri" w:hAnsi="Calibri"/>
                <w:sz w:val="20"/>
                <w:szCs w:val="20"/>
              </w:rPr>
            </w:pPr>
          </w:p>
          <w:p w14:paraId="2A059EDA" w14:textId="77777777" w:rsidR="00C50FDA" w:rsidRPr="004E3FC9" w:rsidRDefault="00C50FDA" w:rsidP="00CF0506">
            <w:pPr>
              <w:spacing w:after="0"/>
              <w:rPr>
                <w:rFonts w:ascii="Calibri" w:hAnsi="Calibri"/>
                <w:sz w:val="20"/>
                <w:szCs w:val="20"/>
              </w:rPr>
            </w:pPr>
          </w:p>
          <w:p w14:paraId="50255A7B" w14:textId="77777777" w:rsidR="00C50FDA" w:rsidRPr="004E3FC9" w:rsidRDefault="00C50FDA" w:rsidP="00CF0506">
            <w:pPr>
              <w:spacing w:after="0"/>
              <w:rPr>
                <w:rFonts w:ascii="Calibri" w:hAnsi="Calibri"/>
                <w:sz w:val="20"/>
                <w:szCs w:val="20"/>
              </w:rPr>
            </w:pPr>
          </w:p>
          <w:p w14:paraId="1E09EBE7" w14:textId="246183BC" w:rsidR="00C50FDA" w:rsidRPr="004E3FC9" w:rsidRDefault="00C50FDA" w:rsidP="00CF0506">
            <w:pPr>
              <w:spacing w:after="0"/>
              <w:rPr>
                <w:rFonts w:ascii="Calibri" w:hAnsi="Calibri"/>
                <w:sz w:val="20"/>
                <w:szCs w:val="20"/>
              </w:rPr>
            </w:pPr>
          </w:p>
          <w:p w14:paraId="4C0786CF" w14:textId="77777777" w:rsidR="00331ED4" w:rsidRPr="004E3FC9" w:rsidRDefault="00331ED4" w:rsidP="00CF0506">
            <w:pPr>
              <w:spacing w:after="0"/>
              <w:rPr>
                <w:rFonts w:ascii="Calibri" w:hAnsi="Calibri"/>
                <w:sz w:val="20"/>
                <w:szCs w:val="20"/>
              </w:rPr>
            </w:pPr>
          </w:p>
          <w:p w14:paraId="0CDBF3E8" w14:textId="43744A70" w:rsidR="00C9086A" w:rsidRPr="004E3FC9" w:rsidRDefault="00CF0506" w:rsidP="00CF0506">
            <w:pPr>
              <w:spacing w:after="0"/>
              <w:rPr>
                <w:rFonts w:ascii="Calibri" w:hAnsi="Calibri"/>
                <w:sz w:val="20"/>
                <w:szCs w:val="20"/>
              </w:rPr>
            </w:pPr>
            <w:r w:rsidRPr="004E3FC9">
              <w:rPr>
                <w:rFonts w:ascii="Calibri" w:hAnsi="Calibri"/>
                <w:sz w:val="20"/>
                <w:szCs w:val="20"/>
              </w:rPr>
              <w:t xml:space="preserve">Determine </w:t>
            </w:r>
            <w:r w:rsidRPr="004E3FC9">
              <w:rPr>
                <w:rFonts w:ascii="Calibri" w:hAnsi="Calibri"/>
                <w:b/>
                <w:bCs/>
                <w:sz w:val="20"/>
                <w:szCs w:val="20"/>
              </w:rPr>
              <w:t xml:space="preserve">CTE </w:t>
            </w:r>
            <w:r w:rsidR="00600B48" w:rsidRPr="004E3FC9">
              <w:rPr>
                <w:rFonts w:ascii="Calibri" w:hAnsi="Calibri"/>
                <w:b/>
                <w:bCs/>
                <w:sz w:val="20"/>
                <w:szCs w:val="20"/>
              </w:rPr>
              <w:t>C</w:t>
            </w:r>
            <w:r w:rsidRPr="004E3FC9">
              <w:rPr>
                <w:rFonts w:ascii="Calibri" w:hAnsi="Calibri"/>
                <w:b/>
                <w:bCs/>
                <w:sz w:val="20"/>
                <w:szCs w:val="20"/>
              </w:rPr>
              <w:t>oncentrator</w:t>
            </w:r>
            <w:r w:rsidRPr="004E3FC9">
              <w:rPr>
                <w:rFonts w:ascii="Calibri" w:hAnsi="Calibri"/>
                <w:sz w:val="20"/>
                <w:szCs w:val="20"/>
              </w:rPr>
              <w:t xml:space="preserve"> </w:t>
            </w:r>
            <w:r w:rsidR="002D5908" w:rsidRPr="004E3FC9">
              <w:rPr>
                <w:rFonts w:ascii="Calibri" w:hAnsi="Calibri"/>
                <w:sz w:val="20"/>
                <w:szCs w:val="20"/>
              </w:rPr>
              <w:t>graduates</w:t>
            </w:r>
            <w:r w:rsidRPr="004E3FC9">
              <w:rPr>
                <w:rFonts w:ascii="Calibri" w:hAnsi="Calibri"/>
                <w:sz w:val="20"/>
                <w:szCs w:val="20"/>
              </w:rPr>
              <w:t xml:space="preserve">. This is the denominator. </w:t>
            </w:r>
          </w:p>
          <w:p w14:paraId="3C24B51C" w14:textId="77777777" w:rsidR="00C9086A" w:rsidRPr="004E3FC9" w:rsidRDefault="00C9086A" w:rsidP="00CF0506">
            <w:pPr>
              <w:spacing w:after="0"/>
              <w:rPr>
                <w:rFonts w:ascii="Calibri" w:hAnsi="Calibri"/>
                <w:sz w:val="20"/>
                <w:szCs w:val="20"/>
              </w:rPr>
            </w:pPr>
          </w:p>
          <w:p w14:paraId="69CC3FC6" w14:textId="77777777" w:rsidR="00331ED4" w:rsidRPr="004E3FC9" w:rsidRDefault="00331ED4" w:rsidP="00CF0506">
            <w:pPr>
              <w:spacing w:after="0"/>
              <w:rPr>
                <w:rFonts w:ascii="Calibri" w:hAnsi="Calibri"/>
                <w:sz w:val="20"/>
                <w:szCs w:val="20"/>
              </w:rPr>
            </w:pPr>
          </w:p>
          <w:p w14:paraId="35A59F3C" w14:textId="6B3BA23F" w:rsidR="00CF0506" w:rsidRPr="004E3FC9" w:rsidRDefault="00CF0506" w:rsidP="00CF0506">
            <w:pPr>
              <w:spacing w:after="0"/>
              <w:rPr>
                <w:rFonts w:ascii="Calibri" w:hAnsi="Calibri"/>
                <w:sz w:val="20"/>
                <w:szCs w:val="20"/>
              </w:rPr>
            </w:pPr>
            <w:r w:rsidRPr="004E3FC9">
              <w:rPr>
                <w:rFonts w:ascii="Calibri" w:hAnsi="Calibri"/>
                <w:sz w:val="20"/>
                <w:szCs w:val="20"/>
              </w:rPr>
              <w:t>The numerator includes information reported by districts in the CVTE Graduate Follow-up Report.</w:t>
            </w:r>
          </w:p>
          <w:p w14:paraId="3460086D" w14:textId="77777777" w:rsidR="00F52B02" w:rsidRPr="004E3FC9" w:rsidRDefault="00F52B02" w:rsidP="00CF0506">
            <w:pPr>
              <w:spacing w:after="0"/>
              <w:rPr>
                <w:rFonts w:ascii="Calibri" w:hAnsi="Calibri"/>
                <w:sz w:val="20"/>
                <w:szCs w:val="20"/>
              </w:rPr>
            </w:pPr>
          </w:p>
          <w:p w14:paraId="05CF59C0" w14:textId="77777777" w:rsidR="00331ED4" w:rsidRPr="004E3FC9" w:rsidRDefault="00331ED4" w:rsidP="00A54C51">
            <w:pPr>
              <w:rPr>
                <w:rFonts w:ascii="Calibri" w:hAnsi="Calibri"/>
                <w:sz w:val="20"/>
                <w:szCs w:val="20"/>
              </w:rPr>
            </w:pPr>
          </w:p>
          <w:p w14:paraId="2E162720" w14:textId="18BF4CCC" w:rsidR="00331ED4" w:rsidRPr="004E3FC9" w:rsidRDefault="005A428D" w:rsidP="00A54C51">
            <w:pPr>
              <w:rPr>
                <w:rFonts w:ascii="Calibri" w:hAnsi="Calibri"/>
                <w:sz w:val="20"/>
                <w:szCs w:val="20"/>
              </w:rPr>
            </w:pPr>
            <w:r w:rsidRPr="004E3FC9">
              <w:rPr>
                <w:rFonts w:ascii="Calibri" w:hAnsi="Calibri"/>
                <w:i/>
                <w:iCs/>
                <w:sz w:val="20"/>
                <w:szCs w:val="20"/>
              </w:rPr>
              <w:t>*</w:t>
            </w:r>
            <w:r w:rsidR="008156C4" w:rsidRPr="004E3FC9">
              <w:rPr>
                <w:rFonts w:ascii="Calibri" w:hAnsi="Calibri"/>
                <w:i/>
                <w:iCs/>
                <w:sz w:val="20"/>
                <w:szCs w:val="20"/>
              </w:rPr>
              <w:t>This metric will shift to this after the first year.</w:t>
            </w:r>
          </w:p>
          <w:p w14:paraId="2288D011" w14:textId="679C7BCD" w:rsidR="00C03C8C" w:rsidRPr="004E3FC9" w:rsidRDefault="00F52B02" w:rsidP="00A54C51">
            <w:pPr>
              <w:rPr>
                <w:rFonts w:ascii="Calibri" w:hAnsi="Calibri"/>
                <w:sz w:val="20"/>
                <w:szCs w:val="20"/>
              </w:rPr>
            </w:pPr>
            <w:r w:rsidRPr="004E3FC9">
              <w:rPr>
                <w:rFonts w:ascii="Calibri" w:hAnsi="Calibri"/>
                <w:sz w:val="20"/>
                <w:szCs w:val="20"/>
              </w:rPr>
              <w:t xml:space="preserve">For 2020, this will refer to 2018 Graduates and </w:t>
            </w:r>
            <w:r w:rsidR="00C03C8C" w:rsidRPr="004E3FC9">
              <w:rPr>
                <w:rFonts w:ascii="Calibri" w:hAnsi="Calibri"/>
                <w:sz w:val="20"/>
                <w:szCs w:val="20"/>
              </w:rPr>
              <w:t xml:space="preserve">2019 </w:t>
            </w:r>
            <w:r w:rsidRPr="004E3FC9">
              <w:rPr>
                <w:rFonts w:ascii="Calibri" w:hAnsi="Calibri"/>
                <w:sz w:val="20"/>
                <w:szCs w:val="20"/>
              </w:rPr>
              <w:t>follow-up survey results.</w:t>
            </w:r>
            <w:r w:rsidR="001D087C" w:rsidRPr="004E3FC9">
              <w:rPr>
                <w:rFonts w:ascii="Calibri" w:hAnsi="Calibri"/>
                <w:sz w:val="20"/>
                <w:szCs w:val="20"/>
              </w:rPr>
              <w:t xml:space="preserve"> </w:t>
            </w:r>
          </w:p>
          <w:p w14:paraId="6059F066" w14:textId="1A94C8A9" w:rsidR="008156C4" w:rsidRPr="004E3FC9" w:rsidRDefault="008156C4" w:rsidP="00A54C51">
            <w:pPr>
              <w:rPr>
                <w:rFonts w:ascii="Calibri" w:hAnsi="Calibri"/>
                <w:sz w:val="20"/>
                <w:szCs w:val="20"/>
              </w:rPr>
            </w:pPr>
            <w:r w:rsidRPr="004E3FC9">
              <w:rPr>
                <w:rFonts w:ascii="Calibri" w:hAnsi="Calibri"/>
                <w:sz w:val="20"/>
                <w:szCs w:val="20"/>
              </w:rPr>
              <w:t>For 2021, this will refer to 2020 Graduates and 20</w:t>
            </w:r>
            <w:r w:rsidR="005A428D" w:rsidRPr="004E3FC9">
              <w:rPr>
                <w:rFonts w:ascii="Calibri" w:hAnsi="Calibri"/>
                <w:sz w:val="20"/>
                <w:szCs w:val="20"/>
              </w:rPr>
              <w:t>20</w:t>
            </w:r>
            <w:r w:rsidRPr="004E3FC9">
              <w:rPr>
                <w:rFonts w:ascii="Calibri" w:hAnsi="Calibri"/>
                <w:sz w:val="20"/>
                <w:szCs w:val="20"/>
              </w:rPr>
              <w:t xml:space="preserve"> follow-up survey results.</w:t>
            </w:r>
          </w:p>
        </w:tc>
      </w:tr>
      <w:tr w:rsidR="00CF0506" w:rsidRPr="004E3FC9" w14:paraId="4A7CF2A6" w14:textId="77777777" w:rsidTr="00DF12BE">
        <w:trPr>
          <w:cantSplit/>
          <w:trHeight w:val="7190"/>
          <w:jc w:val="center"/>
        </w:trPr>
        <w:tc>
          <w:tcPr>
            <w:tcW w:w="715" w:type="pct"/>
          </w:tcPr>
          <w:p w14:paraId="4BE9BD61" w14:textId="1AA93912" w:rsidR="00CF0506" w:rsidRPr="004E3FC9" w:rsidRDefault="00CF0506" w:rsidP="00CF0506">
            <w:pPr>
              <w:jc w:val="center"/>
              <w:rPr>
                <w:rFonts w:ascii="Calibri" w:hAnsi="Calibri"/>
                <w:b/>
                <w:bCs/>
              </w:rPr>
            </w:pPr>
            <w:r w:rsidRPr="004E3FC9">
              <w:rPr>
                <w:rFonts w:ascii="Calibri" w:hAnsi="Calibri"/>
                <w:b/>
                <w:bCs/>
              </w:rPr>
              <w:lastRenderedPageBreak/>
              <w:t xml:space="preserve">Nontraditional Program </w:t>
            </w:r>
            <w:r w:rsidR="002A73EF" w:rsidRPr="004E3FC9">
              <w:rPr>
                <w:rFonts w:ascii="Calibri" w:hAnsi="Calibri"/>
                <w:b/>
                <w:bCs/>
              </w:rPr>
              <w:t xml:space="preserve">Concentration </w:t>
            </w:r>
          </w:p>
          <w:p w14:paraId="46C689EE" w14:textId="1A691224" w:rsidR="00CF0506" w:rsidRPr="004E3FC9" w:rsidRDefault="00CF0506" w:rsidP="00CF0506">
            <w:pPr>
              <w:jc w:val="center"/>
              <w:rPr>
                <w:rFonts w:ascii="Calibri" w:hAnsi="Calibri"/>
                <w:b/>
                <w:bCs/>
              </w:rPr>
            </w:pPr>
            <w:r w:rsidRPr="004E3FC9">
              <w:rPr>
                <w:rFonts w:ascii="Calibri" w:hAnsi="Calibri"/>
                <w:b/>
                <w:bCs/>
              </w:rPr>
              <w:t>4S1</w:t>
            </w:r>
          </w:p>
          <w:p w14:paraId="0DDAC3AE" w14:textId="77777777" w:rsidR="00CF0506" w:rsidRPr="004E3FC9" w:rsidRDefault="00CF0506" w:rsidP="00CF0506">
            <w:pPr>
              <w:jc w:val="center"/>
              <w:rPr>
                <w:rFonts w:ascii="Calibri" w:hAnsi="Calibri"/>
                <w:b/>
                <w:bCs/>
              </w:rPr>
            </w:pPr>
          </w:p>
          <w:p w14:paraId="5956CE96" w14:textId="77777777" w:rsidR="00CF0506" w:rsidRPr="004E3FC9" w:rsidRDefault="00CF0506" w:rsidP="00CF0506">
            <w:pPr>
              <w:jc w:val="center"/>
              <w:rPr>
                <w:rFonts w:ascii="Calibri" w:hAnsi="Calibri"/>
                <w:b/>
                <w:bCs/>
              </w:rPr>
            </w:pPr>
          </w:p>
        </w:tc>
        <w:tc>
          <w:tcPr>
            <w:tcW w:w="1844" w:type="pct"/>
          </w:tcPr>
          <w:p w14:paraId="4348AB26" w14:textId="67DC49B9" w:rsidR="00C9086A" w:rsidRPr="004E3FC9" w:rsidRDefault="00C9086A" w:rsidP="00CF0506">
            <w:pPr>
              <w:rPr>
                <w:rFonts w:ascii="Calibri" w:hAnsi="Calibri"/>
                <w:bCs/>
                <w:sz w:val="20"/>
                <w:szCs w:val="20"/>
              </w:rPr>
            </w:pPr>
            <w:r w:rsidRPr="004E3FC9">
              <w:rPr>
                <w:rFonts w:ascii="Calibri" w:hAnsi="Calibri"/>
                <w:bCs/>
                <w:sz w:val="20"/>
                <w:szCs w:val="20"/>
              </w:rPr>
              <w:t xml:space="preserve">The percentage of CTE concentrators in career and technical education programs and programs of study that lead to non-traditional fields.  </w:t>
            </w:r>
          </w:p>
          <w:p w14:paraId="7F1AF74B" w14:textId="02403874" w:rsidR="00C9086A" w:rsidRPr="004E3FC9" w:rsidRDefault="00C9086A" w:rsidP="00CF0506">
            <w:pPr>
              <w:rPr>
                <w:rFonts w:ascii="Calibri" w:hAnsi="Calibri"/>
                <w:b/>
                <w:sz w:val="20"/>
                <w:szCs w:val="20"/>
              </w:rPr>
            </w:pPr>
          </w:p>
          <w:p w14:paraId="74C27974" w14:textId="77777777" w:rsidR="0013131F" w:rsidRPr="004E3FC9" w:rsidRDefault="0013131F" w:rsidP="00CF0506">
            <w:pPr>
              <w:rPr>
                <w:rFonts w:ascii="Calibri" w:hAnsi="Calibri"/>
                <w:b/>
                <w:sz w:val="20"/>
                <w:szCs w:val="20"/>
              </w:rPr>
            </w:pPr>
          </w:p>
          <w:p w14:paraId="1505BA95" w14:textId="427B65A2" w:rsidR="00CF0506" w:rsidRPr="004E3FC9" w:rsidRDefault="00CF0506" w:rsidP="00CF0506">
            <w:pPr>
              <w:widowControl w:val="0"/>
              <w:autoSpaceDE w:val="0"/>
              <w:autoSpaceDN w:val="0"/>
              <w:adjustRightInd w:val="0"/>
              <w:ind w:right="24"/>
              <w:rPr>
                <w:rFonts w:ascii="Calibri" w:hAnsi="Calibri"/>
                <w:sz w:val="20"/>
                <w:szCs w:val="20"/>
              </w:rPr>
            </w:pPr>
            <w:r w:rsidRPr="004E3FC9">
              <w:rPr>
                <w:rFonts w:ascii="Calibri" w:hAnsi="Calibri"/>
                <w:b/>
                <w:sz w:val="20"/>
                <w:szCs w:val="20"/>
              </w:rPr>
              <w:t>Denominator:</w:t>
            </w:r>
            <w:r w:rsidRPr="004E3FC9">
              <w:rPr>
                <w:rFonts w:ascii="Calibri" w:hAnsi="Calibri"/>
                <w:sz w:val="20"/>
                <w:szCs w:val="20"/>
              </w:rPr>
              <w:t xml:space="preserve"> Number of CTE </w:t>
            </w:r>
            <w:r w:rsidR="005B376F" w:rsidRPr="004E3FC9">
              <w:rPr>
                <w:rFonts w:ascii="Calibri" w:hAnsi="Calibri"/>
                <w:sz w:val="20"/>
                <w:szCs w:val="20"/>
              </w:rPr>
              <w:t>concentrators</w:t>
            </w:r>
            <w:r w:rsidR="005B376F" w:rsidRPr="004E3FC9">
              <w:rPr>
                <w:rFonts w:ascii="Calibri" w:hAnsi="Calibri"/>
                <w:sz w:val="20"/>
                <w:szCs w:val="20"/>
                <w:u w:val="words"/>
              </w:rPr>
              <w:t xml:space="preserve"> </w:t>
            </w:r>
            <w:r w:rsidRPr="004E3FC9">
              <w:rPr>
                <w:rFonts w:ascii="Calibri" w:hAnsi="Calibri"/>
                <w:sz w:val="20"/>
                <w:szCs w:val="20"/>
              </w:rPr>
              <w:t>who participated in a program that leads to careers in nontraditional fields.</w:t>
            </w:r>
          </w:p>
          <w:p w14:paraId="183AE544" w14:textId="2307F744" w:rsidR="00C50FDA" w:rsidRPr="004E3FC9" w:rsidRDefault="00C50FDA" w:rsidP="00C50FDA">
            <w:pPr>
              <w:rPr>
                <w:rFonts w:ascii="Calibri" w:hAnsi="Calibri"/>
                <w:sz w:val="20"/>
                <w:szCs w:val="20"/>
              </w:rPr>
            </w:pPr>
            <w:r w:rsidRPr="004E3FC9">
              <w:rPr>
                <w:rFonts w:ascii="Calibri" w:hAnsi="Calibri"/>
                <w:b/>
                <w:sz w:val="20"/>
                <w:szCs w:val="20"/>
              </w:rPr>
              <w:t>Numerator:</w:t>
            </w:r>
            <w:r w:rsidRPr="004E3FC9">
              <w:rPr>
                <w:rFonts w:ascii="Calibri" w:hAnsi="Calibri"/>
                <w:sz w:val="20"/>
                <w:szCs w:val="20"/>
              </w:rPr>
              <w:t xml:space="preserve"> Number of CTE concentrators in a career and technical education program that prepared them for a career that would be nontraditional for their gender. </w:t>
            </w:r>
          </w:p>
          <w:p w14:paraId="72403844" w14:textId="2DC90D08" w:rsidR="00C50FDA" w:rsidRPr="004E3FC9" w:rsidRDefault="00C50FDA" w:rsidP="00CF0506">
            <w:pPr>
              <w:widowControl w:val="0"/>
              <w:autoSpaceDE w:val="0"/>
              <w:autoSpaceDN w:val="0"/>
              <w:adjustRightInd w:val="0"/>
              <w:ind w:right="24"/>
              <w:rPr>
                <w:rFonts w:ascii="Calibri" w:hAnsi="Calibri"/>
                <w:b/>
                <w:sz w:val="20"/>
                <w:szCs w:val="20"/>
              </w:rPr>
            </w:pPr>
          </w:p>
        </w:tc>
        <w:tc>
          <w:tcPr>
            <w:tcW w:w="2441" w:type="pct"/>
          </w:tcPr>
          <w:p w14:paraId="7D709436" w14:textId="403F4923" w:rsidR="00CF0506" w:rsidRPr="004E3FC9" w:rsidRDefault="00CF0506" w:rsidP="00CF0506">
            <w:pPr>
              <w:spacing w:after="0"/>
              <w:rPr>
                <w:rFonts w:ascii="Calibri" w:hAnsi="Calibri"/>
                <w:sz w:val="20"/>
                <w:szCs w:val="20"/>
              </w:rPr>
            </w:pPr>
            <w:r w:rsidRPr="004E3FC9">
              <w:rPr>
                <w:rFonts w:ascii="Calibri" w:hAnsi="Calibri"/>
                <w:sz w:val="20"/>
                <w:szCs w:val="20"/>
              </w:rPr>
              <w:t>The actual state and local performance levels for core indicator 4S1 are computed from SIMS in the following manner:</w:t>
            </w:r>
          </w:p>
          <w:p w14:paraId="7F74181B" w14:textId="27FB3273" w:rsidR="0013131F" w:rsidRPr="004E3FC9" w:rsidRDefault="002D271A" w:rsidP="005B376F">
            <w:pPr>
              <w:numPr>
                <w:ilvl w:val="0"/>
                <w:numId w:val="40"/>
              </w:numPr>
              <w:spacing w:after="0"/>
              <w:rPr>
                <w:rFonts w:ascii="Calibri" w:hAnsi="Calibri"/>
                <w:sz w:val="20"/>
                <w:szCs w:val="20"/>
              </w:rPr>
            </w:pPr>
            <w:r w:rsidRPr="004E3FC9">
              <w:rPr>
                <w:rFonts w:ascii="Calibri" w:hAnsi="Calibri"/>
                <w:sz w:val="20"/>
                <w:szCs w:val="20"/>
              </w:rPr>
              <w:t xml:space="preserve">Determine the students who were </w:t>
            </w:r>
            <w:r w:rsidRPr="004E3FC9">
              <w:rPr>
                <w:rFonts w:ascii="Calibri" w:hAnsi="Calibri"/>
                <w:b/>
                <w:bCs/>
                <w:sz w:val="20"/>
                <w:szCs w:val="20"/>
              </w:rPr>
              <w:t xml:space="preserve">CTE </w:t>
            </w:r>
            <w:r w:rsidR="00600B48" w:rsidRPr="004E3FC9">
              <w:rPr>
                <w:rFonts w:ascii="Calibri" w:hAnsi="Calibri"/>
                <w:b/>
                <w:bCs/>
                <w:sz w:val="20"/>
                <w:szCs w:val="20"/>
              </w:rPr>
              <w:t>C</w:t>
            </w:r>
            <w:r w:rsidRPr="004E3FC9">
              <w:rPr>
                <w:rFonts w:ascii="Calibri" w:hAnsi="Calibri"/>
                <w:b/>
                <w:bCs/>
                <w:sz w:val="20"/>
                <w:szCs w:val="20"/>
              </w:rPr>
              <w:t>oncentrators</w:t>
            </w:r>
            <w:r w:rsidRPr="004E3FC9">
              <w:rPr>
                <w:rFonts w:ascii="Calibri" w:hAnsi="Calibri"/>
                <w:sz w:val="20"/>
                <w:szCs w:val="20"/>
              </w:rPr>
              <w:t xml:space="preserve"> (two consecutive years of program enrollment). </w:t>
            </w:r>
          </w:p>
          <w:p w14:paraId="186D2F1E" w14:textId="45AE3A9B" w:rsidR="0013131F" w:rsidRPr="004E3FC9" w:rsidRDefault="00CF0506" w:rsidP="0013131F">
            <w:pPr>
              <w:numPr>
                <w:ilvl w:val="0"/>
                <w:numId w:val="40"/>
              </w:numPr>
              <w:spacing w:after="0"/>
              <w:rPr>
                <w:rFonts w:ascii="Calibri" w:hAnsi="Calibri"/>
                <w:sz w:val="20"/>
                <w:szCs w:val="20"/>
              </w:rPr>
            </w:pPr>
            <w:r w:rsidRPr="004E3FC9">
              <w:rPr>
                <w:rFonts w:ascii="Calibri" w:hAnsi="Calibri"/>
                <w:sz w:val="20"/>
                <w:szCs w:val="20"/>
              </w:rPr>
              <w:t xml:space="preserve">Determine the </w:t>
            </w:r>
            <w:r w:rsidRPr="00BD7318">
              <w:rPr>
                <w:rFonts w:ascii="Calibri" w:hAnsi="Calibri"/>
                <w:b/>
                <w:bCs/>
                <w:sz w:val="20"/>
                <w:szCs w:val="20"/>
              </w:rPr>
              <w:t>CTE</w:t>
            </w:r>
            <w:r w:rsidR="001E24D8" w:rsidRPr="00BD7318">
              <w:rPr>
                <w:rFonts w:ascii="Calibri" w:hAnsi="Calibri"/>
                <w:b/>
                <w:bCs/>
                <w:sz w:val="20"/>
                <w:szCs w:val="20"/>
              </w:rPr>
              <w:t xml:space="preserve"> Concentrators</w:t>
            </w:r>
            <w:r w:rsidRPr="004E3FC9">
              <w:rPr>
                <w:rFonts w:ascii="Calibri" w:hAnsi="Calibri"/>
                <w:sz w:val="20"/>
                <w:szCs w:val="20"/>
              </w:rPr>
              <w:t xml:space="preserve"> who are enrolled in a program that leads to a career in a nontraditional field. </w:t>
            </w:r>
          </w:p>
          <w:p w14:paraId="02031C1F" w14:textId="77777777" w:rsidR="0013131F" w:rsidRPr="004E3FC9" w:rsidRDefault="0013131F" w:rsidP="0013131F">
            <w:pPr>
              <w:spacing w:after="0"/>
              <w:rPr>
                <w:rFonts w:ascii="Calibri" w:hAnsi="Calibri"/>
                <w:sz w:val="20"/>
                <w:szCs w:val="20"/>
              </w:rPr>
            </w:pPr>
          </w:p>
          <w:p w14:paraId="4C0E972B" w14:textId="1634C8AC" w:rsidR="00C9086A" w:rsidRPr="004E3FC9" w:rsidRDefault="00CF0506" w:rsidP="00DD0075">
            <w:pPr>
              <w:spacing w:after="0"/>
              <w:rPr>
                <w:rFonts w:ascii="Calibri" w:hAnsi="Calibri"/>
                <w:sz w:val="20"/>
                <w:szCs w:val="20"/>
              </w:rPr>
            </w:pPr>
            <w:r w:rsidRPr="004E3FC9">
              <w:rPr>
                <w:rFonts w:ascii="Calibri" w:hAnsi="Calibri"/>
                <w:sz w:val="20"/>
                <w:szCs w:val="20"/>
              </w:rPr>
              <w:t xml:space="preserve">This is the denominator. </w:t>
            </w:r>
          </w:p>
          <w:p w14:paraId="476D5DF7" w14:textId="77777777" w:rsidR="00C50FDA" w:rsidRPr="004E3FC9" w:rsidRDefault="00C50FDA" w:rsidP="00CF0506">
            <w:pPr>
              <w:rPr>
                <w:rFonts w:ascii="Calibri" w:hAnsi="Calibri"/>
                <w:sz w:val="20"/>
                <w:szCs w:val="20"/>
              </w:rPr>
            </w:pPr>
          </w:p>
          <w:p w14:paraId="2140D40D" w14:textId="0899488E" w:rsidR="00CF0506" w:rsidRPr="004E3FC9" w:rsidRDefault="00CF0506" w:rsidP="00CF0506">
            <w:pPr>
              <w:rPr>
                <w:rFonts w:ascii="Calibri" w:hAnsi="Calibri"/>
                <w:sz w:val="20"/>
                <w:szCs w:val="20"/>
              </w:rPr>
            </w:pPr>
            <w:r w:rsidRPr="004E3FC9">
              <w:rPr>
                <w:rFonts w:ascii="Calibri" w:hAnsi="Calibri"/>
                <w:sz w:val="20"/>
                <w:szCs w:val="20"/>
              </w:rPr>
              <w:t xml:space="preserve">The numerator includes </w:t>
            </w:r>
            <w:r w:rsidR="008D0653">
              <w:rPr>
                <w:rFonts w:ascii="Calibri" w:hAnsi="Calibri"/>
                <w:sz w:val="20"/>
                <w:szCs w:val="20"/>
              </w:rPr>
              <w:t xml:space="preserve">only those </w:t>
            </w:r>
            <w:r w:rsidRPr="004E3FC9">
              <w:rPr>
                <w:rFonts w:ascii="Calibri" w:hAnsi="Calibri"/>
                <w:sz w:val="20"/>
                <w:szCs w:val="20"/>
              </w:rPr>
              <w:t>students for whom the field is currently considered nontraditional for their gender.</w:t>
            </w:r>
          </w:p>
          <w:p w14:paraId="4FCA10D3" w14:textId="77777777" w:rsidR="002D271A" w:rsidRPr="004E3FC9" w:rsidRDefault="002D271A" w:rsidP="00CF0506">
            <w:pPr>
              <w:rPr>
                <w:rFonts w:ascii="Calibri" w:hAnsi="Calibri"/>
                <w:sz w:val="20"/>
                <w:szCs w:val="20"/>
              </w:rPr>
            </w:pPr>
          </w:p>
          <w:p w14:paraId="570C8144" w14:textId="77777777" w:rsidR="00C03C8C" w:rsidRPr="004E3FC9" w:rsidRDefault="00C03C8C" w:rsidP="00CF0506">
            <w:pPr>
              <w:rPr>
                <w:rFonts w:ascii="Calibri" w:hAnsi="Calibri"/>
                <w:sz w:val="20"/>
                <w:szCs w:val="20"/>
              </w:rPr>
            </w:pPr>
          </w:p>
          <w:p w14:paraId="24BB8F80" w14:textId="050E6239" w:rsidR="00C03C8C" w:rsidRPr="004E3FC9" w:rsidRDefault="00C03C8C" w:rsidP="00CF0506">
            <w:pPr>
              <w:rPr>
                <w:rFonts w:ascii="Calibri" w:hAnsi="Calibri"/>
                <w:sz w:val="20"/>
                <w:szCs w:val="20"/>
              </w:rPr>
            </w:pPr>
            <w:r w:rsidRPr="004E3FC9">
              <w:rPr>
                <w:rFonts w:ascii="Calibri" w:hAnsi="Calibri"/>
                <w:sz w:val="20"/>
                <w:szCs w:val="20"/>
              </w:rPr>
              <w:t>For 2020, this will refer to 2020 enrollment [Oct 2019 SIMS].</w:t>
            </w:r>
          </w:p>
        </w:tc>
      </w:tr>
      <w:tr w:rsidR="00CF0506" w:rsidRPr="007E581D" w14:paraId="29F85DC1" w14:textId="77777777" w:rsidTr="00DF12BE">
        <w:trPr>
          <w:cantSplit/>
          <w:trHeight w:val="7190"/>
          <w:jc w:val="center"/>
        </w:trPr>
        <w:tc>
          <w:tcPr>
            <w:tcW w:w="715" w:type="pct"/>
          </w:tcPr>
          <w:p w14:paraId="233CF9E6" w14:textId="77777777" w:rsidR="002A73EF" w:rsidRPr="004E3FC9" w:rsidRDefault="002A73EF" w:rsidP="00CF0506">
            <w:pPr>
              <w:jc w:val="center"/>
              <w:rPr>
                <w:rFonts w:ascii="Calibri" w:hAnsi="Calibri"/>
                <w:b/>
                <w:bCs/>
              </w:rPr>
            </w:pPr>
          </w:p>
          <w:p w14:paraId="2E487DDB" w14:textId="5E2DEF2A" w:rsidR="002A73EF" w:rsidRPr="004E3FC9" w:rsidRDefault="002A73EF" w:rsidP="00CF0506">
            <w:pPr>
              <w:jc w:val="center"/>
              <w:rPr>
                <w:rFonts w:ascii="Calibri" w:hAnsi="Calibri"/>
                <w:b/>
                <w:bCs/>
              </w:rPr>
            </w:pPr>
            <w:r w:rsidRPr="004E3FC9">
              <w:rPr>
                <w:rFonts w:ascii="Calibri" w:hAnsi="Calibri"/>
                <w:b/>
                <w:bCs/>
              </w:rPr>
              <w:t>Program Quality – Participated in Work-Based Learning</w:t>
            </w:r>
          </w:p>
          <w:p w14:paraId="5F232BEB" w14:textId="77777777" w:rsidR="002A73EF" w:rsidRPr="004E3FC9" w:rsidRDefault="002A73EF" w:rsidP="00CF0506">
            <w:pPr>
              <w:jc w:val="center"/>
              <w:rPr>
                <w:rFonts w:ascii="Calibri" w:hAnsi="Calibri"/>
                <w:b/>
                <w:bCs/>
              </w:rPr>
            </w:pPr>
          </w:p>
          <w:p w14:paraId="5702962F" w14:textId="2E110CC2" w:rsidR="00CF0506" w:rsidRPr="004E3FC9" w:rsidRDefault="00CF0506" w:rsidP="00CF0506">
            <w:pPr>
              <w:jc w:val="center"/>
              <w:rPr>
                <w:rFonts w:ascii="Calibri" w:hAnsi="Calibri"/>
                <w:b/>
                <w:bCs/>
              </w:rPr>
            </w:pPr>
            <w:r w:rsidRPr="004E3FC9">
              <w:rPr>
                <w:rFonts w:ascii="Calibri" w:hAnsi="Calibri"/>
                <w:b/>
                <w:bCs/>
              </w:rPr>
              <w:t>5S3</w:t>
            </w:r>
          </w:p>
        </w:tc>
        <w:tc>
          <w:tcPr>
            <w:tcW w:w="1844" w:type="pct"/>
          </w:tcPr>
          <w:p w14:paraId="33EEADBE" w14:textId="70B50F71" w:rsidR="00CF0506" w:rsidRPr="004E3FC9" w:rsidRDefault="005B376F" w:rsidP="00CF0506">
            <w:pPr>
              <w:rPr>
                <w:rFonts w:asciiTheme="minorHAnsi" w:hAnsiTheme="minorHAnsi" w:cstheme="minorHAnsi"/>
                <w:b/>
                <w:sz w:val="20"/>
                <w:szCs w:val="20"/>
              </w:rPr>
            </w:pPr>
            <w:r w:rsidRPr="004E3FC9">
              <w:rPr>
                <w:rFonts w:ascii="Calibri" w:hAnsi="Calibri"/>
                <w:bCs/>
                <w:sz w:val="20"/>
                <w:szCs w:val="20"/>
              </w:rPr>
              <w:t xml:space="preserve">The percentage of CTE concentrators graduating from high school </w:t>
            </w:r>
            <w:r w:rsidRPr="004E3FC9">
              <w:rPr>
                <w:rFonts w:asciiTheme="minorHAnsi" w:hAnsiTheme="minorHAnsi" w:cstheme="minorHAnsi"/>
                <w:bCs/>
                <w:sz w:val="20"/>
                <w:szCs w:val="20"/>
              </w:rPr>
              <w:t>having participated in work-based learning.</w:t>
            </w:r>
          </w:p>
          <w:p w14:paraId="0477FB1E" w14:textId="111DD019" w:rsidR="005B376F" w:rsidRPr="004E3FC9" w:rsidRDefault="005B376F" w:rsidP="00DF12BE">
            <w:pPr>
              <w:ind w:left="720"/>
              <w:rPr>
                <w:rFonts w:asciiTheme="minorHAnsi" w:hAnsiTheme="minorHAnsi" w:cstheme="minorHAnsi"/>
                <w:bCs/>
                <w:sz w:val="20"/>
                <w:szCs w:val="20"/>
              </w:rPr>
            </w:pPr>
            <w:r w:rsidRPr="004E3FC9">
              <w:rPr>
                <w:rFonts w:asciiTheme="minorHAnsi" w:hAnsiTheme="minorHAnsi" w:cstheme="minorHAnsi"/>
                <w:bCs/>
                <w:sz w:val="20"/>
                <w:szCs w:val="20"/>
              </w:rPr>
              <w:t>In MA, p</w:t>
            </w:r>
            <w:r w:rsidR="00CF0506" w:rsidRPr="004E3FC9">
              <w:rPr>
                <w:rFonts w:asciiTheme="minorHAnsi" w:hAnsiTheme="minorHAnsi" w:cstheme="minorHAnsi"/>
                <w:bCs/>
                <w:sz w:val="20"/>
                <w:szCs w:val="20"/>
              </w:rPr>
              <w:t>articipation</w:t>
            </w:r>
            <w:r w:rsidRPr="004E3FC9">
              <w:rPr>
                <w:rFonts w:asciiTheme="minorHAnsi" w:hAnsiTheme="minorHAnsi" w:cstheme="minorHAnsi"/>
                <w:bCs/>
                <w:sz w:val="20"/>
                <w:szCs w:val="20"/>
              </w:rPr>
              <w:t xml:space="preserve"> in work-based learning includes </w:t>
            </w:r>
            <w:r w:rsidRPr="004E3FC9">
              <w:rPr>
                <w:rFonts w:asciiTheme="minorHAnsi" w:hAnsiTheme="minorHAnsi" w:cstheme="minorHAnsi"/>
                <w:b/>
                <w:sz w:val="20"/>
                <w:szCs w:val="20"/>
              </w:rPr>
              <w:t>pre-apprenticeship, cooperative education, internship, capstone project, a simulated work experience</w:t>
            </w:r>
            <w:r w:rsidRPr="004E3FC9">
              <w:rPr>
                <w:rFonts w:asciiTheme="minorHAnsi" w:hAnsiTheme="minorHAnsi" w:cstheme="minorHAnsi"/>
                <w:bCs/>
                <w:sz w:val="20"/>
                <w:szCs w:val="20"/>
              </w:rPr>
              <w:t xml:space="preserve"> within an approved </w:t>
            </w:r>
            <w:r w:rsidR="00A973CF" w:rsidRPr="004E3FC9">
              <w:rPr>
                <w:rFonts w:asciiTheme="minorHAnsi" w:hAnsiTheme="minorHAnsi" w:cstheme="minorHAnsi"/>
                <w:bCs/>
                <w:sz w:val="20"/>
                <w:szCs w:val="20"/>
              </w:rPr>
              <w:t>C</w:t>
            </w:r>
            <w:r w:rsidRPr="004E3FC9">
              <w:rPr>
                <w:rFonts w:asciiTheme="minorHAnsi" w:hAnsiTheme="minorHAnsi" w:cstheme="minorHAnsi"/>
                <w:bCs/>
                <w:sz w:val="20"/>
                <w:szCs w:val="20"/>
              </w:rPr>
              <w:t>h</w:t>
            </w:r>
            <w:r w:rsidR="00A973CF" w:rsidRPr="004E3FC9">
              <w:rPr>
                <w:rFonts w:asciiTheme="minorHAnsi" w:hAnsiTheme="minorHAnsi" w:cstheme="minorHAnsi"/>
                <w:bCs/>
                <w:sz w:val="20"/>
                <w:szCs w:val="20"/>
              </w:rPr>
              <w:t>.</w:t>
            </w:r>
            <w:r w:rsidRPr="004E3FC9">
              <w:rPr>
                <w:rFonts w:asciiTheme="minorHAnsi" w:hAnsiTheme="minorHAnsi" w:cstheme="minorHAnsi"/>
                <w:bCs/>
                <w:sz w:val="20"/>
                <w:szCs w:val="20"/>
              </w:rPr>
              <w:t xml:space="preserve">74 program, or obtaining a </w:t>
            </w:r>
            <w:r w:rsidRPr="004E3FC9">
              <w:rPr>
                <w:rFonts w:asciiTheme="minorHAnsi" w:hAnsiTheme="minorHAnsi" w:cstheme="minorHAnsi"/>
                <w:b/>
                <w:sz w:val="20"/>
                <w:szCs w:val="20"/>
              </w:rPr>
              <w:t>high value industry-recognized credential</w:t>
            </w:r>
            <w:r w:rsidRPr="004E3FC9">
              <w:rPr>
                <w:rFonts w:asciiTheme="minorHAnsi" w:hAnsiTheme="minorHAnsi" w:cstheme="minorHAnsi"/>
                <w:bCs/>
                <w:sz w:val="20"/>
                <w:szCs w:val="20"/>
              </w:rPr>
              <w:t xml:space="preserve"> issued by a recognized private organization and/or other State, or federal government department, agency, or board that reflects completion of a work-based learning experience.</w:t>
            </w:r>
          </w:p>
          <w:p w14:paraId="5E00C534" w14:textId="4F6CE451" w:rsidR="005B376F" w:rsidRPr="004E3FC9" w:rsidRDefault="005B376F" w:rsidP="005B376F">
            <w:pPr>
              <w:rPr>
                <w:rFonts w:ascii="Calibri" w:hAnsi="Calibri"/>
                <w:sz w:val="20"/>
                <w:szCs w:val="20"/>
              </w:rPr>
            </w:pPr>
            <w:r w:rsidRPr="004E3FC9">
              <w:rPr>
                <w:rFonts w:ascii="Calibri" w:hAnsi="Calibri"/>
                <w:b/>
                <w:sz w:val="20"/>
                <w:szCs w:val="20"/>
              </w:rPr>
              <w:t>Denominator:</w:t>
            </w:r>
            <w:r w:rsidRPr="004E3FC9">
              <w:rPr>
                <w:rFonts w:ascii="Calibri" w:hAnsi="Calibri"/>
                <w:sz w:val="20"/>
                <w:szCs w:val="20"/>
              </w:rPr>
              <w:t xml:space="preserve"> Number of CTE concentrators who</w:t>
            </w:r>
            <w:r w:rsidR="0013131F" w:rsidRPr="004E3FC9">
              <w:rPr>
                <w:rFonts w:ascii="Calibri" w:hAnsi="Calibri"/>
                <w:sz w:val="20"/>
                <w:szCs w:val="20"/>
              </w:rPr>
              <w:t xml:space="preserve"> graduated</w:t>
            </w:r>
            <w:r w:rsidRPr="004E3FC9">
              <w:rPr>
                <w:rFonts w:ascii="Calibri" w:hAnsi="Calibri"/>
                <w:sz w:val="20"/>
                <w:szCs w:val="20"/>
              </w:rPr>
              <w:t xml:space="preserve"> in the reporting year</w:t>
            </w:r>
            <w:r w:rsidR="00C50FDA" w:rsidRPr="004E3FC9">
              <w:rPr>
                <w:rFonts w:ascii="Calibri" w:hAnsi="Calibri"/>
                <w:sz w:val="20"/>
                <w:szCs w:val="20"/>
              </w:rPr>
              <w:t>.</w:t>
            </w:r>
          </w:p>
          <w:p w14:paraId="2A7BE1A3" w14:textId="08322350" w:rsidR="00C50FDA" w:rsidRPr="004E3FC9" w:rsidRDefault="00C50FDA" w:rsidP="00C50FDA">
            <w:pPr>
              <w:rPr>
                <w:rFonts w:ascii="Calibri" w:hAnsi="Calibri"/>
                <w:sz w:val="20"/>
                <w:szCs w:val="20"/>
              </w:rPr>
            </w:pPr>
            <w:r w:rsidRPr="004E3FC9">
              <w:rPr>
                <w:rFonts w:asciiTheme="minorHAnsi" w:hAnsiTheme="minorHAnsi" w:cstheme="minorHAnsi"/>
                <w:b/>
                <w:sz w:val="20"/>
                <w:szCs w:val="20"/>
              </w:rPr>
              <w:t>Numerator:</w:t>
            </w:r>
            <w:r w:rsidRPr="004E3FC9">
              <w:rPr>
                <w:rFonts w:asciiTheme="minorHAnsi" w:hAnsiTheme="minorHAnsi" w:cstheme="minorHAnsi"/>
                <w:sz w:val="20"/>
                <w:szCs w:val="20"/>
              </w:rPr>
              <w:t xml:space="preserve"> Number</w:t>
            </w:r>
            <w:r w:rsidRPr="004E3FC9">
              <w:rPr>
                <w:rFonts w:ascii="Calibri" w:hAnsi="Calibri"/>
                <w:sz w:val="20"/>
                <w:szCs w:val="20"/>
              </w:rPr>
              <w:t xml:space="preserve"> of CTE concentrators who</w:t>
            </w:r>
            <w:r w:rsidR="0013131F" w:rsidRPr="004E3FC9">
              <w:rPr>
                <w:rFonts w:ascii="Calibri" w:hAnsi="Calibri"/>
                <w:sz w:val="20"/>
                <w:szCs w:val="20"/>
              </w:rPr>
              <w:t xml:space="preserve"> graduated</w:t>
            </w:r>
            <w:r w:rsidRPr="004E3FC9">
              <w:rPr>
                <w:rFonts w:ascii="Calibri" w:hAnsi="Calibri"/>
                <w:sz w:val="20"/>
                <w:szCs w:val="20"/>
              </w:rPr>
              <w:t xml:space="preserve"> in </w:t>
            </w:r>
            <w:r w:rsidR="00F471E6" w:rsidRPr="004E3FC9">
              <w:rPr>
                <w:rFonts w:ascii="Calibri" w:hAnsi="Calibri"/>
                <w:sz w:val="20"/>
                <w:szCs w:val="20"/>
              </w:rPr>
              <w:t xml:space="preserve">the reporting </w:t>
            </w:r>
            <w:r w:rsidR="001D087C" w:rsidRPr="004E3FC9">
              <w:rPr>
                <w:rFonts w:ascii="Calibri" w:hAnsi="Calibri"/>
                <w:sz w:val="20"/>
                <w:szCs w:val="20"/>
              </w:rPr>
              <w:t xml:space="preserve">year </w:t>
            </w:r>
            <w:r w:rsidRPr="004E3FC9">
              <w:rPr>
                <w:rFonts w:ascii="Calibri" w:hAnsi="Calibri"/>
                <w:sz w:val="20"/>
                <w:szCs w:val="20"/>
              </w:rPr>
              <w:t xml:space="preserve">and completed a work-based learning experience before graduation. </w:t>
            </w:r>
          </w:p>
          <w:p w14:paraId="19487C2B" w14:textId="5589C5D7" w:rsidR="005B376F" w:rsidRPr="004E3FC9" w:rsidRDefault="005B376F" w:rsidP="00CF0506">
            <w:pPr>
              <w:rPr>
                <w:rFonts w:ascii="Calibri" w:hAnsi="Calibri"/>
                <w:b/>
                <w:sz w:val="20"/>
                <w:szCs w:val="20"/>
              </w:rPr>
            </w:pPr>
          </w:p>
        </w:tc>
        <w:tc>
          <w:tcPr>
            <w:tcW w:w="2441" w:type="pct"/>
          </w:tcPr>
          <w:p w14:paraId="1908559D" w14:textId="3B500D0E" w:rsidR="005B376F" w:rsidRPr="004E3FC9" w:rsidRDefault="005B376F" w:rsidP="005B376F">
            <w:pPr>
              <w:rPr>
                <w:rFonts w:ascii="Calibri" w:hAnsi="Calibri"/>
                <w:sz w:val="20"/>
                <w:szCs w:val="20"/>
              </w:rPr>
            </w:pPr>
            <w:r w:rsidRPr="004E3FC9">
              <w:rPr>
                <w:rFonts w:ascii="Calibri" w:hAnsi="Calibri"/>
                <w:sz w:val="20"/>
                <w:szCs w:val="20"/>
              </w:rPr>
              <w:t xml:space="preserve">The actual state and local performance levels for core indicator </w:t>
            </w:r>
            <w:r w:rsidR="00A973CF" w:rsidRPr="004E3FC9">
              <w:rPr>
                <w:rFonts w:ascii="Calibri" w:hAnsi="Calibri"/>
                <w:sz w:val="20"/>
                <w:szCs w:val="20"/>
              </w:rPr>
              <w:t>5S3</w:t>
            </w:r>
            <w:r w:rsidRPr="004E3FC9">
              <w:rPr>
                <w:rFonts w:ascii="Calibri" w:hAnsi="Calibri"/>
                <w:sz w:val="20"/>
                <w:szCs w:val="20"/>
              </w:rPr>
              <w:t xml:space="preserve"> are computed from SIMS in the following manner:</w:t>
            </w:r>
          </w:p>
          <w:p w14:paraId="36DBCB91" w14:textId="7B0B5A65" w:rsidR="0013131F" w:rsidRPr="004E3FC9" w:rsidRDefault="00C50FDA" w:rsidP="00DD0075">
            <w:pPr>
              <w:pStyle w:val="ListParagraph"/>
              <w:numPr>
                <w:ilvl w:val="0"/>
                <w:numId w:val="40"/>
              </w:numPr>
              <w:spacing w:after="0" w:line="240" w:lineRule="auto"/>
              <w:rPr>
                <w:rFonts w:ascii="Calibri" w:hAnsi="Calibri"/>
                <w:sz w:val="20"/>
                <w:szCs w:val="20"/>
              </w:rPr>
            </w:pPr>
            <w:r w:rsidRPr="004E3FC9">
              <w:rPr>
                <w:rFonts w:ascii="Calibri" w:hAnsi="Calibri"/>
                <w:sz w:val="20"/>
                <w:szCs w:val="20"/>
              </w:rPr>
              <w:t xml:space="preserve">Determine the students who were </w:t>
            </w:r>
            <w:r w:rsidRPr="004E3FC9">
              <w:rPr>
                <w:rFonts w:ascii="Calibri" w:hAnsi="Calibri"/>
                <w:b/>
                <w:bCs/>
                <w:sz w:val="20"/>
                <w:szCs w:val="20"/>
              </w:rPr>
              <w:t xml:space="preserve">CTE </w:t>
            </w:r>
            <w:r w:rsidR="00600B48" w:rsidRPr="004E3FC9">
              <w:rPr>
                <w:rFonts w:ascii="Calibri" w:hAnsi="Calibri"/>
                <w:b/>
                <w:bCs/>
                <w:sz w:val="20"/>
                <w:szCs w:val="20"/>
              </w:rPr>
              <w:t>C</w:t>
            </w:r>
            <w:r w:rsidRPr="004E3FC9">
              <w:rPr>
                <w:rFonts w:ascii="Calibri" w:hAnsi="Calibri"/>
                <w:b/>
                <w:bCs/>
                <w:sz w:val="20"/>
                <w:szCs w:val="20"/>
              </w:rPr>
              <w:t>oncentrators</w:t>
            </w:r>
            <w:r w:rsidRPr="004E3FC9">
              <w:rPr>
                <w:rFonts w:ascii="Calibri" w:hAnsi="Calibri"/>
                <w:sz w:val="20"/>
                <w:szCs w:val="20"/>
              </w:rPr>
              <w:t xml:space="preserve"> (two consecutive years of program enrollment) during high school. For example, a 2018 </w:t>
            </w:r>
            <w:r w:rsidR="00F52B02" w:rsidRPr="004E3FC9">
              <w:rPr>
                <w:rFonts w:ascii="Calibri" w:hAnsi="Calibri"/>
                <w:sz w:val="20"/>
                <w:szCs w:val="20"/>
              </w:rPr>
              <w:t xml:space="preserve">graduate </w:t>
            </w:r>
            <w:r w:rsidRPr="004E3FC9">
              <w:rPr>
                <w:rFonts w:ascii="Calibri" w:hAnsi="Calibri"/>
                <w:sz w:val="20"/>
                <w:szCs w:val="20"/>
              </w:rPr>
              <w:t>concentrator is a student who was reported in SIMS in a CTE program in both October 201</w:t>
            </w:r>
            <w:r w:rsidR="00F52B02" w:rsidRPr="004E3FC9">
              <w:rPr>
                <w:rFonts w:ascii="Calibri" w:hAnsi="Calibri"/>
                <w:sz w:val="20"/>
                <w:szCs w:val="20"/>
              </w:rPr>
              <w:t>7</w:t>
            </w:r>
            <w:r w:rsidRPr="004E3FC9">
              <w:rPr>
                <w:rFonts w:ascii="Calibri" w:hAnsi="Calibri"/>
                <w:sz w:val="20"/>
                <w:szCs w:val="20"/>
              </w:rPr>
              <w:t xml:space="preserve"> and October 201</w:t>
            </w:r>
            <w:r w:rsidR="00F52B02" w:rsidRPr="004E3FC9">
              <w:rPr>
                <w:rFonts w:ascii="Calibri" w:hAnsi="Calibri"/>
                <w:sz w:val="20"/>
                <w:szCs w:val="20"/>
              </w:rPr>
              <w:t>8</w:t>
            </w:r>
            <w:r w:rsidRPr="004E3FC9">
              <w:rPr>
                <w:rFonts w:ascii="Calibri" w:hAnsi="Calibri"/>
                <w:sz w:val="20"/>
                <w:szCs w:val="20"/>
              </w:rPr>
              <w:t>, or both October 201</w:t>
            </w:r>
            <w:r w:rsidR="00F52B02" w:rsidRPr="004E3FC9">
              <w:rPr>
                <w:rFonts w:ascii="Calibri" w:hAnsi="Calibri"/>
                <w:sz w:val="20"/>
                <w:szCs w:val="20"/>
              </w:rPr>
              <w:t>8</w:t>
            </w:r>
            <w:r w:rsidRPr="004E3FC9">
              <w:rPr>
                <w:rFonts w:ascii="Calibri" w:hAnsi="Calibri"/>
                <w:sz w:val="20"/>
                <w:szCs w:val="20"/>
              </w:rPr>
              <w:t xml:space="preserve"> and October 201</w:t>
            </w:r>
            <w:r w:rsidR="00F52B02" w:rsidRPr="004E3FC9">
              <w:rPr>
                <w:rFonts w:ascii="Calibri" w:hAnsi="Calibri"/>
                <w:sz w:val="20"/>
                <w:szCs w:val="20"/>
              </w:rPr>
              <w:t>9</w:t>
            </w:r>
            <w:r w:rsidRPr="004E3FC9">
              <w:rPr>
                <w:rFonts w:ascii="Calibri" w:hAnsi="Calibri"/>
                <w:sz w:val="20"/>
                <w:szCs w:val="20"/>
              </w:rPr>
              <w:t xml:space="preserve">. </w:t>
            </w:r>
          </w:p>
          <w:p w14:paraId="581C6FFB" w14:textId="0827C0BD" w:rsidR="00C50FDA" w:rsidRPr="004E3FC9" w:rsidRDefault="00C50FDA" w:rsidP="00DD0075">
            <w:pPr>
              <w:pStyle w:val="ListParagraph"/>
              <w:numPr>
                <w:ilvl w:val="0"/>
                <w:numId w:val="40"/>
              </w:numPr>
              <w:spacing w:after="0" w:line="240" w:lineRule="auto"/>
              <w:rPr>
                <w:rFonts w:ascii="Calibri" w:hAnsi="Calibri"/>
                <w:sz w:val="20"/>
                <w:szCs w:val="20"/>
              </w:rPr>
            </w:pPr>
            <w:r w:rsidRPr="004E3FC9">
              <w:rPr>
                <w:rFonts w:ascii="Calibri" w:hAnsi="Calibri"/>
                <w:sz w:val="20"/>
                <w:szCs w:val="20"/>
              </w:rPr>
              <w:t xml:space="preserve">Determine those who graduated in the reporting year. </w:t>
            </w:r>
          </w:p>
          <w:p w14:paraId="404F7CE0" w14:textId="5B3E4BE6" w:rsidR="00C50FDA" w:rsidRPr="004E3FC9" w:rsidRDefault="00C50FDA" w:rsidP="00C50FDA">
            <w:pPr>
              <w:spacing w:after="0" w:line="240" w:lineRule="auto"/>
              <w:rPr>
                <w:rFonts w:ascii="Calibri" w:hAnsi="Calibri"/>
                <w:sz w:val="20"/>
                <w:szCs w:val="20"/>
              </w:rPr>
            </w:pPr>
          </w:p>
          <w:p w14:paraId="4573A0D7" w14:textId="7219A860" w:rsidR="00DD3C57" w:rsidRPr="004E3FC9" w:rsidRDefault="00DD3C57" w:rsidP="00C50FDA">
            <w:pPr>
              <w:spacing w:after="0" w:line="240" w:lineRule="auto"/>
              <w:rPr>
                <w:rFonts w:ascii="Calibri" w:hAnsi="Calibri"/>
                <w:sz w:val="20"/>
                <w:szCs w:val="20"/>
              </w:rPr>
            </w:pPr>
          </w:p>
          <w:p w14:paraId="5D5D56C5" w14:textId="2380E87A" w:rsidR="00DD3C57" w:rsidRPr="004E3FC9" w:rsidRDefault="00DD3C57" w:rsidP="00C50FDA">
            <w:pPr>
              <w:spacing w:after="0" w:line="240" w:lineRule="auto"/>
              <w:rPr>
                <w:rFonts w:ascii="Calibri" w:hAnsi="Calibri"/>
                <w:sz w:val="20"/>
                <w:szCs w:val="20"/>
              </w:rPr>
            </w:pPr>
          </w:p>
          <w:p w14:paraId="23636345" w14:textId="5828C168" w:rsidR="00DD3C57" w:rsidRPr="004E3FC9" w:rsidRDefault="00DD3C57" w:rsidP="00C50FDA">
            <w:pPr>
              <w:spacing w:after="0" w:line="240" w:lineRule="auto"/>
              <w:rPr>
                <w:rFonts w:ascii="Calibri" w:hAnsi="Calibri"/>
                <w:sz w:val="20"/>
                <w:szCs w:val="20"/>
              </w:rPr>
            </w:pPr>
          </w:p>
          <w:p w14:paraId="10263361" w14:textId="77777777" w:rsidR="00C50FDA" w:rsidRPr="004E3FC9" w:rsidRDefault="00C50FDA" w:rsidP="00C50FDA">
            <w:pPr>
              <w:spacing w:after="0" w:line="240" w:lineRule="auto"/>
              <w:rPr>
                <w:rFonts w:ascii="Calibri" w:hAnsi="Calibri"/>
                <w:sz w:val="20"/>
                <w:szCs w:val="20"/>
              </w:rPr>
            </w:pPr>
          </w:p>
          <w:p w14:paraId="7217AFB2" w14:textId="535DA9E4" w:rsidR="00A973CF" w:rsidRPr="004E3FC9" w:rsidRDefault="00C50FDA" w:rsidP="00C50FDA">
            <w:pPr>
              <w:spacing w:after="0" w:line="240" w:lineRule="auto"/>
              <w:rPr>
                <w:rFonts w:ascii="Calibri" w:hAnsi="Calibri"/>
                <w:sz w:val="20"/>
                <w:szCs w:val="20"/>
              </w:rPr>
            </w:pPr>
            <w:r w:rsidRPr="004E3FC9">
              <w:rPr>
                <w:rFonts w:ascii="Calibri" w:hAnsi="Calibri"/>
                <w:sz w:val="20"/>
                <w:szCs w:val="20"/>
              </w:rPr>
              <w:t>T</w:t>
            </w:r>
            <w:r w:rsidR="00A973CF" w:rsidRPr="004E3FC9">
              <w:rPr>
                <w:rFonts w:ascii="Calibri" w:hAnsi="Calibri"/>
                <w:sz w:val="20"/>
                <w:szCs w:val="20"/>
              </w:rPr>
              <w:t xml:space="preserve">his is the denominator. </w:t>
            </w:r>
          </w:p>
          <w:p w14:paraId="4A363579" w14:textId="77777777" w:rsidR="00A973CF" w:rsidRPr="004E3FC9" w:rsidRDefault="00A973CF" w:rsidP="00A973CF">
            <w:pPr>
              <w:spacing w:after="0" w:line="240" w:lineRule="auto"/>
              <w:rPr>
                <w:rFonts w:ascii="Calibri" w:hAnsi="Calibri"/>
                <w:sz w:val="20"/>
                <w:szCs w:val="20"/>
              </w:rPr>
            </w:pPr>
          </w:p>
          <w:p w14:paraId="6427C12F" w14:textId="0DCE6E37" w:rsidR="00CF0506" w:rsidRPr="004E3FC9" w:rsidRDefault="00A973CF" w:rsidP="005B376F">
            <w:pPr>
              <w:spacing w:after="0"/>
              <w:rPr>
                <w:rFonts w:ascii="Calibri" w:hAnsi="Calibri"/>
                <w:sz w:val="20"/>
                <w:szCs w:val="20"/>
              </w:rPr>
            </w:pPr>
            <w:r w:rsidRPr="004E3FC9">
              <w:rPr>
                <w:rFonts w:ascii="Calibri" w:hAnsi="Calibri"/>
                <w:sz w:val="20"/>
                <w:szCs w:val="20"/>
              </w:rPr>
              <w:t xml:space="preserve">The </w:t>
            </w:r>
            <w:r w:rsidR="005B376F" w:rsidRPr="004E3FC9">
              <w:rPr>
                <w:rFonts w:ascii="Calibri" w:hAnsi="Calibri"/>
                <w:sz w:val="20"/>
                <w:szCs w:val="20"/>
              </w:rPr>
              <w:t>numerator includes the</w:t>
            </w:r>
            <w:r w:rsidR="00C50FDA" w:rsidRPr="004E3FC9">
              <w:rPr>
                <w:rFonts w:ascii="Calibri" w:hAnsi="Calibri"/>
                <w:sz w:val="20"/>
                <w:szCs w:val="20"/>
              </w:rPr>
              <w:t xml:space="preserve"> only those</w:t>
            </w:r>
            <w:r w:rsidR="005B376F" w:rsidRPr="004E3FC9">
              <w:rPr>
                <w:rFonts w:ascii="Calibri" w:hAnsi="Calibri"/>
                <w:sz w:val="20"/>
                <w:szCs w:val="20"/>
              </w:rPr>
              <w:t xml:space="preserve"> CTE concentrator</w:t>
            </w:r>
            <w:r w:rsidR="00C50FDA" w:rsidRPr="004E3FC9">
              <w:rPr>
                <w:rFonts w:ascii="Calibri" w:hAnsi="Calibri"/>
                <w:sz w:val="20"/>
                <w:szCs w:val="20"/>
              </w:rPr>
              <w:t xml:space="preserve">s who graduated in the reporting year, and </w:t>
            </w:r>
            <w:r w:rsidRPr="004E3FC9">
              <w:rPr>
                <w:rFonts w:ascii="Calibri" w:hAnsi="Calibri"/>
                <w:sz w:val="20"/>
                <w:szCs w:val="20"/>
              </w:rPr>
              <w:t xml:space="preserve">who completed a work-based learning experience before graduation. </w:t>
            </w:r>
          </w:p>
          <w:p w14:paraId="3571716E" w14:textId="0FEE6844" w:rsidR="00C50FDA" w:rsidRPr="004E3FC9" w:rsidRDefault="00C50FDA" w:rsidP="005B376F">
            <w:pPr>
              <w:spacing w:after="0"/>
              <w:rPr>
                <w:rFonts w:ascii="Calibri" w:hAnsi="Calibri"/>
                <w:sz w:val="20"/>
                <w:szCs w:val="20"/>
              </w:rPr>
            </w:pPr>
          </w:p>
          <w:p w14:paraId="4A6853F6" w14:textId="1654420D" w:rsidR="00C03C8C" w:rsidRDefault="00C03C8C" w:rsidP="005B376F">
            <w:pPr>
              <w:spacing w:after="0"/>
              <w:rPr>
                <w:rFonts w:ascii="Calibri" w:hAnsi="Calibri"/>
                <w:sz w:val="20"/>
                <w:szCs w:val="20"/>
              </w:rPr>
            </w:pPr>
            <w:r w:rsidRPr="004E3FC9">
              <w:rPr>
                <w:rFonts w:ascii="Calibri" w:hAnsi="Calibri"/>
                <w:sz w:val="20"/>
                <w:szCs w:val="20"/>
              </w:rPr>
              <w:t xml:space="preserve">For 2020, this will refer to 2019 Graduates and their WBL </w:t>
            </w:r>
            <w:r w:rsidR="00D05BBD" w:rsidRPr="004E3FC9">
              <w:rPr>
                <w:rFonts w:ascii="Calibri" w:hAnsi="Calibri"/>
                <w:sz w:val="20"/>
                <w:szCs w:val="20"/>
              </w:rPr>
              <w:t>completion</w:t>
            </w:r>
            <w:r w:rsidRPr="004E3FC9">
              <w:rPr>
                <w:rFonts w:ascii="Calibri" w:hAnsi="Calibri"/>
                <w:sz w:val="20"/>
                <w:szCs w:val="20"/>
              </w:rPr>
              <w:t>.</w:t>
            </w:r>
          </w:p>
          <w:p w14:paraId="0CD0311A" w14:textId="268685EE" w:rsidR="00C50FDA" w:rsidRPr="00587597" w:rsidRDefault="00C50FDA" w:rsidP="005B376F">
            <w:pPr>
              <w:spacing w:after="0"/>
              <w:rPr>
                <w:rFonts w:ascii="Calibri" w:hAnsi="Calibri"/>
                <w:sz w:val="20"/>
                <w:szCs w:val="20"/>
              </w:rPr>
            </w:pPr>
          </w:p>
        </w:tc>
      </w:tr>
    </w:tbl>
    <w:p w14:paraId="45F5222A" w14:textId="4822B1A6" w:rsidR="00122D30" w:rsidRDefault="00CF0506" w:rsidP="002F448D">
      <w:pPr>
        <w:pStyle w:val="Heading2"/>
      </w:pPr>
      <w:r>
        <w:t xml:space="preserve"> </w:t>
      </w:r>
    </w:p>
    <w:sectPr w:rsidR="00122D30" w:rsidSect="00A973CF">
      <w:footerReference w:type="default" r:id="rId12"/>
      <w:footerReference w:type="first" r:id="rId13"/>
      <w:pgSz w:w="15840" w:h="12240" w:orient="landscape"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853A1" w14:textId="77777777" w:rsidR="00417B29" w:rsidRDefault="00417B29">
      <w:r>
        <w:separator/>
      </w:r>
    </w:p>
  </w:endnote>
  <w:endnote w:type="continuationSeparator" w:id="0">
    <w:p w14:paraId="62C24E50" w14:textId="77777777" w:rsidR="00417B29" w:rsidRDefault="0041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Calisto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5C97" w14:textId="4038B54C" w:rsidR="00EC34E3" w:rsidRDefault="00EC34E3" w:rsidP="007E581D">
    <w:pPr>
      <w:pStyle w:val="Footer"/>
      <w:pBdr>
        <w:top w:val="single" w:sz="4" w:space="2" w:color="auto"/>
      </w:pBdr>
      <w:tabs>
        <w:tab w:val="clear" w:pos="8640"/>
        <w:tab w:val="left" w:pos="8520"/>
        <w:tab w:val="right" w:pos="9360"/>
      </w:tabs>
      <w:jc w:val="center"/>
    </w:pPr>
    <w:r w:rsidRPr="00FC41D0">
      <w:rPr>
        <w:i/>
        <w:sz w:val="20"/>
      </w:rPr>
      <w:t>Massachusetts Perkins V</w:t>
    </w:r>
    <w:r w:rsidR="00CF0506">
      <w:rPr>
        <w:i/>
        <w:sz w:val="20"/>
      </w:rPr>
      <w:t xml:space="preserve"> Core Indicator Details</w:t>
    </w:r>
    <w:r>
      <w:tab/>
    </w:r>
    <w:r>
      <w:rPr>
        <w:rStyle w:val="PageNumber"/>
      </w:rPr>
      <w:fldChar w:fldCharType="begin"/>
    </w:r>
    <w:r>
      <w:rPr>
        <w:rStyle w:val="PageNumber"/>
      </w:rPr>
      <w:instrText xml:space="preserve"> PAGE </w:instrText>
    </w:r>
    <w:r>
      <w:rPr>
        <w:rStyle w:val="PageNumber"/>
      </w:rPr>
      <w:fldChar w:fldCharType="separate"/>
    </w:r>
    <w:r w:rsidR="00806210">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B762" w14:textId="7435C0A1" w:rsidR="00EC34E3" w:rsidRDefault="00EC34E3" w:rsidP="003A72D6">
    <w:pPr>
      <w:pStyle w:val="Footer"/>
      <w:pBdr>
        <w:top w:val="single" w:sz="4" w:space="2" w:color="auto"/>
      </w:pBdr>
      <w:tabs>
        <w:tab w:val="clear" w:pos="8640"/>
        <w:tab w:val="left" w:pos="8520"/>
        <w:tab w:val="right" w:pos="9360"/>
      </w:tabs>
      <w:jc w:val="center"/>
    </w:pPr>
    <w:r w:rsidRPr="00FC41D0">
      <w:rPr>
        <w:i/>
        <w:sz w:val="20"/>
      </w:rPr>
      <w:t xml:space="preserve">Massachusetts Perkins V </w:t>
    </w:r>
    <w:r w:rsidR="00CF0506">
      <w:rPr>
        <w:i/>
        <w:sz w:val="20"/>
      </w:rPr>
      <w:t>Indicator Detail</w:t>
    </w:r>
    <w:r>
      <w:tab/>
    </w:r>
    <w:r>
      <w:rPr>
        <w:rStyle w:val="PageNumber"/>
      </w:rPr>
      <w:fldChar w:fldCharType="begin"/>
    </w:r>
    <w:r>
      <w:rPr>
        <w:rStyle w:val="PageNumber"/>
      </w:rPr>
      <w:instrText xml:space="preserve"> PAGE </w:instrText>
    </w:r>
    <w:r>
      <w:rPr>
        <w:rStyle w:val="PageNumber"/>
      </w:rPr>
      <w:fldChar w:fldCharType="separate"/>
    </w:r>
    <w:r w:rsidR="00806210">
      <w:rPr>
        <w:rStyle w:val="PageNumber"/>
        <w:noProof/>
      </w:rPr>
      <w:t>14</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AE2F7" w14:textId="77777777" w:rsidR="00417B29" w:rsidRDefault="00417B29">
      <w:r>
        <w:separator/>
      </w:r>
    </w:p>
  </w:footnote>
  <w:footnote w:type="continuationSeparator" w:id="0">
    <w:p w14:paraId="3FC9CAF0" w14:textId="77777777" w:rsidR="00417B29" w:rsidRDefault="0041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00"/>
    <w:multiLevelType w:val="hybridMultilevel"/>
    <w:tmpl w:val="46464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33E81"/>
    <w:multiLevelType w:val="hybridMultilevel"/>
    <w:tmpl w:val="5A76B3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213BC0"/>
    <w:multiLevelType w:val="hybridMultilevel"/>
    <w:tmpl w:val="FB2ED0EA"/>
    <w:lvl w:ilvl="0" w:tplc="C7E6370E">
      <w:start w:val="1"/>
      <w:numFmt w:val="bullet"/>
      <w:lvlText w:val=""/>
      <w:lvlJc w:val="left"/>
      <w:pPr>
        <w:ind w:left="720" w:hanging="360"/>
      </w:pPr>
      <w:rPr>
        <w:rFonts w:ascii="Wingdings" w:hAnsi="Wingdings" w:hint="default"/>
        <w:color w:val="E36C0A"/>
        <w:sz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3D7A"/>
    <w:multiLevelType w:val="hybridMultilevel"/>
    <w:tmpl w:val="55667B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BA1AC8"/>
    <w:multiLevelType w:val="hybridMultilevel"/>
    <w:tmpl w:val="607CCF92"/>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2A77"/>
    <w:multiLevelType w:val="hybridMultilevel"/>
    <w:tmpl w:val="261C85A8"/>
    <w:lvl w:ilvl="0" w:tplc="C7E6370E">
      <w:start w:val="1"/>
      <w:numFmt w:val="bullet"/>
      <w:lvlText w:val=""/>
      <w:lvlJc w:val="left"/>
      <w:pPr>
        <w:ind w:left="360" w:hanging="360"/>
      </w:pPr>
      <w:rPr>
        <w:rFonts w:ascii="Wingdings" w:hAnsi="Wingdings" w:hint="default"/>
        <w:color w:val="E36C0A"/>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F2DCF"/>
    <w:multiLevelType w:val="hybridMultilevel"/>
    <w:tmpl w:val="363292D6"/>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4A62"/>
    <w:multiLevelType w:val="hybridMultilevel"/>
    <w:tmpl w:val="AA4CD1E4"/>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4843"/>
    <w:multiLevelType w:val="hybridMultilevel"/>
    <w:tmpl w:val="FDC618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81211"/>
    <w:multiLevelType w:val="hybridMultilevel"/>
    <w:tmpl w:val="914C8780"/>
    <w:lvl w:ilvl="0" w:tplc="B7DCFA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14275"/>
    <w:multiLevelType w:val="hybridMultilevel"/>
    <w:tmpl w:val="7A0464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CB6CE5"/>
    <w:multiLevelType w:val="hybridMultilevel"/>
    <w:tmpl w:val="7ED8AC7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555EA"/>
    <w:multiLevelType w:val="hybridMultilevel"/>
    <w:tmpl w:val="7D5A6A92"/>
    <w:lvl w:ilvl="0" w:tplc="DC206BF0">
      <w:start w:val="1"/>
      <w:numFmt w:val="bullet"/>
      <w:lvlText w:val=""/>
      <w:lvlJc w:val="left"/>
      <w:pPr>
        <w:tabs>
          <w:tab w:val="num" w:pos="720"/>
        </w:tabs>
        <w:ind w:left="720" w:hanging="360"/>
      </w:pPr>
      <w:rPr>
        <w:rFonts w:ascii="Symbol" w:hAnsi="Symbol" w:hint="default"/>
        <w:sz w:val="20"/>
      </w:rPr>
    </w:lvl>
    <w:lvl w:ilvl="1" w:tplc="2FF2CEBA" w:tentative="1">
      <w:start w:val="1"/>
      <w:numFmt w:val="bullet"/>
      <w:lvlText w:val=""/>
      <w:lvlJc w:val="left"/>
      <w:pPr>
        <w:tabs>
          <w:tab w:val="num" w:pos="1440"/>
        </w:tabs>
        <w:ind w:left="1440" w:hanging="360"/>
      </w:pPr>
      <w:rPr>
        <w:rFonts w:ascii="Symbol" w:hAnsi="Symbol" w:hint="default"/>
        <w:sz w:val="20"/>
      </w:rPr>
    </w:lvl>
    <w:lvl w:ilvl="2" w:tplc="6D781536" w:tentative="1">
      <w:start w:val="1"/>
      <w:numFmt w:val="bullet"/>
      <w:lvlText w:val=""/>
      <w:lvlJc w:val="left"/>
      <w:pPr>
        <w:tabs>
          <w:tab w:val="num" w:pos="2160"/>
        </w:tabs>
        <w:ind w:left="2160" w:hanging="360"/>
      </w:pPr>
      <w:rPr>
        <w:rFonts w:ascii="Symbol" w:hAnsi="Symbol" w:hint="default"/>
        <w:sz w:val="20"/>
      </w:rPr>
    </w:lvl>
    <w:lvl w:ilvl="3" w:tplc="3B768B0E" w:tentative="1">
      <w:start w:val="1"/>
      <w:numFmt w:val="bullet"/>
      <w:lvlText w:val=""/>
      <w:lvlJc w:val="left"/>
      <w:pPr>
        <w:tabs>
          <w:tab w:val="num" w:pos="2880"/>
        </w:tabs>
        <w:ind w:left="2880" w:hanging="360"/>
      </w:pPr>
      <w:rPr>
        <w:rFonts w:ascii="Symbol" w:hAnsi="Symbol" w:hint="default"/>
        <w:sz w:val="20"/>
      </w:rPr>
    </w:lvl>
    <w:lvl w:ilvl="4" w:tplc="3B4052B6" w:tentative="1">
      <w:start w:val="1"/>
      <w:numFmt w:val="bullet"/>
      <w:lvlText w:val=""/>
      <w:lvlJc w:val="left"/>
      <w:pPr>
        <w:tabs>
          <w:tab w:val="num" w:pos="3600"/>
        </w:tabs>
        <w:ind w:left="3600" w:hanging="360"/>
      </w:pPr>
      <w:rPr>
        <w:rFonts w:ascii="Symbol" w:hAnsi="Symbol" w:hint="default"/>
        <w:sz w:val="20"/>
      </w:rPr>
    </w:lvl>
    <w:lvl w:ilvl="5" w:tplc="69E86362" w:tentative="1">
      <w:start w:val="1"/>
      <w:numFmt w:val="bullet"/>
      <w:lvlText w:val=""/>
      <w:lvlJc w:val="left"/>
      <w:pPr>
        <w:tabs>
          <w:tab w:val="num" w:pos="4320"/>
        </w:tabs>
        <w:ind w:left="4320" w:hanging="360"/>
      </w:pPr>
      <w:rPr>
        <w:rFonts w:ascii="Symbol" w:hAnsi="Symbol" w:hint="default"/>
        <w:sz w:val="20"/>
      </w:rPr>
    </w:lvl>
    <w:lvl w:ilvl="6" w:tplc="1534E74E" w:tentative="1">
      <w:start w:val="1"/>
      <w:numFmt w:val="bullet"/>
      <w:lvlText w:val=""/>
      <w:lvlJc w:val="left"/>
      <w:pPr>
        <w:tabs>
          <w:tab w:val="num" w:pos="5040"/>
        </w:tabs>
        <w:ind w:left="5040" w:hanging="360"/>
      </w:pPr>
      <w:rPr>
        <w:rFonts w:ascii="Symbol" w:hAnsi="Symbol" w:hint="default"/>
        <w:sz w:val="20"/>
      </w:rPr>
    </w:lvl>
    <w:lvl w:ilvl="7" w:tplc="3D426BE2" w:tentative="1">
      <w:start w:val="1"/>
      <w:numFmt w:val="bullet"/>
      <w:lvlText w:val=""/>
      <w:lvlJc w:val="left"/>
      <w:pPr>
        <w:tabs>
          <w:tab w:val="num" w:pos="5760"/>
        </w:tabs>
        <w:ind w:left="5760" w:hanging="360"/>
      </w:pPr>
      <w:rPr>
        <w:rFonts w:ascii="Symbol" w:hAnsi="Symbol" w:hint="default"/>
        <w:sz w:val="20"/>
      </w:rPr>
    </w:lvl>
    <w:lvl w:ilvl="8" w:tplc="2B8027E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5501E"/>
    <w:multiLevelType w:val="hybridMultilevel"/>
    <w:tmpl w:val="58981DD4"/>
    <w:lvl w:ilvl="0" w:tplc="776E12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A0B2E"/>
    <w:multiLevelType w:val="hybridMultilevel"/>
    <w:tmpl w:val="4CAA88FC"/>
    <w:lvl w:ilvl="0" w:tplc="AD90DCC0">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33CC"/>
    <w:multiLevelType w:val="hybridMultilevel"/>
    <w:tmpl w:val="57EC4BF4"/>
    <w:lvl w:ilvl="0" w:tplc="427C0EF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D138A9"/>
    <w:multiLevelType w:val="hybridMultilevel"/>
    <w:tmpl w:val="DCE618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E123D"/>
    <w:multiLevelType w:val="hybridMultilevel"/>
    <w:tmpl w:val="D5EC709A"/>
    <w:lvl w:ilvl="0" w:tplc="C7E6370E">
      <w:start w:val="1"/>
      <w:numFmt w:val="bullet"/>
      <w:lvlText w:val=""/>
      <w:lvlJc w:val="left"/>
      <w:pPr>
        <w:tabs>
          <w:tab w:val="num" w:pos="360"/>
        </w:tabs>
        <w:ind w:left="360" w:hanging="360"/>
      </w:pPr>
      <w:rPr>
        <w:rFonts w:ascii="Wingdings" w:hAnsi="Wingdings" w:hint="default"/>
        <w:color w:val="E36C0A"/>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E84E48"/>
    <w:multiLevelType w:val="hybridMultilevel"/>
    <w:tmpl w:val="DE76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8397C"/>
    <w:multiLevelType w:val="hybridMultilevel"/>
    <w:tmpl w:val="CC8CC542"/>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546"/>
    <w:multiLevelType w:val="hybridMultilevel"/>
    <w:tmpl w:val="BCF6D0E6"/>
    <w:lvl w:ilvl="0" w:tplc="4D02A50E">
      <w:start w:val="1"/>
      <w:numFmt w:val="decimal"/>
      <w:lvlText w:val="%1."/>
      <w:lvlJc w:val="left"/>
      <w:pPr>
        <w:tabs>
          <w:tab w:val="num" w:pos="120"/>
        </w:tabs>
        <w:ind w:left="12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1" w15:restartNumberingAfterBreak="0">
    <w:nsid w:val="3BAC77DC"/>
    <w:multiLevelType w:val="hybridMultilevel"/>
    <w:tmpl w:val="20C0CE22"/>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E5AD6"/>
    <w:multiLevelType w:val="hybridMultilevel"/>
    <w:tmpl w:val="36E42DE0"/>
    <w:lvl w:ilvl="0" w:tplc="78EECE42">
      <w:start w:val="1"/>
      <w:numFmt w:val="decimal"/>
      <w:lvlText w:val="%1."/>
      <w:lvlJc w:val="left"/>
      <w:pPr>
        <w:tabs>
          <w:tab w:val="num" w:pos="120"/>
        </w:tabs>
        <w:ind w:left="12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3" w15:restartNumberingAfterBreak="0">
    <w:nsid w:val="3E2437E0"/>
    <w:multiLevelType w:val="hybridMultilevel"/>
    <w:tmpl w:val="88CA2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BD012D"/>
    <w:multiLevelType w:val="hybridMultilevel"/>
    <w:tmpl w:val="87E622E6"/>
    <w:lvl w:ilvl="0" w:tplc="C7E6370E">
      <w:start w:val="1"/>
      <w:numFmt w:val="bullet"/>
      <w:lvlText w:val=""/>
      <w:lvlJc w:val="left"/>
      <w:pPr>
        <w:ind w:left="754" w:hanging="360"/>
      </w:pPr>
      <w:rPr>
        <w:rFonts w:ascii="Wingdings" w:hAnsi="Wingdings" w:hint="default"/>
        <w:color w:val="E36C0A"/>
        <w:sz w:val="28"/>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4EC06030"/>
    <w:multiLevelType w:val="hybridMultilevel"/>
    <w:tmpl w:val="31DC4034"/>
    <w:lvl w:ilvl="0" w:tplc="49C0B3E0">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24F71"/>
    <w:multiLevelType w:val="hybridMultilevel"/>
    <w:tmpl w:val="B60EDA98"/>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25BF4"/>
    <w:multiLevelType w:val="hybridMultilevel"/>
    <w:tmpl w:val="012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4C090A"/>
    <w:multiLevelType w:val="hybridMultilevel"/>
    <w:tmpl w:val="D74C3982"/>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80FCB"/>
    <w:multiLevelType w:val="hybridMultilevel"/>
    <w:tmpl w:val="24B46F22"/>
    <w:lvl w:ilvl="0" w:tplc="60C49470">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D6E96"/>
    <w:multiLevelType w:val="hybridMultilevel"/>
    <w:tmpl w:val="7AC8AF7A"/>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76EC3"/>
    <w:multiLevelType w:val="hybridMultilevel"/>
    <w:tmpl w:val="E20443F4"/>
    <w:lvl w:ilvl="0" w:tplc="A9B4103A">
      <w:start w:val="6"/>
      <w:numFmt w:val="bullet"/>
      <w:lvlText w:val="-"/>
      <w:lvlJc w:val="left"/>
      <w:pPr>
        <w:ind w:left="754" w:hanging="360"/>
      </w:pPr>
      <w:rPr>
        <w:rFonts w:ascii="Cambria" w:eastAsia="Times New Roman" w:hAnsi="Cambria"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15:restartNumberingAfterBreak="0">
    <w:nsid w:val="61567CEB"/>
    <w:multiLevelType w:val="hybridMultilevel"/>
    <w:tmpl w:val="3CC243D4"/>
    <w:lvl w:ilvl="0" w:tplc="BC50F40E">
      <w:start w:val="1"/>
      <w:numFmt w:val="decimal"/>
      <w:lvlText w:val="%1."/>
      <w:lvlJc w:val="left"/>
      <w:pPr>
        <w:tabs>
          <w:tab w:val="num" w:pos="120"/>
        </w:tabs>
        <w:ind w:left="12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33" w15:restartNumberingAfterBreak="0">
    <w:nsid w:val="62650C26"/>
    <w:multiLevelType w:val="hybridMultilevel"/>
    <w:tmpl w:val="DC1223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E0761F"/>
    <w:multiLevelType w:val="multilevel"/>
    <w:tmpl w:val="DAC07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905EBC"/>
    <w:multiLevelType w:val="hybridMultilevel"/>
    <w:tmpl w:val="14B8508A"/>
    <w:lvl w:ilvl="0" w:tplc="AD90DCC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1219"/>
    <w:multiLevelType w:val="hybridMultilevel"/>
    <w:tmpl w:val="E9D40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7F7EE9"/>
    <w:multiLevelType w:val="hybridMultilevel"/>
    <w:tmpl w:val="0210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801F07"/>
    <w:multiLevelType w:val="hybridMultilevel"/>
    <w:tmpl w:val="455C5E04"/>
    <w:lvl w:ilvl="0" w:tplc="AD90DCC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65AEB"/>
    <w:multiLevelType w:val="hybridMultilevel"/>
    <w:tmpl w:val="4052E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AD115E"/>
    <w:multiLevelType w:val="hybridMultilevel"/>
    <w:tmpl w:val="0E0AD620"/>
    <w:lvl w:ilvl="0" w:tplc="A9B4103A">
      <w:start w:val="6"/>
      <w:numFmt w:val="bullet"/>
      <w:lvlText w:val="-"/>
      <w:lvlJc w:val="left"/>
      <w:pPr>
        <w:tabs>
          <w:tab w:val="num" w:pos="360"/>
        </w:tabs>
        <w:ind w:left="360" w:hanging="360"/>
      </w:pPr>
      <w:rPr>
        <w:rFonts w:ascii="Cambria" w:eastAsia="Times New Roman" w:hAnsi="Cambria"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B93143"/>
    <w:multiLevelType w:val="hybridMultilevel"/>
    <w:tmpl w:val="13B6B028"/>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22"/>
  </w:num>
  <w:num w:numId="4">
    <w:abstractNumId w:val="33"/>
  </w:num>
  <w:num w:numId="5">
    <w:abstractNumId w:val="32"/>
  </w:num>
  <w:num w:numId="6">
    <w:abstractNumId w:val="20"/>
  </w:num>
  <w:num w:numId="7">
    <w:abstractNumId w:val="12"/>
  </w:num>
  <w:num w:numId="8">
    <w:abstractNumId w:val="23"/>
  </w:num>
  <w:num w:numId="9">
    <w:abstractNumId w:val="10"/>
  </w:num>
  <w:num w:numId="10">
    <w:abstractNumId w:val="1"/>
  </w:num>
  <w:num w:numId="11">
    <w:abstractNumId w:val="36"/>
  </w:num>
  <w:num w:numId="12">
    <w:abstractNumId w:val="39"/>
  </w:num>
  <w:num w:numId="13">
    <w:abstractNumId w:val="3"/>
  </w:num>
  <w:num w:numId="14">
    <w:abstractNumId w:val="9"/>
  </w:num>
  <w:num w:numId="15">
    <w:abstractNumId w:val="15"/>
  </w:num>
  <w:num w:numId="16">
    <w:abstractNumId w:val="34"/>
  </w:num>
  <w:num w:numId="17">
    <w:abstractNumId w:val="11"/>
  </w:num>
  <w:num w:numId="18">
    <w:abstractNumId w:val="19"/>
  </w:num>
  <w:num w:numId="19">
    <w:abstractNumId w:val="18"/>
  </w:num>
  <w:num w:numId="20">
    <w:abstractNumId w:val="38"/>
  </w:num>
  <w:num w:numId="21">
    <w:abstractNumId w:val="14"/>
  </w:num>
  <w:num w:numId="22">
    <w:abstractNumId w:val="25"/>
  </w:num>
  <w:num w:numId="23">
    <w:abstractNumId w:val="16"/>
  </w:num>
  <w:num w:numId="24">
    <w:abstractNumId w:val="8"/>
  </w:num>
  <w:num w:numId="25">
    <w:abstractNumId w:val="0"/>
  </w:num>
  <w:num w:numId="26">
    <w:abstractNumId w:val="35"/>
  </w:num>
  <w:num w:numId="27">
    <w:abstractNumId w:val="26"/>
  </w:num>
  <w:num w:numId="28">
    <w:abstractNumId w:val="31"/>
  </w:num>
  <w:num w:numId="29">
    <w:abstractNumId w:val="41"/>
  </w:num>
  <w:num w:numId="30">
    <w:abstractNumId w:val="21"/>
  </w:num>
  <w:num w:numId="31">
    <w:abstractNumId w:val="40"/>
  </w:num>
  <w:num w:numId="32">
    <w:abstractNumId w:val="7"/>
  </w:num>
  <w:num w:numId="33">
    <w:abstractNumId w:val="2"/>
  </w:num>
  <w:num w:numId="34">
    <w:abstractNumId w:val="4"/>
  </w:num>
  <w:num w:numId="35">
    <w:abstractNumId w:val="28"/>
  </w:num>
  <w:num w:numId="36">
    <w:abstractNumId w:val="24"/>
  </w:num>
  <w:num w:numId="37">
    <w:abstractNumId w:val="30"/>
  </w:num>
  <w:num w:numId="38">
    <w:abstractNumId w:val="6"/>
  </w:num>
  <w:num w:numId="39">
    <w:abstractNumId w:val="17"/>
  </w:num>
  <w:num w:numId="40">
    <w:abstractNumId w:val="5"/>
  </w:num>
  <w:num w:numId="41">
    <w:abstractNumId w:val="2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7B"/>
    <w:rsid w:val="000026CE"/>
    <w:rsid w:val="00004D61"/>
    <w:rsid w:val="00005072"/>
    <w:rsid w:val="00005C1A"/>
    <w:rsid w:val="00005F14"/>
    <w:rsid w:val="0000678D"/>
    <w:rsid w:val="000126AD"/>
    <w:rsid w:val="000131F5"/>
    <w:rsid w:val="00017B4F"/>
    <w:rsid w:val="00022088"/>
    <w:rsid w:val="000312A0"/>
    <w:rsid w:val="0003416D"/>
    <w:rsid w:val="000375CA"/>
    <w:rsid w:val="000474DE"/>
    <w:rsid w:val="00050BAF"/>
    <w:rsid w:val="000531FA"/>
    <w:rsid w:val="00053DB1"/>
    <w:rsid w:val="00054565"/>
    <w:rsid w:val="00055095"/>
    <w:rsid w:val="00055FCB"/>
    <w:rsid w:val="00060D76"/>
    <w:rsid w:val="000617D7"/>
    <w:rsid w:val="00063BE7"/>
    <w:rsid w:val="0006673B"/>
    <w:rsid w:val="00071810"/>
    <w:rsid w:val="00072CF0"/>
    <w:rsid w:val="00077E79"/>
    <w:rsid w:val="000836D9"/>
    <w:rsid w:val="00085386"/>
    <w:rsid w:val="00085FAE"/>
    <w:rsid w:val="000863E1"/>
    <w:rsid w:val="0008764F"/>
    <w:rsid w:val="00087EEC"/>
    <w:rsid w:val="000907FA"/>
    <w:rsid w:val="00093FEA"/>
    <w:rsid w:val="000A0362"/>
    <w:rsid w:val="000A10BF"/>
    <w:rsid w:val="000A4697"/>
    <w:rsid w:val="000B0EF5"/>
    <w:rsid w:val="000B5EB0"/>
    <w:rsid w:val="000B74E3"/>
    <w:rsid w:val="000B77AF"/>
    <w:rsid w:val="000C411B"/>
    <w:rsid w:val="000D00E3"/>
    <w:rsid w:val="000D1385"/>
    <w:rsid w:val="000D2569"/>
    <w:rsid w:val="000D2F6B"/>
    <w:rsid w:val="000D5CFF"/>
    <w:rsid w:val="000E1145"/>
    <w:rsid w:val="000E4A8F"/>
    <w:rsid w:val="000E6FEC"/>
    <w:rsid w:val="000E787A"/>
    <w:rsid w:val="000F4CA4"/>
    <w:rsid w:val="000F66F8"/>
    <w:rsid w:val="000F77B2"/>
    <w:rsid w:val="000F7F6D"/>
    <w:rsid w:val="00102FEE"/>
    <w:rsid w:val="001043B5"/>
    <w:rsid w:val="00113751"/>
    <w:rsid w:val="001142F6"/>
    <w:rsid w:val="001205C1"/>
    <w:rsid w:val="00122D30"/>
    <w:rsid w:val="0012593F"/>
    <w:rsid w:val="0013131F"/>
    <w:rsid w:val="00132C3F"/>
    <w:rsid w:val="00132D7E"/>
    <w:rsid w:val="00132DBB"/>
    <w:rsid w:val="00134A83"/>
    <w:rsid w:val="00134FFE"/>
    <w:rsid w:val="00137ACD"/>
    <w:rsid w:val="001469AE"/>
    <w:rsid w:val="00147A22"/>
    <w:rsid w:val="001503B1"/>
    <w:rsid w:val="001568B3"/>
    <w:rsid w:val="00157ECC"/>
    <w:rsid w:val="00160E4C"/>
    <w:rsid w:val="00166371"/>
    <w:rsid w:val="001675B3"/>
    <w:rsid w:val="00170666"/>
    <w:rsid w:val="0017138A"/>
    <w:rsid w:val="00177311"/>
    <w:rsid w:val="001838C8"/>
    <w:rsid w:val="0018444B"/>
    <w:rsid w:val="00186581"/>
    <w:rsid w:val="00190D9F"/>
    <w:rsid w:val="00194729"/>
    <w:rsid w:val="001964EC"/>
    <w:rsid w:val="001A2D4D"/>
    <w:rsid w:val="001A4213"/>
    <w:rsid w:val="001A68A1"/>
    <w:rsid w:val="001B091E"/>
    <w:rsid w:val="001B55CF"/>
    <w:rsid w:val="001B5B57"/>
    <w:rsid w:val="001C0CAF"/>
    <w:rsid w:val="001C130A"/>
    <w:rsid w:val="001C5B10"/>
    <w:rsid w:val="001C6ACA"/>
    <w:rsid w:val="001D087C"/>
    <w:rsid w:val="001D1585"/>
    <w:rsid w:val="001D1EE3"/>
    <w:rsid w:val="001E142D"/>
    <w:rsid w:val="001E19C0"/>
    <w:rsid w:val="001E1EE6"/>
    <w:rsid w:val="001E24D8"/>
    <w:rsid w:val="001E4F34"/>
    <w:rsid w:val="001E593C"/>
    <w:rsid w:val="001F1783"/>
    <w:rsid w:val="001F1B00"/>
    <w:rsid w:val="001F3508"/>
    <w:rsid w:val="001F484B"/>
    <w:rsid w:val="001F74BA"/>
    <w:rsid w:val="002054F1"/>
    <w:rsid w:val="00214C9E"/>
    <w:rsid w:val="002154A5"/>
    <w:rsid w:val="00215736"/>
    <w:rsid w:val="00220566"/>
    <w:rsid w:val="00220F9B"/>
    <w:rsid w:val="00223B72"/>
    <w:rsid w:val="00224005"/>
    <w:rsid w:val="00224DAB"/>
    <w:rsid w:val="00225AE1"/>
    <w:rsid w:val="002261EE"/>
    <w:rsid w:val="00226654"/>
    <w:rsid w:val="00227FD6"/>
    <w:rsid w:val="002333B5"/>
    <w:rsid w:val="00240973"/>
    <w:rsid w:val="0024321A"/>
    <w:rsid w:val="00250ADB"/>
    <w:rsid w:val="0025110C"/>
    <w:rsid w:val="00252F20"/>
    <w:rsid w:val="0025458A"/>
    <w:rsid w:val="00255B85"/>
    <w:rsid w:val="00265FA6"/>
    <w:rsid w:val="00270AB9"/>
    <w:rsid w:val="00270EF2"/>
    <w:rsid w:val="00272F2E"/>
    <w:rsid w:val="00275184"/>
    <w:rsid w:val="00281113"/>
    <w:rsid w:val="00281662"/>
    <w:rsid w:val="00283AD1"/>
    <w:rsid w:val="00284E99"/>
    <w:rsid w:val="00293539"/>
    <w:rsid w:val="00293F9C"/>
    <w:rsid w:val="002A46BA"/>
    <w:rsid w:val="002A4C36"/>
    <w:rsid w:val="002A73EF"/>
    <w:rsid w:val="002B0180"/>
    <w:rsid w:val="002B1BFB"/>
    <w:rsid w:val="002B2CDB"/>
    <w:rsid w:val="002B2D57"/>
    <w:rsid w:val="002B6F7B"/>
    <w:rsid w:val="002C29BA"/>
    <w:rsid w:val="002C2EA0"/>
    <w:rsid w:val="002C336C"/>
    <w:rsid w:val="002C5CD2"/>
    <w:rsid w:val="002C6A5C"/>
    <w:rsid w:val="002D05A9"/>
    <w:rsid w:val="002D1BC5"/>
    <w:rsid w:val="002D271A"/>
    <w:rsid w:val="002D2D65"/>
    <w:rsid w:val="002D2DD2"/>
    <w:rsid w:val="002D5908"/>
    <w:rsid w:val="002D60B9"/>
    <w:rsid w:val="002E0725"/>
    <w:rsid w:val="002F0783"/>
    <w:rsid w:val="002F448D"/>
    <w:rsid w:val="002F47F6"/>
    <w:rsid w:val="002F4843"/>
    <w:rsid w:val="00301587"/>
    <w:rsid w:val="0030188C"/>
    <w:rsid w:val="00301D50"/>
    <w:rsid w:val="003033C4"/>
    <w:rsid w:val="0030569C"/>
    <w:rsid w:val="00305F19"/>
    <w:rsid w:val="0030666A"/>
    <w:rsid w:val="003075EB"/>
    <w:rsid w:val="003107E2"/>
    <w:rsid w:val="00312846"/>
    <w:rsid w:val="00313D4B"/>
    <w:rsid w:val="00313EF1"/>
    <w:rsid w:val="003149DB"/>
    <w:rsid w:val="0032042D"/>
    <w:rsid w:val="00322A22"/>
    <w:rsid w:val="00322D1F"/>
    <w:rsid w:val="0032350E"/>
    <w:rsid w:val="003254D2"/>
    <w:rsid w:val="00331ED4"/>
    <w:rsid w:val="0033563F"/>
    <w:rsid w:val="003356CD"/>
    <w:rsid w:val="0033635C"/>
    <w:rsid w:val="00340D60"/>
    <w:rsid w:val="00342389"/>
    <w:rsid w:val="003446AB"/>
    <w:rsid w:val="00344E51"/>
    <w:rsid w:val="00346A52"/>
    <w:rsid w:val="00346DEF"/>
    <w:rsid w:val="003526BD"/>
    <w:rsid w:val="003571AF"/>
    <w:rsid w:val="003601C6"/>
    <w:rsid w:val="00363CCE"/>
    <w:rsid w:val="00365B15"/>
    <w:rsid w:val="00365E2D"/>
    <w:rsid w:val="00371CF4"/>
    <w:rsid w:val="00376079"/>
    <w:rsid w:val="00377F3F"/>
    <w:rsid w:val="0038065F"/>
    <w:rsid w:val="00380A75"/>
    <w:rsid w:val="00380C35"/>
    <w:rsid w:val="00380DDB"/>
    <w:rsid w:val="0038152A"/>
    <w:rsid w:val="0038381E"/>
    <w:rsid w:val="00385CDF"/>
    <w:rsid w:val="00386E8F"/>
    <w:rsid w:val="00386F25"/>
    <w:rsid w:val="003926F9"/>
    <w:rsid w:val="00392C67"/>
    <w:rsid w:val="00395075"/>
    <w:rsid w:val="003A040B"/>
    <w:rsid w:val="003A2CA3"/>
    <w:rsid w:val="003A2CEB"/>
    <w:rsid w:val="003A440E"/>
    <w:rsid w:val="003A71CC"/>
    <w:rsid w:val="003A72D6"/>
    <w:rsid w:val="003A7665"/>
    <w:rsid w:val="003B0721"/>
    <w:rsid w:val="003B2D48"/>
    <w:rsid w:val="003B5816"/>
    <w:rsid w:val="003B7783"/>
    <w:rsid w:val="003C1B0B"/>
    <w:rsid w:val="003C2B39"/>
    <w:rsid w:val="003C3D54"/>
    <w:rsid w:val="003C3FE2"/>
    <w:rsid w:val="003C6D6C"/>
    <w:rsid w:val="003D35E8"/>
    <w:rsid w:val="003D4716"/>
    <w:rsid w:val="003D4AE5"/>
    <w:rsid w:val="003D4C0E"/>
    <w:rsid w:val="003D4E82"/>
    <w:rsid w:val="003D6881"/>
    <w:rsid w:val="003E2927"/>
    <w:rsid w:val="003F0082"/>
    <w:rsid w:val="00400645"/>
    <w:rsid w:val="0040088B"/>
    <w:rsid w:val="00401C0C"/>
    <w:rsid w:val="00401E04"/>
    <w:rsid w:val="0040340C"/>
    <w:rsid w:val="0040379F"/>
    <w:rsid w:val="00407D7B"/>
    <w:rsid w:val="00411236"/>
    <w:rsid w:val="00413ABA"/>
    <w:rsid w:val="00415A70"/>
    <w:rsid w:val="00417B29"/>
    <w:rsid w:val="00426C45"/>
    <w:rsid w:val="004270D2"/>
    <w:rsid w:val="0042716F"/>
    <w:rsid w:val="0043036E"/>
    <w:rsid w:val="00431E2B"/>
    <w:rsid w:val="00432188"/>
    <w:rsid w:val="00433ADB"/>
    <w:rsid w:val="00442836"/>
    <w:rsid w:val="00442CE5"/>
    <w:rsid w:val="00445CDB"/>
    <w:rsid w:val="00453D63"/>
    <w:rsid w:val="00454152"/>
    <w:rsid w:val="00454E97"/>
    <w:rsid w:val="00457917"/>
    <w:rsid w:val="00460058"/>
    <w:rsid w:val="00461D68"/>
    <w:rsid w:val="00461F26"/>
    <w:rsid w:val="00462054"/>
    <w:rsid w:val="00462718"/>
    <w:rsid w:val="004635DE"/>
    <w:rsid w:val="00465F7A"/>
    <w:rsid w:val="0046759F"/>
    <w:rsid w:val="004715E7"/>
    <w:rsid w:val="004716DA"/>
    <w:rsid w:val="0047374C"/>
    <w:rsid w:val="00473A18"/>
    <w:rsid w:val="0047439A"/>
    <w:rsid w:val="0047513B"/>
    <w:rsid w:val="00480CB0"/>
    <w:rsid w:val="00481DB0"/>
    <w:rsid w:val="004977B6"/>
    <w:rsid w:val="004A124A"/>
    <w:rsid w:val="004A160C"/>
    <w:rsid w:val="004A2506"/>
    <w:rsid w:val="004A53C9"/>
    <w:rsid w:val="004A70F7"/>
    <w:rsid w:val="004A79EF"/>
    <w:rsid w:val="004B13BD"/>
    <w:rsid w:val="004B4870"/>
    <w:rsid w:val="004B61FD"/>
    <w:rsid w:val="004B6560"/>
    <w:rsid w:val="004B7323"/>
    <w:rsid w:val="004C2B42"/>
    <w:rsid w:val="004C472B"/>
    <w:rsid w:val="004C4DC8"/>
    <w:rsid w:val="004D7C75"/>
    <w:rsid w:val="004E1493"/>
    <w:rsid w:val="004E2B43"/>
    <w:rsid w:val="004E35EC"/>
    <w:rsid w:val="004E37B9"/>
    <w:rsid w:val="004E3B8B"/>
    <w:rsid w:val="004E3FC9"/>
    <w:rsid w:val="004F0E3F"/>
    <w:rsid w:val="004F7017"/>
    <w:rsid w:val="005008F4"/>
    <w:rsid w:val="00501E32"/>
    <w:rsid w:val="00504548"/>
    <w:rsid w:val="0050737E"/>
    <w:rsid w:val="00510530"/>
    <w:rsid w:val="0051142D"/>
    <w:rsid w:val="00513DD4"/>
    <w:rsid w:val="00514F7D"/>
    <w:rsid w:val="005151A6"/>
    <w:rsid w:val="00515848"/>
    <w:rsid w:val="005200C8"/>
    <w:rsid w:val="00521340"/>
    <w:rsid w:val="005257D7"/>
    <w:rsid w:val="00526BF5"/>
    <w:rsid w:val="0053071E"/>
    <w:rsid w:val="00533C3F"/>
    <w:rsid w:val="00540175"/>
    <w:rsid w:val="00542132"/>
    <w:rsid w:val="00543BC0"/>
    <w:rsid w:val="00544B4B"/>
    <w:rsid w:val="0054580F"/>
    <w:rsid w:val="00552F46"/>
    <w:rsid w:val="005542A5"/>
    <w:rsid w:val="00554FF8"/>
    <w:rsid w:val="0055759B"/>
    <w:rsid w:val="0056384B"/>
    <w:rsid w:val="00573FEA"/>
    <w:rsid w:val="005742E7"/>
    <w:rsid w:val="00575FCC"/>
    <w:rsid w:val="00580117"/>
    <w:rsid w:val="00584D51"/>
    <w:rsid w:val="005867AB"/>
    <w:rsid w:val="00587597"/>
    <w:rsid w:val="005875B7"/>
    <w:rsid w:val="00593E06"/>
    <w:rsid w:val="00594594"/>
    <w:rsid w:val="005A04E1"/>
    <w:rsid w:val="005A0CCC"/>
    <w:rsid w:val="005A428D"/>
    <w:rsid w:val="005A627D"/>
    <w:rsid w:val="005B0AD1"/>
    <w:rsid w:val="005B0F10"/>
    <w:rsid w:val="005B2B45"/>
    <w:rsid w:val="005B376F"/>
    <w:rsid w:val="005B4DAE"/>
    <w:rsid w:val="005B641D"/>
    <w:rsid w:val="005B76FC"/>
    <w:rsid w:val="005B7F11"/>
    <w:rsid w:val="005C16D6"/>
    <w:rsid w:val="005C21EF"/>
    <w:rsid w:val="005C52AB"/>
    <w:rsid w:val="005C5DF6"/>
    <w:rsid w:val="005C6230"/>
    <w:rsid w:val="005D35F4"/>
    <w:rsid w:val="005D71D0"/>
    <w:rsid w:val="005E251F"/>
    <w:rsid w:val="005E5CAA"/>
    <w:rsid w:val="005E7920"/>
    <w:rsid w:val="005F092D"/>
    <w:rsid w:val="005F1B7B"/>
    <w:rsid w:val="005F3013"/>
    <w:rsid w:val="005F35DE"/>
    <w:rsid w:val="005F372F"/>
    <w:rsid w:val="0060035A"/>
    <w:rsid w:val="00600B48"/>
    <w:rsid w:val="006010DA"/>
    <w:rsid w:val="00601FDF"/>
    <w:rsid w:val="00604207"/>
    <w:rsid w:val="00611AFA"/>
    <w:rsid w:val="006165DD"/>
    <w:rsid w:val="00624201"/>
    <w:rsid w:val="00624EA3"/>
    <w:rsid w:val="0062721E"/>
    <w:rsid w:val="00631E45"/>
    <w:rsid w:val="006321E5"/>
    <w:rsid w:val="00636366"/>
    <w:rsid w:val="00637142"/>
    <w:rsid w:val="00640701"/>
    <w:rsid w:val="0064301D"/>
    <w:rsid w:val="00645D3F"/>
    <w:rsid w:val="0066627A"/>
    <w:rsid w:val="006703F2"/>
    <w:rsid w:val="0067082C"/>
    <w:rsid w:val="006717D3"/>
    <w:rsid w:val="00671CFC"/>
    <w:rsid w:val="0067446B"/>
    <w:rsid w:val="00674CF9"/>
    <w:rsid w:val="00675336"/>
    <w:rsid w:val="00676157"/>
    <w:rsid w:val="006777B8"/>
    <w:rsid w:val="00681B99"/>
    <w:rsid w:val="0068202F"/>
    <w:rsid w:val="00683377"/>
    <w:rsid w:val="00687365"/>
    <w:rsid w:val="00690C81"/>
    <w:rsid w:val="00691743"/>
    <w:rsid w:val="006927BB"/>
    <w:rsid w:val="00694BA2"/>
    <w:rsid w:val="00695B03"/>
    <w:rsid w:val="006970A1"/>
    <w:rsid w:val="006977D3"/>
    <w:rsid w:val="00697B01"/>
    <w:rsid w:val="006A12C0"/>
    <w:rsid w:val="006A3493"/>
    <w:rsid w:val="006A4016"/>
    <w:rsid w:val="006A4BA3"/>
    <w:rsid w:val="006A63E8"/>
    <w:rsid w:val="006A6D84"/>
    <w:rsid w:val="006B5C2E"/>
    <w:rsid w:val="006B7299"/>
    <w:rsid w:val="006C1C1C"/>
    <w:rsid w:val="006C5CA0"/>
    <w:rsid w:val="006C6004"/>
    <w:rsid w:val="006C6E8E"/>
    <w:rsid w:val="006C7568"/>
    <w:rsid w:val="006C78BC"/>
    <w:rsid w:val="006D3583"/>
    <w:rsid w:val="006D3DEE"/>
    <w:rsid w:val="006E37AE"/>
    <w:rsid w:val="006E37D2"/>
    <w:rsid w:val="006F0263"/>
    <w:rsid w:val="006F174E"/>
    <w:rsid w:val="006F2A11"/>
    <w:rsid w:val="006F6242"/>
    <w:rsid w:val="006F66A1"/>
    <w:rsid w:val="0070342D"/>
    <w:rsid w:val="0070426C"/>
    <w:rsid w:val="007055B3"/>
    <w:rsid w:val="00710413"/>
    <w:rsid w:val="00711863"/>
    <w:rsid w:val="00715548"/>
    <w:rsid w:val="007217F1"/>
    <w:rsid w:val="0072240A"/>
    <w:rsid w:val="00730176"/>
    <w:rsid w:val="007358CA"/>
    <w:rsid w:val="007374D2"/>
    <w:rsid w:val="00740E3B"/>
    <w:rsid w:val="00743D10"/>
    <w:rsid w:val="00745E5E"/>
    <w:rsid w:val="0075088E"/>
    <w:rsid w:val="00751DDE"/>
    <w:rsid w:val="00762CB5"/>
    <w:rsid w:val="00763C30"/>
    <w:rsid w:val="0076454F"/>
    <w:rsid w:val="00767150"/>
    <w:rsid w:val="00771F4D"/>
    <w:rsid w:val="00773107"/>
    <w:rsid w:val="007775C8"/>
    <w:rsid w:val="00781E3B"/>
    <w:rsid w:val="00782C87"/>
    <w:rsid w:val="00784FD9"/>
    <w:rsid w:val="007923D5"/>
    <w:rsid w:val="007A4E53"/>
    <w:rsid w:val="007A51B8"/>
    <w:rsid w:val="007A5298"/>
    <w:rsid w:val="007B0EAB"/>
    <w:rsid w:val="007B50F8"/>
    <w:rsid w:val="007C0D5C"/>
    <w:rsid w:val="007C632C"/>
    <w:rsid w:val="007C6F36"/>
    <w:rsid w:val="007C7435"/>
    <w:rsid w:val="007D0148"/>
    <w:rsid w:val="007D5AEB"/>
    <w:rsid w:val="007E581D"/>
    <w:rsid w:val="007E6181"/>
    <w:rsid w:val="007E6B10"/>
    <w:rsid w:val="007F021D"/>
    <w:rsid w:val="007F184E"/>
    <w:rsid w:val="007F3C1C"/>
    <w:rsid w:val="007F6A1C"/>
    <w:rsid w:val="008021D7"/>
    <w:rsid w:val="00803604"/>
    <w:rsid w:val="008047E5"/>
    <w:rsid w:val="00804E29"/>
    <w:rsid w:val="00806210"/>
    <w:rsid w:val="008114E1"/>
    <w:rsid w:val="00812BF1"/>
    <w:rsid w:val="008156C4"/>
    <w:rsid w:val="00821EC6"/>
    <w:rsid w:val="00826A96"/>
    <w:rsid w:val="00826CB7"/>
    <w:rsid w:val="00834540"/>
    <w:rsid w:val="008428BA"/>
    <w:rsid w:val="008458A2"/>
    <w:rsid w:val="008520AE"/>
    <w:rsid w:val="0085388D"/>
    <w:rsid w:val="008547EA"/>
    <w:rsid w:val="00864E6A"/>
    <w:rsid w:val="008654A9"/>
    <w:rsid w:val="008665B0"/>
    <w:rsid w:val="00866D7B"/>
    <w:rsid w:val="00870254"/>
    <w:rsid w:val="008709E0"/>
    <w:rsid w:val="00871CAC"/>
    <w:rsid w:val="00872019"/>
    <w:rsid w:val="00872DFA"/>
    <w:rsid w:val="0088013D"/>
    <w:rsid w:val="008811A6"/>
    <w:rsid w:val="008818DE"/>
    <w:rsid w:val="00897B08"/>
    <w:rsid w:val="008A213D"/>
    <w:rsid w:val="008A274C"/>
    <w:rsid w:val="008A423D"/>
    <w:rsid w:val="008A44BF"/>
    <w:rsid w:val="008A5E8E"/>
    <w:rsid w:val="008B1091"/>
    <w:rsid w:val="008B2640"/>
    <w:rsid w:val="008B5E15"/>
    <w:rsid w:val="008B7BCF"/>
    <w:rsid w:val="008C1BB4"/>
    <w:rsid w:val="008C37EB"/>
    <w:rsid w:val="008C4450"/>
    <w:rsid w:val="008C4525"/>
    <w:rsid w:val="008C4B4A"/>
    <w:rsid w:val="008D0653"/>
    <w:rsid w:val="008D646B"/>
    <w:rsid w:val="008D7B6E"/>
    <w:rsid w:val="008E67CB"/>
    <w:rsid w:val="008E76AF"/>
    <w:rsid w:val="008E7C5E"/>
    <w:rsid w:val="008F2CC4"/>
    <w:rsid w:val="008F3AA5"/>
    <w:rsid w:val="008F426A"/>
    <w:rsid w:val="008F5BC3"/>
    <w:rsid w:val="008F696C"/>
    <w:rsid w:val="008F6D3B"/>
    <w:rsid w:val="009019B8"/>
    <w:rsid w:val="00903F8C"/>
    <w:rsid w:val="00916FFF"/>
    <w:rsid w:val="00921C3C"/>
    <w:rsid w:val="00922DDA"/>
    <w:rsid w:val="00925E61"/>
    <w:rsid w:val="0093294A"/>
    <w:rsid w:val="0093589F"/>
    <w:rsid w:val="00936268"/>
    <w:rsid w:val="00937E47"/>
    <w:rsid w:val="00940003"/>
    <w:rsid w:val="009432DC"/>
    <w:rsid w:val="009448E9"/>
    <w:rsid w:val="00951639"/>
    <w:rsid w:val="0096691A"/>
    <w:rsid w:val="00974744"/>
    <w:rsid w:val="00976852"/>
    <w:rsid w:val="00980333"/>
    <w:rsid w:val="009817CE"/>
    <w:rsid w:val="00982459"/>
    <w:rsid w:val="00983909"/>
    <w:rsid w:val="0098543C"/>
    <w:rsid w:val="00986AE8"/>
    <w:rsid w:val="00987910"/>
    <w:rsid w:val="009913B6"/>
    <w:rsid w:val="00992596"/>
    <w:rsid w:val="0099462E"/>
    <w:rsid w:val="00996AF8"/>
    <w:rsid w:val="009979F2"/>
    <w:rsid w:val="009A1BD5"/>
    <w:rsid w:val="009A1C39"/>
    <w:rsid w:val="009B0AE8"/>
    <w:rsid w:val="009B7C12"/>
    <w:rsid w:val="009C2AF0"/>
    <w:rsid w:val="009C660B"/>
    <w:rsid w:val="009C74F2"/>
    <w:rsid w:val="009D3C6D"/>
    <w:rsid w:val="009E16CD"/>
    <w:rsid w:val="009F0F0E"/>
    <w:rsid w:val="009F0F86"/>
    <w:rsid w:val="009F0F9E"/>
    <w:rsid w:val="00A00DB6"/>
    <w:rsid w:val="00A045A4"/>
    <w:rsid w:val="00A04BB7"/>
    <w:rsid w:val="00A0551B"/>
    <w:rsid w:val="00A06528"/>
    <w:rsid w:val="00A07D7A"/>
    <w:rsid w:val="00A10E65"/>
    <w:rsid w:val="00A12078"/>
    <w:rsid w:val="00A14A80"/>
    <w:rsid w:val="00A17C08"/>
    <w:rsid w:val="00A210CF"/>
    <w:rsid w:val="00A2149F"/>
    <w:rsid w:val="00A23FD7"/>
    <w:rsid w:val="00A263FA"/>
    <w:rsid w:val="00A27966"/>
    <w:rsid w:val="00A27EDC"/>
    <w:rsid w:val="00A30503"/>
    <w:rsid w:val="00A318C4"/>
    <w:rsid w:val="00A31BCA"/>
    <w:rsid w:val="00A32224"/>
    <w:rsid w:val="00A3258E"/>
    <w:rsid w:val="00A33507"/>
    <w:rsid w:val="00A337D6"/>
    <w:rsid w:val="00A33D68"/>
    <w:rsid w:val="00A35251"/>
    <w:rsid w:val="00A413C8"/>
    <w:rsid w:val="00A4167E"/>
    <w:rsid w:val="00A41AF3"/>
    <w:rsid w:val="00A41B84"/>
    <w:rsid w:val="00A43DCC"/>
    <w:rsid w:val="00A47F77"/>
    <w:rsid w:val="00A51524"/>
    <w:rsid w:val="00A5249B"/>
    <w:rsid w:val="00A54934"/>
    <w:rsid w:val="00A54C51"/>
    <w:rsid w:val="00A56DC3"/>
    <w:rsid w:val="00A63A8E"/>
    <w:rsid w:val="00A64E34"/>
    <w:rsid w:val="00A676FA"/>
    <w:rsid w:val="00A7127D"/>
    <w:rsid w:val="00A74D2A"/>
    <w:rsid w:val="00A81C1E"/>
    <w:rsid w:val="00A839BE"/>
    <w:rsid w:val="00A85501"/>
    <w:rsid w:val="00A8753E"/>
    <w:rsid w:val="00A87D04"/>
    <w:rsid w:val="00A91A31"/>
    <w:rsid w:val="00A9332B"/>
    <w:rsid w:val="00A93CC9"/>
    <w:rsid w:val="00A93E45"/>
    <w:rsid w:val="00A94062"/>
    <w:rsid w:val="00A9407C"/>
    <w:rsid w:val="00A9414F"/>
    <w:rsid w:val="00A9708F"/>
    <w:rsid w:val="00A973CF"/>
    <w:rsid w:val="00A9777F"/>
    <w:rsid w:val="00AA0121"/>
    <w:rsid w:val="00AA2726"/>
    <w:rsid w:val="00AA3E37"/>
    <w:rsid w:val="00AA7B9D"/>
    <w:rsid w:val="00AB19B1"/>
    <w:rsid w:val="00AB1A23"/>
    <w:rsid w:val="00AC03AD"/>
    <w:rsid w:val="00AC0E8B"/>
    <w:rsid w:val="00AC12A2"/>
    <w:rsid w:val="00AC1CD2"/>
    <w:rsid w:val="00AC31FE"/>
    <w:rsid w:val="00AC5219"/>
    <w:rsid w:val="00AD01CD"/>
    <w:rsid w:val="00AD13AC"/>
    <w:rsid w:val="00AD68CA"/>
    <w:rsid w:val="00AE2CEA"/>
    <w:rsid w:val="00AE4145"/>
    <w:rsid w:val="00AE49C7"/>
    <w:rsid w:val="00AE525E"/>
    <w:rsid w:val="00AF2254"/>
    <w:rsid w:val="00AF2FDD"/>
    <w:rsid w:val="00AF7B6A"/>
    <w:rsid w:val="00B0300B"/>
    <w:rsid w:val="00B033FE"/>
    <w:rsid w:val="00B04033"/>
    <w:rsid w:val="00B06C0A"/>
    <w:rsid w:val="00B06DB1"/>
    <w:rsid w:val="00B1048B"/>
    <w:rsid w:val="00B115F5"/>
    <w:rsid w:val="00B141BD"/>
    <w:rsid w:val="00B16688"/>
    <w:rsid w:val="00B22886"/>
    <w:rsid w:val="00B22FD9"/>
    <w:rsid w:val="00B310A5"/>
    <w:rsid w:val="00B33361"/>
    <w:rsid w:val="00B33AC3"/>
    <w:rsid w:val="00B34B74"/>
    <w:rsid w:val="00B361F5"/>
    <w:rsid w:val="00B3753B"/>
    <w:rsid w:val="00B40F58"/>
    <w:rsid w:val="00B415C0"/>
    <w:rsid w:val="00B43EEE"/>
    <w:rsid w:val="00B5054A"/>
    <w:rsid w:val="00B5226A"/>
    <w:rsid w:val="00B525B1"/>
    <w:rsid w:val="00B53104"/>
    <w:rsid w:val="00B566C3"/>
    <w:rsid w:val="00B57DA1"/>
    <w:rsid w:val="00B60EB6"/>
    <w:rsid w:val="00B62FC6"/>
    <w:rsid w:val="00B64A0F"/>
    <w:rsid w:val="00B70E03"/>
    <w:rsid w:val="00B74F72"/>
    <w:rsid w:val="00B751BA"/>
    <w:rsid w:val="00B77E68"/>
    <w:rsid w:val="00B80E91"/>
    <w:rsid w:val="00B81120"/>
    <w:rsid w:val="00B82443"/>
    <w:rsid w:val="00B832BA"/>
    <w:rsid w:val="00B83507"/>
    <w:rsid w:val="00B8414F"/>
    <w:rsid w:val="00B85F34"/>
    <w:rsid w:val="00B865DB"/>
    <w:rsid w:val="00B957EE"/>
    <w:rsid w:val="00B95962"/>
    <w:rsid w:val="00B96F87"/>
    <w:rsid w:val="00BA3055"/>
    <w:rsid w:val="00BA3277"/>
    <w:rsid w:val="00BA3B89"/>
    <w:rsid w:val="00BA51A7"/>
    <w:rsid w:val="00BA601A"/>
    <w:rsid w:val="00BA6A4F"/>
    <w:rsid w:val="00BB27A9"/>
    <w:rsid w:val="00BB2F5F"/>
    <w:rsid w:val="00BB5F9E"/>
    <w:rsid w:val="00BC0180"/>
    <w:rsid w:val="00BC1AF7"/>
    <w:rsid w:val="00BC584C"/>
    <w:rsid w:val="00BC701C"/>
    <w:rsid w:val="00BD3607"/>
    <w:rsid w:val="00BD5479"/>
    <w:rsid w:val="00BD6C28"/>
    <w:rsid w:val="00BD7318"/>
    <w:rsid w:val="00BE05C6"/>
    <w:rsid w:val="00BE19F7"/>
    <w:rsid w:val="00BE2F7B"/>
    <w:rsid w:val="00BE3B0B"/>
    <w:rsid w:val="00BF70D9"/>
    <w:rsid w:val="00C00550"/>
    <w:rsid w:val="00C01D6B"/>
    <w:rsid w:val="00C02221"/>
    <w:rsid w:val="00C02C2C"/>
    <w:rsid w:val="00C03C5E"/>
    <w:rsid w:val="00C03C8C"/>
    <w:rsid w:val="00C0515B"/>
    <w:rsid w:val="00C1045A"/>
    <w:rsid w:val="00C12599"/>
    <w:rsid w:val="00C22295"/>
    <w:rsid w:val="00C230A5"/>
    <w:rsid w:val="00C323B6"/>
    <w:rsid w:val="00C32AF5"/>
    <w:rsid w:val="00C33CC3"/>
    <w:rsid w:val="00C43217"/>
    <w:rsid w:val="00C44949"/>
    <w:rsid w:val="00C471B0"/>
    <w:rsid w:val="00C4721D"/>
    <w:rsid w:val="00C47E4B"/>
    <w:rsid w:val="00C50FDA"/>
    <w:rsid w:val="00C510F3"/>
    <w:rsid w:val="00C5141E"/>
    <w:rsid w:val="00C61EBF"/>
    <w:rsid w:val="00C71291"/>
    <w:rsid w:val="00C73073"/>
    <w:rsid w:val="00C74E91"/>
    <w:rsid w:val="00C80AD8"/>
    <w:rsid w:val="00C81248"/>
    <w:rsid w:val="00C834F2"/>
    <w:rsid w:val="00C836D6"/>
    <w:rsid w:val="00C86507"/>
    <w:rsid w:val="00C9086A"/>
    <w:rsid w:val="00C90B74"/>
    <w:rsid w:val="00C91C22"/>
    <w:rsid w:val="00C936DF"/>
    <w:rsid w:val="00C95E28"/>
    <w:rsid w:val="00C96664"/>
    <w:rsid w:val="00C97A79"/>
    <w:rsid w:val="00CA13C1"/>
    <w:rsid w:val="00CA229D"/>
    <w:rsid w:val="00CB3CFD"/>
    <w:rsid w:val="00CB5762"/>
    <w:rsid w:val="00CB71A0"/>
    <w:rsid w:val="00CB7CE9"/>
    <w:rsid w:val="00CC0694"/>
    <w:rsid w:val="00CC1378"/>
    <w:rsid w:val="00CC15D4"/>
    <w:rsid w:val="00CC40F9"/>
    <w:rsid w:val="00CC4D8F"/>
    <w:rsid w:val="00CC52AA"/>
    <w:rsid w:val="00CC5787"/>
    <w:rsid w:val="00CC6A0C"/>
    <w:rsid w:val="00CC6FAF"/>
    <w:rsid w:val="00CC7692"/>
    <w:rsid w:val="00CD1002"/>
    <w:rsid w:val="00CD48D6"/>
    <w:rsid w:val="00CD5088"/>
    <w:rsid w:val="00CD6F40"/>
    <w:rsid w:val="00CD7E40"/>
    <w:rsid w:val="00CE02A9"/>
    <w:rsid w:val="00CE2179"/>
    <w:rsid w:val="00CE2FA4"/>
    <w:rsid w:val="00CF0412"/>
    <w:rsid w:val="00CF0506"/>
    <w:rsid w:val="00CF08B4"/>
    <w:rsid w:val="00CF09B5"/>
    <w:rsid w:val="00CF6AC6"/>
    <w:rsid w:val="00D00584"/>
    <w:rsid w:val="00D014E4"/>
    <w:rsid w:val="00D0171F"/>
    <w:rsid w:val="00D05ADC"/>
    <w:rsid w:val="00D05BBD"/>
    <w:rsid w:val="00D06960"/>
    <w:rsid w:val="00D07969"/>
    <w:rsid w:val="00D106C2"/>
    <w:rsid w:val="00D13439"/>
    <w:rsid w:val="00D135AC"/>
    <w:rsid w:val="00D160DC"/>
    <w:rsid w:val="00D1734B"/>
    <w:rsid w:val="00D20D26"/>
    <w:rsid w:val="00D23405"/>
    <w:rsid w:val="00D271D7"/>
    <w:rsid w:val="00D31A87"/>
    <w:rsid w:val="00D42C31"/>
    <w:rsid w:val="00D43CCB"/>
    <w:rsid w:val="00D476A0"/>
    <w:rsid w:val="00D51F56"/>
    <w:rsid w:val="00D5323C"/>
    <w:rsid w:val="00D53CF4"/>
    <w:rsid w:val="00D55DFA"/>
    <w:rsid w:val="00D57116"/>
    <w:rsid w:val="00D6074B"/>
    <w:rsid w:val="00D61F56"/>
    <w:rsid w:val="00D63DC9"/>
    <w:rsid w:val="00D65145"/>
    <w:rsid w:val="00D65405"/>
    <w:rsid w:val="00D701C2"/>
    <w:rsid w:val="00D7151F"/>
    <w:rsid w:val="00D759F1"/>
    <w:rsid w:val="00D766B2"/>
    <w:rsid w:val="00D76FD1"/>
    <w:rsid w:val="00D772C2"/>
    <w:rsid w:val="00D904BA"/>
    <w:rsid w:val="00D945E3"/>
    <w:rsid w:val="00D966C8"/>
    <w:rsid w:val="00D97BCC"/>
    <w:rsid w:val="00DA2DAC"/>
    <w:rsid w:val="00DA3154"/>
    <w:rsid w:val="00DA3B50"/>
    <w:rsid w:val="00DB098B"/>
    <w:rsid w:val="00DB25BF"/>
    <w:rsid w:val="00DB6937"/>
    <w:rsid w:val="00DB74AF"/>
    <w:rsid w:val="00DC1770"/>
    <w:rsid w:val="00DC2128"/>
    <w:rsid w:val="00DC4113"/>
    <w:rsid w:val="00DC5D39"/>
    <w:rsid w:val="00DD0075"/>
    <w:rsid w:val="00DD0D01"/>
    <w:rsid w:val="00DD1A71"/>
    <w:rsid w:val="00DD3A45"/>
    <w:rsid w:val="00DD3C57"/>
    <w:rsid w:val="00DD4F39"/>
    <w:rsid w:val="00DE54C8"/>
    <w:rsid w:val="00DE7AEA"/>
    <w:rsid w:val="00DF12BE"/>
    <w:rsid w:val="00DF1C02"/>
    <w:rsid w:val="00DF2D90"/>
    <w:rsid w:val="00DF42A5"/>
    <w:rsid w:val="00DF4563"/>
    <w:rsid w:val="00DF4CC2"/>
    <w:rsid w:val="00E00A4A"/>
    <w:rsid w:val="00E01E84"/>
    <w:rsid w:val="00E022C2"/>
    <w:rsid w:val="00E0290B"/>
    <w:rsid w:val="00E02EE9"/>
    <w:rsid w:val="00E04269"/>
    <w:rsid w:val="00E05861"/>
    <w:rsid w:val="00E06760"/>
    <w:rsid w:val="00E14653"/>
    <w:rsid w:val="00E15BC5"/>
    <w:rsid w:val="00E16B46"/>
    <w:rsid w:val="00E174A0"/>
    <w:rsid w:val="00E226F9"/>
    <w:rsid w:val="00E24569"/>
    <w:rsid w:val="00E2475C"/>
    <w:rsid w:val="00E25061"/>
    <w:rsid w:val="00E27C7A"/>
    <w:rsid w:val="00E32206"/>
    <w:rsid w:val="00E32ADB"/>
    <w:rsid w:val="00E36BEC"/>
    <w:rsid w:val="00E37DDE"/>
    <w:rsid w:val="00E431F7"/>
    <w:rsid w:val="00E4360C"/>
    <w:rsid w:val="00E45E65"/>
    <w:rsid w:val="00E560C4"/>
    <w:rsid w:val="00E60719"/>
    <w:rsid w:val="00E6482A"/>
    <w:rsid w:val="00E6670C"/>
    <w:rsid w:val="00E703D0"/>
    <w:rsid w:val="00E70506"/>
    <w:rsid w:val="00E77E06"/>
    <w:rsid w:val="00E82F8D"/>
    <w:rsid w:val="00E8400D"/>
    <w:rsid w:val="00E85685"/>
    <w:rsid w:val="00E924A8"/>
    <w:rsid w:val="00E95060"/>
    <w:rsid w:val="00EA11B3"/>
    <w:rsid w:val="00EA30A9"/>
    <w:rsid w:val="00EA412E"/>
    <w:rsid w:val="00EA71DF"/>
    <w:rsid w:val="00EB050C"/>
    <w:rsid w:val="00EB1540"/>
    <w:rsid w:val="00EB4980"/>
    <w:rsid w:val="00EB5DB1"/>
    <w:rsid w:val="00EC3202"/>
    <w:rsid w:val="00EC34E3"/>
    <w:rsid w:val="00EC48A2"/>
    <w:rsid w:val="00EC4DE2"/>
    <w:rsid w:val="00ED2F63"/>
    <w:rsid w:val="00ED3357"/>
    <w:rsid w:val="00ED687F"/>
    <w:rsid w:val="00ED7492"/>
    <w:rsid w:val="00ED762E"/>
    <w:rsid w:val="00EE0545"/>
    <w:rsid w:val="00EE1CDB"/>
    <w:rsid w:val="00EE3821"/>
    <w:rsid w:val="00EE3D0D"/>
    <w:rsid w:val="00EE523B"/>
    <w:rsid w:val="00EE6380"/>
    <w:rsid w:val="00EE6665"/>
    <w:rsid w:val="00EE6B5C"/>
    <w:rsid w:val="00EE6EF0"/>
    <w:rsid w:val="00EF3200"/>
    <w:rsid w:val="00EF3671"/>
    <w:rsid w:val="00EF4373"/>
    <w:rsid w:val="00EF567E"/>
    <w:rsid w:val="00EF7D3E"/>
    <w:rsid w:val="00F0015C"/>
    <w:rsid w:val="00F00187"/>
    <w:rsid w:val="00F04257"/>
    <w:rsid w:val="00F12CBB"/>
    <w:rsid w:val="00F1306C"/>
    <w:rsid w:val="00F173E5"/>
    <w:rsid w:val="00F20B69"/>
    <w:rsid w:val="00F217DE"/>
    <w:rsid w:val="00F23536"/>
    <w:rsid w:val="00F319C8"/>
    <w:rsid w:val="00F31F0A"/>
    <w:rsid w:val="00F32EBA"/>
    <w:rsid w:val="00F4041D"/>
    <w:rsid w:val="00F471E6"/>
    <w:rsid w:val="00F47291"/>
    <w:rsid w:val="00F50571"/>
    <w:rsid w:val="00F52B02"/>
    <w:rsid w:val="00F53DD6"/>
    <w:rsid w:val="00F5450B"/>
    <w:rsid w:val="00F55021"/>
    <w:rsid w:val="00F553B7"/>
    <w:rsid w:val="00F55813"/>
    <w:rsid w:val="00F56F7D"/>
    <w:rsid w:val="00F63880"/>
    <w:rsid w:val="00F64249"/>
    <w:rsid w:val="00F65AD7"/>
    <w:rsid w:val="00F72A61"/>
    <w:rsid w:val="00F77D3B"/>
    <w:rsid w:val="00F8273D"/>
    <w:rsid w:val="00F83198"/>
    <w:rsid w:val="00F844FF"/>
    <w:rsid w:val="00F86333"/>
    <w:rsid w:val="00F86E22"/>
    <w:rsid w:val="00F8735D"/>
    <w:rsid w:val="00F90604"/>
    <w:rsid w:val="00F9493D"/>
    <w:rsid w:val="00F960ED"/>
    <w:rsid w:val="00F972F9"/>
    <w:rsid w:val="00FA0620"/>
    <w:rsid w:val="00FA1D2D"/>
    <w:rsid w:val="00FA439D"/>
    <w:rsid w:val="00FB01BE"/>
    <w:rsid w:val="00FB2277"/>
    <w:rsid w:val="00FB3414"/>
    <w:rsid w:val="00FB4AEE"/>
    <w:rsid w:val="00FB559E"/>
    <w:rsid w:val="00FB5DCB"/>
    <w:rsid w:val="00FB7ECE"/>
    <w:rsid w:val="00FC0D8E"/>
    <w:rsid w:val="00FC126B"/>
    <w:rsid w:val="00FC18F2"/>
    <w:rsid w:val="00FC39C3"/>
    <w:rsid w:val="00FC43BB"/>
    <w:rsid w:val="00FC58D4"/>
    <w:rsid w:val="00FD0CCA"/>
    <w:rsid w:val="00FD193B"/>
    <w:rsid w:val="00FD537D"/>
    <w:rsid w:val="00FD5A1B"/>
    <w:rsid w:val="00FE1D6F"/>
    <w:rsid w:val="00FE303E"/>
    <w:rsid w:val="00FF27EF"/>
    <w:rsid w:val="00FF4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C5674"/>
  <w15:docId w15:val="{2B6F25DA-F67F-4248-B2CF-88DF3F0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zh-CN" w:bidi="km-KH"/>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81D"/>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9C2AF0"/>
    <w:pPr>
      <w:spacing w:before="480" w:after="120" w:line="240" w:lineRule="auto"/>
      <w:contextualSpacing/>
      <w:outlineLvl w:val="0"/>
    </w:pPr>
    <w:rPr>
      <w:caps/>
      <w:color w:val="244061"/>
      <w:sz w:val="36"/>
      <w:szCs w:val="36"/>
    </w:rPr>
  </w:style>
  <w:style w:type="paragraph" w:styleId="Heading2">
    <w:name w:val="heading 2"/>
    <w:basedOn w:val="Normal"/>
    <w:next w:val="Normal"/>
    <w:link w:val="Heading2Char"/>
    <w:uiPriority w:val="9"/>
    <w:unhideWhenUsed/>
    <w:qFormat/>
    <w:rsid w:val="003A72D6"/>
    <w:pPr>
      <w:spacing w:after="120" w:line="271" w:lineRule="auto"/>
      <w:outlineLvl w:val="1"/>
    </w:pPr>
    <w:rPr>
      <w:b/>
      <w:i/>
      <w:color w:val="E36C0A"/>
      <w:sz w:val="28"/>
      <w:szCs w:val="28"/>
    </w:rPr>
  </w:style>
  <w:style w:type="paragraph" w:styleId="Heading3">
    <w:name w:val="heading 3"/>
    <w:basedOn w:val="Normal"/>
    <w:next w:val="Normal"/>
    <w:link w:val="Heading3Char"/>
    <w:uiPriority w:val="9"/>
    <w:unhideWhenUsed/>
    <w:qFormat/>
    <w:rsid w:val="007E581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E581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E581D"/>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7E581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7E581D"/>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7E581D"/>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7E581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1AFA"/>
    <w:rPr>
      <w:color w:val="0000FF"/>
      <w:u w:val="single"/>
    </w:rPr>
  </w:style>
  <w:style w:type="paragraph" w:styleId="Title">
    <w:name w:val="Title"/>
    <w:basedOn w:val="Normal"/>
    <w:next w:val="Normal"/>
    <w:link w:val="TitleChar"/>
    <w:uiPriority w:val="10"/>
    <w:qFormat/>
    <w:rsid w:val="007E581D"/>
    <w:pPr>
      <w:spacing w:after="300" w:line="240" w:lineRule="auto"/>
      <w:contextualSpacing/>
    </w:pPr>
    <w:rPr>
      <w:smallCaps/>
      <w:sz w:val="52"/>
      <w:szCs w:val="52"/>
    </w:rPr>
  </w:style>
  <w:style w:type="paragraph" w:styleId="BlockText">
    <w:name w:val="Block Text"/>
    <w:basedOn w:val="Normal"/>
    <w:rsid w:val="00611AFA"/>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ight="-360"/>
    </w:pPr>
    <w:rPr>
      <w:rFonts w:ascii="Arial" w:hAnsi="Arial"/>
      <w:snapToGrid w:val="0"/>
      <w:sz w:val="20"/>
      <w:szCs w:val="20"/>
    </w:rPr>
  </w:style>
  <w:style w:type="paragraph" w:customStyle="1" w:styleId="subheading">
    <w:name w:val="subheading"/>
    <w:basedOn w:val="Normal"/>
    <w:rsid w:val="00611AFA"/>
    <w:pPr>
      <w:widowControl w:val="0"/>
    </w:pPr>
    <w:rPr>
      <w:rFonts w:ascii="Humanst521 Lt BT" w:hAnsi="Humanst521 Lt BT"/>
      <w:b/>
      <w:i/>
      <w:snapToGrid w:val="0"/>
      <w:szCs w:val="20"/>
    </w:rPr>
  </w:style>
  <w:style w:type="paragraph" w:styleId="BalloonText">
    <w:name w:val="Balloon Text"/>
    <w:basedOn w:val="Normal"/>
    <w:semiHidden/>
    <w:rsid w:val="00611AFA"/>
    <w:rPr>
      <w:rFonts w:ascii="Tahoma" w:hAnsi="Tahoma" w:cs="Tahoma"/>
      <w:sz w:val="16"/>
      <w:szCs w:val="16"/>
    </w:rPr>
  </w:style>
  <w:style w:type="paragraph" w:styleId="BodyText">
    <w:name w:val="Body Text"/>
    <w:basedOn w:val="Normal"/>
    <w:rsid w:val="00611AFA"/>
    <w:rPr>
      <w:sz w:val="26"/>
      <w:szCs w:val="20"/>
    </w:rPr>
  </w:style>
  <w:style w:type="paragraph" w:styleId="BodyTextIndent2">
    <w:name w:val="Body Text Indent 2"/>
    <w:basedOn w:val="Normal"/>
    <w:rsid w:val="00611AFA"/>
    <w:pPr>
      <w:spacing w:after="120" w:line="480" w:lineRule="auto"/>
      <w:ind w:left="360"/>
    </w:pPr>
  </w:style>
  <w:style w:type="paragraph" w:styleId="Footer">
    <w:name w:val="footer"/>
    <w:basedOn w:val="Normal"/>
    <w:link w:val="FooterChar"/>
    <w:rsid w:val="00611AFA"/>
    <w:pPr>
      <w:tabs>
        <w:tab w:val="center" w:pos="4320"/>
        <w:tab w:val="right" w:pos="8640"/>
      </w:tabs>
    </w:pPr>
    <w:rPr>
      <w:szCs w:val="20"/>
    </w:rPr>
  </w:style>
  <w:style w:type="paragraph" w:styleId="BodyText2">
    <w:name w:val="Body Text 2"/>
    <w:basedOn w:val="Normal"/>
    <w:rsid w:val="00611AFA"/>
    <w:pPr>
      <w:spacing w:after="120" w:line="480" w:lineRule="auto"/>
    </w:pPr>
  </w:style>
  <w:style w:type="paragraph" w:styleId="BodyTextIndent">
    <w:name w:val="Body Text Indent"/>
    <w:basedOn w:val="Normal"/>
    <w:rsid w:val="00611AFA"/>
    <w:pPr>
      <w:spacing w:after="120"/>
      <w:ind w:left="360"/>
    </w:pPr>
  </w:style>
  <w:style w:type="character" w:styleId="PageNumber">
    <w:name w:val="page number"/>
    <w:basedOn w:val="DefaultParagraphFont"/>
    <w:rsid w:val="00611AFA"/>
  </w:style>
  <w:style w:type="paragraph" w:styleId="NormalWeb">
    <w:name w:val="Normal (Web)"/>
    <w:basedOn w:val="Normal"/>
    <w:rsid w:val="00611AFA"/>
    <w:pPr>
      <w:spacing w:before="100" w:beforeAutospacing="1" w:after="100" w:afterAutospacing="1"/>
    </w:pPr>
    <w:rPr>
      <w:rFonts w:ascii="Georgia" w:hAnsi="Georgia"/>
      <w:sz w:val="20"/>
      <w:szCs w:val="20"/>
    </w:rPr>
  </w:style>
  <w:style w:type="character" w:customStyle="1" w:styleId="nav1">
    <w:name w:val="nav1"/>
    <w:basedOn w:val="DefaultParagraphFont"/>
    <w:rsid w:val="00611AFA"/>
    <w:rPr>
      <w:rFonts w:ascii="Verdana" w:hAnsi="Verdana" w:hint="default"/>
      <w:b w:val="0"/>
      <w:bCs w:val="0"/>
      <w:sz w:val="16"/>
      <w:szCs w:val="16"/>
    </w:rPr>
  </w:style>
  <w:style w:type="character" w:styleId="FollowedHyperlink">
    <w:name w:val="FollowedHyperlink"/>
    <w:basedOn w:val="DefaultParagraphFont"/>
    <w:rsid w:val="00611AFA"/>
    <w:rPr>
      <w:color w:val="800080"/>
      <w:u w:val="single"/>
    </w:rPr>
  </w:style>
  <w:style w:type="paragraph" w:styleId="TOC1">
    <w:name w:val="toc 1"/>
    <w:basedOn w:val="Normal"/>
    <w:next w:val="Normal"/>
    <w:autoRedefine/>
    <w:uiPriority w:val="39"/>
    <w:rsid w:val="00611AFA"/>
  </w:style>
  <w:style w:type="paragraph" w:styleId="TOC2">
    <w:name w:val="toc 2"/>
    <w:basedOn w:val="Normal"/>
    <w:next w:val="Normal"/>
    <w:autoRedefine/>
    <w:uiPriority w:val="39"/>
    <w:rsid w:val="0008764F"/>
    <w:pPr>
      <w:tabs>
        <w:tab w:val="right" w:leader="dot" w:pos="9350"/>
      </w:tabs>
      <w:ind w:left="540"/>
    </w:pPr>
  </w:style>
  <w:style w:type="paragraph" w:styleId="TOC3">
    <w:name w:val="toc 3"/>
    <w:basedOn w:val="Normal"/>
    <w:next w:val="Normal"/>
    <w:autoRedefine/>
    <w:semiHidden/>
    <w:rsid w:val="00611AFA"/>
    <w:pPr>
      <w:ind w:left="480"/>
    </w:pPr>
  </w:style>
  <w:style w:type="paragraph" w:styleId="TOC4">
    <w:name w:val="toc 4"/>
    <w:basedOn w:val="Normal"/>
    <w:next w:val="Normal"/>
    <w:autoRedefine/>
    <w:semiHidden/>
    <w:rsid w:val="00611AFA"/>
    <w:pPr>
      <w:ind w:left="720"/>
    </w:pPr>
  </w:style>
  <w:style w:type="paragraph" w:styleId="TOC5">
    <w:name w:val="toc 5"/>
    <w:basedOn w:val="Normal"/>
    <w:next w:val="Normal"/>
    <w:autoRedefine/>
    <w:semiHidden/>
    <w:rsid w:val="00611AFA"/>
    <w:pPr>
      <w:ind w:left="960"/>
    </w:pPr>
  </w:style>
  <w:style w:type="paragraph" w:styleId="TOC6">
    <w:name w:val="toc 6"/>
    <w:basedOn w:val="Normal"/>
    <w:next w:val="Normal"/>
    <w:autoRedefine/>
    <w:semiHidden/>
    <w:rsid w:val="00611AFA"/>
    <w:pPr>
      <w:ind w:left="1200"/>
    </w:pPr>
  </w:style>
  <w:style w:type="paragraph" w:styleId="TOC7">
    <w:name w:val="toc 7"/>
    <w:basedOn w:val="Normal"/>
    <w:next w:val="Normal"/>
    <w:autoRedefine/>
    <w:semiHidden/>
    <w:rsid w:val="00611AFA"/>
    <w:pPr>
      <w:ind w:left="1440"/>
    </w:pPr>
  </w:style>
  <w:style w:type="paragraph" w:styleId="TOC8">
    <w:name w:val="toc 8"/>
    <w:basedOn w:val="Normal"/>
    <w:next w:val="Normal"/>
    <w:autoRedefine/>
    <w:semiHidden/>
    <w:rsid w:val="00611AFA"/>
    <w:pPr>
      <w:ind w:left="1680"/>
    </w:pPr>
  </w:style>
  <w:style w:type="paragraph" w:styleId="TOC9">
    <w:name w:val="toc 9"/>
    <w:basedOn w:val="Normal"/>
    <w:next w:val="Normal"/>
    <w:autoRedefine/>
    <w:semiHidden/>
    <w:rsid w:val="00611AFA"/>
    <w:pPr>
      <w:ind w:left="1920"/>
    </w:pPr>
  </w:style>
  <w:style w:type="paragraph" w:styleId="Header">
    <w:name w:val="header"/>
    <w:basedOn w:val="Normal"/>
    <w:link w:val="HeaderChar"/>
    <w:uiPriority w:val="99"/>
    <w:rsid w:val="00611AFA"/>
    <w:pPr>
      <w:tabs>
        <w:tab w:val="center" w:pos="4320"/>
        <w:tab w:val="right" w:pos="8640"/>
      </w:tabs>
    </w:pPr>
  </w:style>
  <w:style w:type="paragraph" w:styleId="Subtitle">
    <w:name w:val="Subtitle"/>
    <w:basedOn w:val="Normal"/>
    <w:next w:val="Normal"/>
    <w:link w:val="SubtitleChar"/>
    <w:uiPriority w:val="11"/>
    <w:qFormat/>
    <w:rsid w:val="007E581D"/>
    <w:rPr>
      <w:i/>
      <w:iCs/>
      <w:smallCaps/>
      <w:spacing w:val="10"/>
      <w:sz w:val="28"/>
      <w:szCs w:val="28"/>
    </w:rPr>
  </w:style>
  <w:style w:type="character" w:customStyle="1" w:styleId="lg1">
    <w:name w:val="lg1"/>
    <w:basedOn w:val="DefaultParagraphFont"/>
    <w:rsid w:val="0030666A"/>
    <w:rPr>
      <w:rFonts w:ascii="Verdana" w:hAnsi="Verdana" w:hint="default"/>
      <w:b/>
      <w:bCs/>
      <w:sz w:val="18"/>
      <w:szCs w:val="18"/>
    </w:rPr>
  </w:style>
  <w:style w:type="paragraph" w:styleId="DocumentMap">
    <w:name w:val="Document Map"/>
    <w:basedOn w:val="Normal"/>
    <w:semiHidden/>
    <w:rsid w:val="00986AE8"/>
    <w:pPr>
      <w:shd w:val="clear" w:color="auto" w:fill="000080"/>
    </w:pPr>
    <w:rPr>
      <w:rFonts w:ascii="Tahoma" w:hAnsi="Tahoma" w:cs="Tahoma"/>
      <w:sz w:val="20"/>
      <w:szCs w:val="20"/>
    </w:rPr>
  </w:style>
  <w:style w:type="table" w:styleId="TableGrid">
    <w:name w:val="Table Grid"/>
    <w:basedOn w:val="TableNormal"/>
    <w:rsid w:val="0098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45E5E"/>
    <w:pPr>
      <w:spacing w:after="120"/>
    </w:pPr>
    <w:rPr>
      <w:sz w:val="16"/>
      <w:szCs w:val="16"/>
    </w:rPr>
  </w:style>
  <w:style w:type="character" w:customStyle="1" w:styleId="EmailStyle441">
    <w:name w:val="EmailStyle441"/>
    <w:basedOn w:val="DefaultParagraphFont"/>
    <w:semiHidden/>
    <w:rsid w:val="005A0CCC"/>
    <w:rPr>
      <w:rFonts w:ascii="Times New Roman" w:hAnsi="Times New Roman" w:cs="Times New Roman" w:hint="default"/>
    </w:rPr>
  </w:style>
  <w:style w:type="character" w:styleId="CommentReference">
    <w:name w:val="annotation reference"/>
    <w:basedOn w:val="DefaultParagraphFont"/>
    <w:semiHidden/>
    <w:rsid w:val="00D55DFA"/>
    <w:rPr>
      <w:sz w:val="16"/>
      <w:szCs w:val="16"/>
    </w:rPr>
  </w:style>
  <w:style w:type="paragraph" w:styleId="CommentText">
    <w:name w:val="annotation text"/>
    <w:basedOn w:val="Normal"/>
    <w:semiHidden/>
    <w:rsid w:val="00D55DFA"/>
    <w:rPr>
      <w:sz w:val="20"/>
      <w:szCs w:val="20"/>
    </w:rPr>
  </w:style>
  <w:style w:type="paragraph" w:styleId="CommentSubject">
    <w:name w:val="annotation subject"/>
    <w:basedOn w:val="CommentText"/>
    <w:next w:val="CommentText"/>
    <w:semiHidden/>
    <w:rsid w:val="00D55DFA"/>
    <w:rPr>
      <w:b/>
      <w:bCs/>
    </w:rPr>
  </w:style>
  <w:style w:type="character" w:customStyle="1" w:styleId="FooterChar">
    <w:name w:val="Footer Char"/>
    <w:basedOn w:val="DefaultParagraphFont"/>
    <w:link w:val="Footer"/>
    <w:rsid w:val="00EB4980"/>
    <w:rPr>
      <w:sz w:val="24"/>
    </w:rPr>
  </w:style>
  <w:style w:type="character" w:customStyle="1" w:styleId="Heading1Char">
    <w:name w:val="Heading 1 Char"/>
    <w:basedOn w:val="DefaultParagraphFont"/>
    <w:link w:val="Heading1"/>
    <w:uiPriority w:val="9"/>
    <w:rsid w:val="009C2AF0"/>
    <w:rPr>
      <w:caps/>
      <w:color w:val="244061"/>
      <w:sz w:val="36"/>
      <w:szCs w:val="36"/>
      <w:lang w:bidi="en-US"/>
    </w:rPr>
  </w:style>
  <w:style w:type="character" w:customStyle="1" w:styleId="Heading2Char">
    <w:name w:val="Heading 2 Char"/>
    <w:basedOn w:val="DefaultParagraphFont"/>
    <w:link w:val="Heading2"/>
    <w:uiPriority w:val="9"/>
    <w:rsid w:val="003A72D6"/>
    <w:rPr>
      <w:b/>
      <w:i/>
      <w:color w:val="E36C0A"/>
      <w:sz w:val="28"/>
      <w:szCs w:val="28"/>
      <w:lang w:bidi="en-US"/>
    </w:rPr>
  </w:style>
  <w:style w:type="character" w:customStyle="1" w:styleId="Heading3Char">
    <w:name w:val="Heading 3 Char"/>
    <w:basedOn w:val="DefaultParagraphFont"/>
    <w:link w:val="Heading3"/>
    <w:uiPriority w:val="9"/>
    <w:rsid w:val="007E581D"/>
    <w:rPr>
      <w:i/>
      <w:iCs/>
      <w:smallCaps/>
      <w:spacing w:val="5"/>
      <w:sz w:val="26"/>
      <w:szCs w:val="26"/>
    </w:rPr>
  </w:style>
  <w:style w:type="character" w:customStyle="1" w:styleId="Heading4Char">
    <w:name w:val="Heading 4 Char"/>
    <w:basedOn w:val="DefaultParagraphFont"/>
    <w:link w:val="Heading4"/>
    <w:uiPriority w:val="9"/>
    <w:semiHidden/>
    <w:rsid w:val="007E581D"/>
    <w:rPr>
      <w:b/>
      <w:bCs/>
      <w:spacing w:val="5"/>
      <w:sz w:val="24"/>
      <w:szCs w:val="24"/>
    </w:rPr>
  </w:style>
  <w:style w:type="character" w:customStyle="1" w:styleId="Heading5Char">
    <w:name w:val="Heading 5 Char"/>
    <w:basedOn w:val="DefaultParagraphFont"/>
    <w:link w:val="Heading5"/>
    <w:uiPriority w:val="9"/>
    <w:rsid w:val="007E581D"/>
    <w:rPr>
      <w:i/>
      <w:iCs/>
      <w:sz w:val="24"/>
      <w:szCs w:val="24"/>
    </w:rPr>
  </w:style>
  <w:style w:type="character" w:customStyle="1" w:styleId="Heading6Char">
    <w:name w:val="Heading 6 Char"/>
    <w:basedOn w:val="DefaultParagraphFont"/>
    <w:link w:val="Heading6"/>
    <w:uiPriority w:val="9"/>
    <w:rsid w:val="007E581D"/>
    <w:rPr>
      <w:b/>
      <w:bCs/>
      <w:color w:val="595959"/>
      <w:spacing w:val="5"/>
      <w:shd w:val="clear" w:color="auto" w:fill="FFFFFF"/>
    </w:rPr>
  </w:style>
  <w:style w:type="character" w:customStyle="1" w:styleId="Heading7Char">
    <w:name w:val="Heading 7 Char"/>
    <w:basedOn w:val="DefaultParagraphFont"/>
    <w:link w:val="Heading7"/>
    <w:uiPriority w:val="9"/>
    <w:semiHidden/>
    <w:rsid w:val="007E581D"/>
    <w:rPr>
      <w:b/>
      <w:bCs/>
      <w:i/>
      <w:iCs/>
      <w:color w:val="5A5A5A"/>
      <w:sz w:val="20"/>
      <w:szCs w:val="20"/>
    </w:rPr>
  </w:style>
  <w:style w:type="character" w:customStyle="1" w:styleId="Heading8Char">
    <w:name w:val="Heading 8 Char"/>
    <w:basedOn w:val="DefaultParagraphFont"/>
    <w:link w:val="Heading8"/>
    <w:uiPriority w:val="9"/>
    <w:semiHidden/>
    <w:rsid w:val="007E581D"/>
    <w:rPr>
      <w:b/>
      <w:bCs/>
      <w:color w:val="7F7F7F"/>
      <w:sz w:val="20"/>
      <w:szCs w:val="20"/>
    </w:rPr>
  </w:style>
  <w:style w:type="character" w:customStyle="1" w:styleId="Heading9Char">
    <w:name w:val="Heading 9 Char"/>
    <w:basedOn w:val="DefaultParagraphFont"/>
    <w:link w:val="Heading9"/>
    <w:uiPriority w:val="9"/>
    <w:semiHidden/>
    <w:rsid w:val="007E581D"/>
    <w:rPr>
      <w:b/>
      <w:bCs/>
      <w:i/>
      <w:iCs/>
      <w:color w:val="7F7F7F"/>
      <w:sz w:val="18"/>
      <w:szCs w:val="18"/>
    </w:rPr>
  </w:style>
  <w:style w:type="character" w:customStyle="1" w:styleId="TitleChar">
    <w:name w:val="Title Char"/>
    <w:basedOn w:val="DefaultParagraphFont"/>
    <w:link w:val="Title"/>
    <w:uiPriority w:val="10"/>
    <w:rsid w:val="007E581D"/>
    <w:rPr>
      <w:smallCaps/>
      <w:sz w:val="52"/>
      <w:szCs w:val="52"/>
    </w:rPr>
  </w:style>
  <w:style w:type="character" w:customStyle="1" w:styleId="SubtitleChar">
    <w:name w:val="Subtitle Char"/>
    <w:basedOn w:val="DefaultParagraphFont"/>
    <w:link w:val="Subtitle"/>
    <w:uiPriority w:val="11"/>
    <w:rsid w:val="007E581D"/>
    <w:rPr>
      <w:i/>
      <w:iCs/>
      <w:smallCaps/>
      <w:spacing w:val="10"/>
      <w:sz w:val="28"/>
      <w:szCs w:val="28"/>
    </w:rPr>
  </w:style>
  <w:style w:type="character" w:styleId="Strong">
    <w:name w:val="Strong"/>
    <w:uiPriority w:val="22"/>
    <w:qFormat/>
    <w:rsid w:val="007E581D"/>
    <w:rPr>
      <w:b/>
      <w:bCs/>
    </w:rPr>
  </w:style>
  <w:style w:type="character" w:styleId="Emphasis">
    <w:name w:val="Emphasis"/>
    <w:uiPriority w:val="20"/>
    <w:qFormat/>
    <w:rsid w:val="007E581D"/>
    <w:rPr>
      <w:b/>
      <w:bCs/>
      <w:i/>
      <w:iCs/>
      <w:spacing w:val="10"/>
    </w:rPr>
  </w:style>
  <w:style w:type="paragraph" w:styleId="NoSpacing">
    <w:name w:val="No Spacing"/>
    <w:basedOn w:val="Normal"/>
    <w:uiPriority w:val="1"/>
    <w:qFormat/>
    <w:rsid w:val="007E581D"/>
    <w:pPr>
      <w:spacing w:after="0" w:line="240" w:lineRule="auto"/>
    </w:pPr>
  </w:style>
  <w:style w:type="paragraph" w:styleId="ListParagraph">
    <w:name w:val="List Paragraph"/>
    <w:basedOn w:val="Normal"/>
    <w:uiPriority w:val="34"/>
    <w:qFormat/>
    <w:rsid w:val="007E581D"/>
    <w:pPr>
      <w:ind w:left="720"/>
      <w:contextualSpacing/>
    </w:pPr>
  </w:style>
  <w:style w:type="paragraph" w:styleId="Quote">
    <w:name w:val="Quote"/>
    <w:basedOn w:val="Normal"/>
    <w:next w:val="Normal"/>
    <w:link w:val="QuoteChar"/>
    <w:uiPriority w:val="29"/>
    <w:qFormat/>
    <w:rsid w:val="007E581D"/>
    <w:rPr>
      <w:i/>
      <w:iCs/>
    </w:rPr>
  </w:style>
  <w:style w:type="character" w:customStyle="1" w:styleId="QuoteChar">
    <w:name w:val="Quote Char"/>
    <w:basedOn w:val="DefaultParagraphFont"/>
    <w:link w:val="Quote"/>
    <w:uiPriority w:val="29"/>
    <w:rsid w:val="007E581D"/>
    <w:rPr>
      <w:i/>
      <w:iCs/>
    </w:rPr>
  </w:style>
  <w:style w:type="paragraph" w:styleId="IntenseQuote">
    <w:name w:val="Intense Quote"/>
    <w:basedOn w:val="Normal"/>
    <w:next w:val="Normal"/>
    <w:link w:val="IntenseQuoteChar"/>
    <w:uiPriority w:val="30"/>
    <w:qFormat/>
    <w:rsid w:val="007E581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E581D"/>
    <w:rPr>
      <w:i/>
      <w:iCs/>
    </w:rPr>
  </w:style>
  <w:style w:type="character" w:styleId="SubtleEmphasis">
    <w:name w:val="Subtle Emphasis"/>
    <w:uiPriority w:val="19"/>
    <w:qFormat/>
    <w:rsid w:val="007E581D"/>
    <w:rPr>
      <w:i/>
      <w:iCs/>
    </w:rPr>
  </w:style>
  <w:style w:type="character" w:styleId="IntenseEmphasis">
    <w:name w:val="Intense Emphasis"/>
    <w:uiPriority w:val="21"/>
    <w:qFormat/>
    <w:rsid w:val="007E581D"/>
    <w:rPr>
      <w:b/>
      <w:bCs/>
      <w:i/>
      <w:iCs/>
    </w:rPr>
  </w:style>
  <w:style w:type="character" w:styleId="SubtleReference">
    <w:name w:val="Subtle Reference"/>
    <w:basedOn w:val="DefaultParagraphFont"/>
    <w:uiPriority w:val="31"/>
    <w:qFormat/>
    <w:rsid w:val="007E581D"/>
    <w:rPr>
      <w:smallCaps/>
    </w:rPr>
  </w:style>
  <w:style w:type="character" w:styleId="IntenseReference">
    <w:name w:val="Intense Reference"/>
    <w:uiPriority w:val="32"/>
    <w:qFormat/>
    <w:rsid w:val="007E581D"/>
    <w:rPr>
      <w:b/>
      <w:bCs/>
      <w:smallCaps/>
    </w:rPr>
  </w:style>
  <w:style w:type="character" w:styleId="BookTitle">
    <w:name w:val="Book Title"/>
    <w:basedOn w:val="DefaultParagraphFont"/>
    <w:uiPriority w:val="33"/>
    <w:qFormat/>
    <w:rsid w:val="007E581D"/>
    <w:rPr>
      <w:i/>
      <w:iCs/>
      <w:smallCaps/>
      <w:spacing w:val="5"/>
    </w:rPr>
  </w:style>
  <w:style w:type="paragraph" w:styleId="TOCHeading">
    <w:name w:val="TOC Heading"/>
    <w:basedOn w:val="Heading1"/>
    <w:next w:val="Normal"/>
    <w:uiPriority w:val="39"/>
    <w:semiHidden/>
    <w:unhideWhenUsed/>
    <w:qFormat/>
    <w:rsid w:val="007E581D"/>
    <w:pPr>
      <w:outlineLvl w:val="9"/>
    </w:pPr>
  </w:style>
  <w:style w:type="character" w:customStyle="1" w:styleId="HeaderChar">
    <w:name w:val="Header Char"/>
    <w:basedOn w:val="DefaultParagraphFont"/>
    <w:link w:val="Header"/>
    <w:uiPriority w:val="99"/>
    <w:rsid w:val="007E581D"/>
  </w:style>
  <w:style w:type="paragraph" w:styleId="Revision">
    <w:name w:val="Revision"/>
    <w:hidden/>
    <w:uiPriority w:val="99"/>
    <w:semiHidden/>
    <w:rsid w:val="00442836"/>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684">
      <w:bodyDiv w:val="1"/>
      <w:marLeft w:val="0"/>
      <w:marRight w:val="0"/>
      <w:marTop w:val="0"/>
      <w:marBottom w:val="0"/>
      <w:divBdr>
        <w:top w:val="none" w:sz="0" w:space="0" w:color="auto"/>
        <w:left w:val="none" w:sz="0" w:space="0" w:color="auto"/>
        <w:bottom w:val="none" w:sz="0" w:space="0" w:color="auto"/>
        <w:right w:val="none" w:sz="0" w:space="0" w:color="auto"/>
      </w:divBdr>
    </w:div>
    <w:div w:id="47458132">
      <w:bodyDiv w:val="1"/>
      <w:marLeft w:val="0"/>
      <w:marRight w:val="0"/>
      <w:marTop w:val="0"/>
      <w:marBottom w:val="0"/>
      <w:divBdr>
        <w:top w:val="none" w:sz="0" w:space="0" w:color="auto"/>
        <w:left w:val="none" w:sz="0" w:space="0" w:color="auto"/>
        <w:bottom w:val="none" w:sz="0" w:space="0" w:color="auto"/>
        <w:right w:val="none" w:sz="0" w:space="0" w:color="auto"/>
      </w:divBdr>
    </w:div>
    <w:div w:id="96022108">
      <w:bodyDiv w:val="1"/>
      <w:marLeft w:val="0"/>
      <w:marRight w:val="0"/>
      <w:marTop w:val="0"/>
      <w:marBottom w:val="0"/>
      <w:divBdr>
        <w:top w:val="none" w:sz="0" w:space="0" w:color="auto"/>
        <w:left w:val="none" w:sz="0" w:space="0" w:color="auto"/>
        <w:bottom w:val="none" w:sz="0" w:space="0" w:color="auto"/>
        <w:right w:val="none" w:sz="0" w:space="0" w:color="auto"/>
      </w:divBdr>
    </w:div>
    <w:div w:id="104037276">
      <w:bodyDiv w:val="1"/>
      <w:marLeft w:val="0"/>
      <w:marRight w:val="0"/>
      <w:marTop w:val="0"/>
      <w:marBottom w:val="0"/>
      <w:divBdr>
        <w:top w:val="none" w:sz="0" w:space="0" w:color="auto"/>
        <w:left w:val="none" w:sz="0" w:space="0" w:color="auto"/>
        <w:bottom w:val="none" w:sz="0" w:space="0" w:color="auto"/>
        <w:right w:val="none" w:sz="0" w:space="0" w:color="auto"/>
      </w:divBdr>
      <w:divsChild>
        <w:div w:id="2116709811">
          <w:marLeft w:val="0"/>
          <w:marRight w:val="0"/>
          <w:marTop w:val="0"/>
          <w:marBottom w:val="0"/>
          <w:divBdr>
            <w:top w:val="none" w:sz="0" w:space="0" w:color="auto"/>
            <w:left w:val="none" w:sz="0" w:space="0" w:color="auto"/>
            <w:bottom w:val="none" w:sz="0" w:space="0" w:color="auto"/>
            <w:right w:val="none" w:sz="0" w:space="0" w:color="auto"/>
          </w:divBdr>
          <w:divsChild>
            <w:div w:id="1751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7314">
      <w:bodyDiv w:val="1"/>
      <w:marLeft w:val="0"/>
      <w:marRight w:val="0"/>
      <w:marTop w:val="0"/>
      <w:marBottom w:val="0"/>
      <w:divBdr>
        <w:top w:val="none" w:sz="0" w:space="0" w:color="auto"/>
        <w:left w:val="none" w:sz="0" w:space="0" w:color="auto"/>
        <w:bottom w:val="none" w:sz="0" w:space="0" w:color="auto"/>
        <w:right w:val="none" w:sz="0" w:space="0" w:color="auto"/>
      </w:divBdr>
    </w:div>
    <w:div w:id="1350064747">
      <w:bodyDiv w:val="1"/>
      <w:marLeft w:val="0"/>
      <w:marRight w:val="0"/>
      <w:marTop w:val="0"/>
      <w:marBottom w:val="0"/>
      <w:divBdr>
        <w:top w:val="none" w:sz="0" w:space="0" w:color="auto"/>
        <w:left w:val="none" w:sz="0" w:space="0" w:color="auto"/>
        <w:bottom w:val="none" w:sz="0" w:space="0" w:color="auto"/>
        <w:right w:val="none" w:sz="0" w:space="0" w:color="auto"/>
      </w:divBdr>
      <w:divsChild>
        <w:div w:id="98257373">
          <w:marLeft w:val="0"/>
          <w:marRight w:val="0"/>
          <w:marTop w:val="0"/>
          <w:marBottom w:val="0"/>
          <w:divBdr>
            <w:top w:val="none" w:sz="0" w:space="0" w:color="auto"/>
            <w:left w:val="none" w:sz="0" w:space="0" w:color="auto"/>
            <w:bottom w:val="none" w:sz="0" w:space="0" w:color="auto"/>
            <w:right w:val="none" w:sz="0" w:space="0" w:color="auto"/>
          </w:divBdr>
        </w:div>
        <w:div w:id="796026451">
          <w:marLeft w:val="0"/>
          <w:marRight w:val="0"/>
          <w:marTop w:val="0"/>
          <w:marBottom w:val="0"/>
          <w:divBdr>
            <w:top w:val="none" w:sz="0" w:space="0" w:color="auto"/>
            <w:left w:val="none" w:sz="0" w:space="0" w:color="auto"/>
            <w:bottom w:val="none" w:sz="0" w:space="0" w:color="auto"/>
            <w:right w:val="none" w:sz="0" w:space="0" w:color="auto"/>
          </w:divBdr>
        </w:div>
        <w:div w:id="926382499">
          <w:marLeft w:val="0"/>
          <w:marRight w:val="0"/>
          <w:marTop w:val="0"/>
          <w:marBottom w:val="0"/>
          <w:divBdr>
            <w:top w:val="none" w:sz="0" w:space="0" w:color="auto"/>
            <w:left w:val="none" w:sz="0" w:space="0" w:color="auto"/>
            <w:bottom w:val="none" w:sz="0" w:space="0" w:color="auto"/>
            <w:right w:val="none" w:sz="0" w:space="0" w:color="auto"/>
          </w:divBdr>
        </w:div>
      </w:divsChild>
    </w:div>
    <w:div w:id="1657341796">
      <w:bodyDiv w:val="1"/>
      <w:marLeft w:val="0"/>
      <w:marRight w:val="0"/>
      <w:marTop w:val="0"/>
      <w:marBottom w:val="0"/>
      <w:divBdr>
        <w:top w:val="none" w:sz="0" w:space="0" w:color="auto"/>
        <w:left w:val="none" w:sz="0" w:space="0" w:color="auto"/>
        <w:bottom w:val="none" w:sz="0" w:space="0" w:color="auto"/>
        <w:right w:val="none" w:sz="0" w:space="0" w:color="auto"/>
      </w:divBdr>
    </w:div>
    <w:div w:id="1893422277">
      <w:bodyDiv w:val="1"/>
      <w:marLeft w:val="0"/>
      <w:marRight w:val="0"/>
      <w:marTop w:val="0"/>
      <w:marBottom w:val="0"/>
      <w:divBdr>
        <w:top w:val="none" w:sz="0" w:space="0" w:color="auto"/>
        <w:left w:val="none" w:sz="0" w:space="0" w:color="auto"/>
        <w:bottom w:val="none" w:sz="0" w:space="0" w:color="auto"/>
        <w:right w:val="none" w:sz="0" w:space="0" w:color="auto"/>
      </w:divBdr>
    </w:div>
    <w:div w:id="19531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DESE-231-45921</_dlc_DocId>
    <_dlc_DocIdUrl xmlns="733efe1c-5bbe-4968-87dc-d400e65c879f">
      <Url>https://sharepoint.doemass.org/ese/webteam/cps/_layouts/DocIdRedir.aspx?ID=DESE-231-45921</Url>
      <Description>DESE-231-45921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C316BD-1ACF-45B3-8AFA-F78FE0634F02}">
  <ds:schemaRefs>
    <ds:schemaRef ds:uri="http://schemas.microsoft.com/sharepoint/v3/contenttype/forms"/>
  </ds:schemaRefs>
</ds:datastoreItem>
</file>

<file path=customXml/itemProps2.xml><?xml version="1.0" encoding="utf-8"?>
<ds:datastoreItem xmlns:ds="http://schemas.openxmlformats.org/officeDocument/2006/customXml" ds:itemID="{7AD7CB37-F813-44E3-A2DD-64C87268A790}">
  <ds:schemaRefs>
    <ds:schemaRef ds:uri="http://schemas.openxmlformats.org/officeDocument/2006/bibliography"/>
  </ds:schemaRefs>
</ds:datastoreItem>
</file>

<file path=customXml/itemProps3.xml><?xml version="1.0" encoding="utf-8"?>
<ds:datastoreItem xmlns:ds="http://schemas.openxmlformats.org/officeDocument/2006/customXml" ds:itemID="{34F4F41E-6F9E-45D1-9976-4D4471BA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D241F-A1F4-46A4-A954-07039DC7C6DD}">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7C31EC5-9255-48BD-AE6A-DAAC00DF28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Secondary Definitions</vt:lpstr>
    </vt:vector>
  </TitlesOfParts>
  <Company/>
  <LinksUpToDate>false</LinksUpToDate>
  <CharactersWithSpaces>9799</CharactersWithSpaces>
  <SharedDoc>false</SharedDoc>
  <HLinks>
    <vt:vector size="144" baseType="variant">
      <vt:variant>
        <vt:i4>4521997</vt:i4>
      </vt:variant>
      <vt:variant>
        <vt:i4>105</vt:i4>
      </vt:variant>
      <vt:variant>
        <vt:i4>0</vt:i4>
      </vt:variant>
      <vt:variant>
        <vt:i4>5</vt:i4>
      </vt:variant>
      <vt:variant>
        <vt:lpwstr>http://www.doe.mass.edu/cte/perkins/</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7733280</vt:i4>
      </vt:variant>
      <vt:variant>
        <vt:i4>99</vt:i4>
      </vt:variant>
      <vt:variant>
        <vt:i4>0</vt:i4>
      </vt:variant>
      <vt:variant>
        <vt:i4>5</vt:i4>
      </vt:variant>
      <vt:variant>
        <vt:lpwstr>http://www.doe.mass.edu/infoservices/data/sims/</vt:lpwstr>
      </vt:variant>
      <vt:variant>
        <vt:lpwstr/>
      </vt:variant>
      <vt:variant>
        <vt:i4>655365</vt:i4>
      </vt:variant>
      <vt:variant>
        <vt:i4>96</vt:i4>
      </vt:variant>
      <vt:variant>
        <vt:i4>0</vt:i4>
      </vt:variant>
      <vt:variant>
        <vt:i4>5</vt:i4>
      </vt:variant>
      <vt:variant>
        <vt:lpwstr>http://www.doe.mass.edu/cte/data/</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4521997</vt:i4>
      </vt:variant>
      <vt:variant>
        <vt:i4>90</vt:i4>
      </vt:variant>
      <vt:variant>
        <vt:i4>0</vt:i4>
      </vt:variant>
      <vt:variant>
        <vt:i4>5</vt:i4>
      </vt:variant>
      <vt:variant>
        <vt:lpwstr>http://www.doe.mass.edu/cte/perkins/</vt:lpwstr>
      </vt:variant>
      <vt:variant>
        <vt:lpwstr/>
      </vt:variant>
      <vt:variant>
        <vt:i4>4521997</vt:i4>
      </vt:variant>
      <vt:variant>
        <vt:i4>87</vt:i4>
      </vt:variant>
      <vt:variant>
        <vt:i4>0</vt:i4>
      </vt:variant>
      <vt:variant>
        <vt:i4>5</vt:i4>
      </vt:variant>
      <vt:variant>
        <vt:lpwstr>http://www.doe.mass.edu/cte/perkins/</vt:lpwstr>
      </vt:variant>
      <vt:variant>
        <vt:lpwstr/>
      </vt:variant>
      <vt:variant>
        <vt:i4>4521997</vt:i4>
      </vt:variant>
      <vt:variant>
        <vt:i4>84</vt:i4>
      </vt:variant>
      <vt:variant>
        <vt:i4>0</vt:i4>
      </vt:variant>
      <vt:variant>
        <vt:i4>5</vt:i4>
      </vt:variant>
      <vt:variant>
        <vt:lpwstr>http://www.doe.mass.edu/cte/perkins/</vt:lpwstr>
      </vt:variant>
      <vt:variant>
        <vt:lpwstr/>
      </vt:variant>
      <vt:variant>
        <vt:i4>655381</vt:i4>
      </vt:variant>
      <vt:variant>
        <vt:i4>81</vt:i4>
      </vt:variant>
      <vt:variant>
        <vt:i4>0</vt:i4>
      </vt:variant>
      <vt:variant>
        <vt:i4>5</vt:i4>
      </vt:variant>
      <vt:variant>
        <vt:lpwstr>http://www.doe.mass.edu/cte/</vt:lpwstr>
      </vt:variant>
      <vt:variant>
        <vt:lpwstr/>
      </vt:variant>
      <vt:variant>
        <vt:i4>655381</vt:i4>
      </vt:variant>
      <vt:variant>
        <vt:i4>78</vt:i4>
      </vt:variant>
      <vt:variant>
        <vt:i4>0</vt:i4>
      </vt:variant>
      <vt:variant>
        <vt:i4>5</vt:i4>
      </vt:variant>
      <vt:variant>
        <vt:lpwstr>http://www.doe.mass.edu/cte/</vt:lpwstr>
      </vt:variant>
      <vt:variant>
        <vt:lpwstr/>
      </vt:variant>
      <vt:variant>
        <vt:i4>4521997</vt:i4>
      </vt:variant>
      <vt:variant>
        <vt:i4>75</vt:i4>
      </vt:variant>
      <vt:variant>
        <vt:i4>0</vt:i4>
      </vt:variant>
      <vt:variant>
        <vt:i4>5</vt:i4>
      </vt:variant>
      <vt:variant>
        <vt:lpwstr>http://www.doe.mass.edu/cte/perkins/</vt:lpwstr>
      </vt:variant>
      <vt:variant>
        <vt:lpwstr/>
      </vt:variant>
      <vt:variant>
        <vt:i4>1114167</vt:i4>
      </vt:variant>
      <vt:variant>
        <vt:i4>68</vt:i4>
      </vt:variant>
      <vt:variant>
        <vt:i4>0</vt:i4>
      </vt:variant>
      <vt:variant>
        <vt:i4>5</vt:i4>
      </vt:variant>
      <vt:variant>
        <vt:lpwstr/>
      </vt:variant>
      <vt:variant>
        <vt:lpwstr>_Toc428285339</vt:lpwstr>
      </vt:variant>
      <vt:variant>
        <vt:i4>1114167</vt:i4>
      </vt:variant>
      <vt:variant>
        <vt:i4>62</vt:i4>
      </vt:variant>
      <vt:variant>
        <vt:i4>0</vt:i4>
      </vt:variant>
      <vt:variant>
        <vt:i4>5</vt:i4>
      </vt:variant>
      <vt:variant>
        <vt:lpwstr/>
      </vt:variant>
      <vt:variant>
        <vt:lpwstr>_Toc428285338</vt:lpwstr>
      </vt:variant>
      <vt:variant>
        <vt:i4>1114167</vt:i4>
      </vt:variant>
      <vt:variant>
        <vt:i4>56</vt:i4>
      </vt:variant>
      <vt:variant>
        <vt:i4>0</vt:i4>
      </vt:variant>
      <vt:variant>
        <vt:i4>5</vt:i4>
      </vt:variant>
      <vt:variant>
        <vt:lpwstr/>
      </vt:variant>
      <vt:variant>
        <vt:lpwstr>_Toc428285337</vt:lpwstr>
      </vt:variant>
      <vt:variant>
        <vt:i4>1114167</vt:i4>
      </vt:variant>
      <vt:variant>
        <vt:i4>50</vt:i4>
      </vt:variant>
      <vt:variant>
        <vt:i4>0</vt:i4>
      </vt:variant>
      <vt:variant>
        <vt:i4>5</vt:i4>
      </vt:variant>
      <vt:variant>
        <vt:lpwstr/>
      </vt:variant>
      <vt:variant>
        <vt:lpwstr>_Toc428285336</vt:lpwstr>
      </vt:variant>
      <vt:variant>
        <vt:i4>1114167</vt:i4>
      </vt:variant>
      <vt:variant>
        <vt:i4>44</vt:i4>
      </vt:variant>
      <vt:variant>
        <vt:i4>0</vt:i4>
      </vt:variant>
      <vt:variant>
        <vt:i4>5</vt:i4>
      </vt:variant>
      <vt:variant>
        <vt:lpwstr/>
      </vt:variant>
      <vt:variant>
        <vt:lpwstr>_Toc428285335</vt:lpwstr>
      </vt:variant>
      <vt:variant>
        <vt:i4>1114167</vt:i4>
      </vt:variant>
      <vt:variant>
        <vt:i4>38</vt:i4>
      </vt:variant>
      <vt:variant>
        <vt:i4>0</vt:i4>
      </vt:variant>
      <vt:variant>
        <vt:i4>5</vt:i4>
      </vt:variant>
      <vt:variant>
        <vt:lpwstr/>
      </vt:variant>
      <vt:variant>
        <vt:lpwstr>_Toc428285334</vt:lpwstr>
      </vt:variant>
      <vt:variant>
        <vt:i4>1114167</vt:i4>
      </vt:variant>
      <vt:variant>
        <vt:i4>32</vt:i4>
      </vt:variant>
      <vt:variant>
        <vt:i4>0</vt:i4>
      </vt:variant>
      <vt:variant>
        <vt:i4>5</vt:i4>
      </vt:variant>
      <vt:variant>
        <vt:lpwstr/>
      </vt:variant>
      <vt:variant>
        <vt:lpwstr>_Toc428285333</vt:lpwstr>
      </vt:variant>
      <vt:variant>
        <vt:i4>1114167</vt:i4>
      </vt:variant>
      <vt:variant>
        <vt:i4>26</vt:i4>
      </vt:variant>
      <vt:variant>
        <vt:i4>0</vt:i4>
      </vt:variant>
      <vt:variant>
        <vt:i4>5</vt:i4>
      </vt:variant>
      <vt:variant>
        <vt:lpwstr/>
      </vt:variant>
      <vt:variant>
        <vt:lpwstr>_Toc428285332</vt:lpwstr>
      </vt:variant>
      <vt:variant>
        <vt:i4>1114167</vt:i4>
      </vt:variant>
      <vt:variant>
        <vt:i4>20</vt:i4>
      </vt:variant>
      <vt:variant>
        <vt:i4>0</vt:i4>
      </vt:variant>
      <vt:variant>
        <vt:i4>5</vt:i4>
      </vt:variant>
      <vt:variant>
        <vt:lpwstr/>
      </vt:variant>
      <vt:variant>
        <vt:lpwstr>_Toc428285331</vt:lpwstr>
      </vt:variant>
      <vt:variant>
        <vt:i4>1114167</vt:i4>
      </vt:variant>
      <vt:variant>
        <vt:i4>14</vt:i4>
      </vt:variant>
      <vt:variant>
        <vt:i4>0</vt:i4>
      </vt:variant>
      <vt:variant>
        <vt:i4>5</vt:i4>
      </vt:variant>
      <vt:variant>
        <vt:lpwstr/>
      </vt:variant>
      <vt:variant>
        <vt:lpwstr>_Toc428285330</vt:lpwstr>
      </vt:variant>
      <vt:variant>
        <vt:i4>1048631</vt:i4>
      </vt:variant>
      <vt:variant>
        <vt:i4>8</vt:i4>
      </vt:variant>
      <vt:variant>
        <vt:i4>0</vt:i4>
      </vt:variant>
      <vt:variant>
        <vt:i4>5</vt:i4>
      </vt:variant>
      <vt:variant>
        <vt:lpwstr/>
      </vt:variant>
      <vt:variant>
        <vt:lpwstr>_Toc428285329</vt:lpwstr>
      </vt:variant>
      <vt:variant>
        <vt:i4>5963826</vt:i4>
      </vt:variant>
      <vt:variant>
        <vt:i4>3</vt:i4>
      </vt:variant>
      <vt:variant>
        <vt:i4>0</vt:i4>
      </vt:variant>
      <vt:variant>
        <vt:i4>5</vt:i4>
      </vt:variant>
      <vt:variant>
        <vt:lpwstr>mailto:careervoctech@doe.mass.edu</vt:lpwstr>
      </vt:variant>
      <vt:variant>
        <vt:lpwstr/>
      </vt:variant>
      <vt:variant>
        <vt:i4>655381</vt:i4>
      </vt:variant>
      <vt:variant>
        <vt:i4>0</vt:i4>
      </vt:variant>
      <vt:variant>
        <vt:i4>0</vt:i4>
      </vt:variant>
      <vt:variant>
        <vt:i4>5</vt:i4>
      </vt:variant>
      <vt:variant>
        <vt:lpwstr>http://www.doe.mass.edu/cte/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Definitions</dc:title>
  <dc:creator>DESE</dc:creator>
  <cp:lastModifiedBy>Zou, Dong (EOE)</cp:lastModifiedBy>
  <cp:revision>3</cp:revision>
  <cp:lastPrinted>2017-09-08T15:32:00Z</cp:lastPrinted>
  <dcterms:created xsi:type="dcterms:W3CDTF">2022-10-24T15:51:00Z</dcterms:created>
  <dcterms:modified xsi:type="dcterms:W3CDTF">2022-10-24T19:51:00Z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2022</vt:lpwstr>
  </property>
</Properties>
</file>