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7A2C" w14:textId="466FCA1C" w:rsidR="000971DA" w:rsidRPr="005873FD" w:rsidRDefault="005873FD" w:rsidP="005873FD">
      <w:pPr>
        <w:spacing w:after="100" w:afterAutospacing="1"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  <w:r>
        <w:rPr>
          <w:rFonts w:ascii="Tahoma" w:eastAsiaTheme="majorEastAsia" w:hAnsi="Tahoma" w:cs="Tahoma"/>
          <w:b/>
          <w:bCs/>
          <w:color w:val="000000" w:themeColor="text1"/>
          <w:sz w:val="40"/>
          <w:szCs w:val="40"/>
        </w:rPr>
        <w:t>OVERVIEW</w:t>
      </w:r>
    </w:p>
    <w:p w14:paraId="71F4A933" w14:textId="77777777" w:rsidR="005873FD" w:rsidRDefault="005873FD" w:rsidP="005873FD">
      <w:pPr>
        <w:spacing w:after="100" w:afterAutospacing="1" w:line="240" w:lineRule="auto"/>
        <w:contextualSpacing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The state definition of </w:t>
      </w:r>
      <w:r w:rsidRPr="00CE1640">
        <w:rPr>
          <w:rFonts w:ascii="Helvetica" w:hAnsi="Helvetica" w:cs="Helvetica"/>
          <w:b/>
        </w:rPr>
        <w:t>College and Career Readiness and Prepared for Civic Engagement</w:t>
      </w:r>
      <w:r>
        <w:rPr>
          <w:rFonts w:ascii="Helvetica" w:hAnsi="Helvetica" w:cs="Helvetica"/>
          <w:bCs/>
        </w:rPr>
        <w:t>:</w:t>
      </w:r>
    </w:p>
    <w:p w14:paraId="520C0EC0" w14:textId="77777777" w:rsidR="005873FD" w:rsidRDefault="005873FD" w:rsidP="005873FD">
      <w:pPr>
        <w:spacing w:after="100" w:afterAutospacing="1" w:line="240" w:lineRule="auto"/>
        <w:contextualSpacing/>
        <w:rPr>
          <w:rFonts w:ascii="Helvetica" w:hAnsi="Helvetica" w:cs="Helvetica"/>
          <w:bCs/>
          <w:i/>
          <w:iCs/>
        </w:rPr>
      </w:pPr>
      <w:r w:rsidRPr="00CE1640">
        <w:rPr>
          <w:rFonts w:ascii="Helvetica" w:hAnsi="Helvetica" w:cs="Helvetica"/>
          <w:bCs/>
          <w:i/>
          <w:iCs/>
        </w:rPr>
        <w:t xml:space="preserve">College and Career Readiness means an individual has the requisite knowledge skills and experiences in the personal/social, career development and academic achievement domains to successfully navigate to completion an economically viable career pathway and </w:t>
      </w:r>
      <w:r>
        <w:rPr>
          <w:rFonts w:ascii="Helvetica" w:hAnsi="Helvetica" w:cs="Helvetica"/>
          <w:bCs/>
          <w:i/>
          <w:iCs/>
        </w:rPr>
        <w:t xml:space="preserve">be </w:t>
      </w:r>
      <w:r w:rsidRPr="00CE1640">
        <w:rPr>
          <w:rFonts w:ascii="Helvetica" w:hAnsi="Helvetica" w:cs="Helvetica"/>
          <w:bCs/>
          <w:i/>
          <w:iCs/>
        </w:rPr>
        <w:t xml:space="preserve">prepared for </w:t>
      </w:r>
      <w:r>
        <w:rPr>
          <w:rFonts w:ascii="Helvetica" w:hAnsi="Helvetica" w:cs="Helvetica"/>
          <w:bCs/>
          <w:i/>
          <w:iCs/>
        </w:rPr>
        <w:t xml:space="preserve">active and knowledgeable </w:t>
      </w:r>
      <w:r w:rsidRPr="00CE1640">
        <w:rPr>
          <w:rFonts w:ascii="Helvetica" w:hAnsi="Helvetica" w:cs="Helvetica"/>
          <w:bCs/>
          <w:i/>
          <w:iCs/>
        </w:rPr>
        <w:t xml:space="preserve">civic engagement.  </w:t>
      </w:r>
    </w:p>
    <w:p w14:paraId="6A6FB61D" w14:textId="77777777" w:rsidR="005873FD" w:rsidRDefault="005873FD" w:rsidP="000971DA">
      <w:pPr>
        <w:spacing w:after="100" w:afterAutospacing="1" w:line="240" w:lineRule="auto"/>
        <w:contextualSpacing/>
        <w:jc w:val="center"/>
        <w:rPr>
          <w:b/>
          <w:sz w:val="36"/>
          <w:szCs w:val="36"/>
        </w:rPr>
      </w:pPr>
    </w:p>
    <w:p w14:paraId="711F519F" w14:textId="339EB417" w:rsidR="00761E6D" w:rsidRDefault="000971DA" w:rsidP="000971DA">
      <w:pPr>
        <w:spacing w:after="100" w:afterAutospacing="1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347BB1">
        <w:rPr>
          <w:b/>
          <w:sz w:val="36"/>
          <w:szCs w:val="36"/>
        </w:rPr>
        <w:t>YCAP</w:t>
      </w:r>
    </w:p>
    <w:p w14:paraId="5C47E7DF" w14:textId="16D12905" w:rsidR="003A022F" w:rsidRDefault="006E2463" w:rsidP="00761E6D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MyCAP is a student-driven</w:t>
      </w:r>
      <w:r w:rsidR="0016052D">
        <w:rPr>
          <w:rFonts w:ascii="Helvetica" w:hAnsi="Helvetica" w:cs="Helvetica"/>
          <w:bCs/>
        </w:rPr>
        <w:t xml:space="preserve">, multi-year </w:t>
      </w:r>
      <w:r>
        <w:rPr>
          <w:rFonts w:ascii="Helvetica" w:hAnsi="Helvetica" w:cs="Helvetica"/>
          <w:bCs/>
        </w:rPr>
        <w:t xml:space="preserve">process </w:t>
      </w:r>
      <w:r w:rsidR="0016052D">
        <w:rPr>
          <w:rFonts w:ascii="Helvetica" w:hAnsi="Helvetica" w:cs="Helvetica"/>
          <w:bCs/>
        </w:rPr>
        <w:t>that intentionally guides students in the development of an authentic post-secondary plan for success after high school. Through the</w:t>
      </w:r>
      <w:r>
        <w:rPr>
          <w:rFonts w:ascii="Helvetica" w:hAnsi="Helvetica" w:cs="Helvetica"/>
          <w:bCs/>
        </w:rPr>
        <w:t xml:space="preserve"> </w:t>
      </w:r>
      <w:r w:rsidRPr="00CE1640">
        <w:rPr>
          <w:rFonts w:ascii="Helvetica" w:hAnsi="Helvetica" w:cs="Helvetica"/>
          <w:bCs/>
          <w:i/>
          <w:iCs/>
        </w:rPr>
        <w:t>process</w:t>
      </w:r>
      <w:r>
        <w:rPr>
          <w:rFonts w:ascii="Helvetica" w:hAnsi="Helvetica" w:cs="Helvetica"/>
          <w:bCs/>
        </w:rPr>
        <w:t>, each student, with guidance and support from a caring adult in the school and with input from parents</w:t>
      </w:r>
      <w:r w:rsidR="0016052D">
        <w:rPr>
          <w:rFonts w:ascii="Helvetica" w:hAnsi="Helvetica" w:cs="Helvetica"/>
          <w:bCs/>
        </w:rPr>
        <w:t xml:space="preserve"> and other mentors,</w:t>
      </w:r>
      <w:r>
        <w:rPr>
          <w:rFonts w:ascii="Helvetica" w:hAnsi="Helvetica" w:cs="Helvetica"/>
          <w:bCs/>
        </w:rPr>
        <w:t xml:space="preserve"> gains the knowledge,</w:t>
      </w:r>
      <w:r w:rsidR="003A022F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 xml:space="preserve">skills and experiences </w:t>
      </w:r>
      <w:r w:rsidR="0016052D">
        <w:rPr>
          <w:rFonts w:ascii="Helvetica" w:hAnsi="Helvetica" w:cs="Helvetica"/>
          <w:bCs/>
        </w:rPr>
        <w:t xml:space="preserve">in the personal social, career development and academic achievement domains </w:t>
      </w:r>
      <w:r w:rsidR="003A022F">
        <w:rPr>
          <w:rFonts w:ascii="Helvetica" w:hAnsi="Helvetica" w:cs="Helvetica"/>
          <w:bCs/>
        </w:rPr>
        <w:t xml:space="preserve">necessary for </w:t>
      </w:r>
      <w:r>
        <w:rPr>
          <w:rFonts w:ascii="Helvetica" w:hAnsi="Helvetica" w:cs="Helvetica"/>
          <w:bCs/>
        </w:rPr>
        <w:t>post-secondary success</w:t>
      </w:r>
      <w:r w:rsidR="003A022F">
        <w:rPr>
          <w:rFonts w:ascii="Helvetica" w:hAnsi="Helvetica" w:cs="Helvetica"/>
          <w:bCs/>
        </w:rPr>
        <w:t xml:space="preserve">. </w:t>
      </w:r>
      <w:r w:rsidRPr="006E2463">
        <w:rPr>
          <w:rFonts w:ascii="Helvetica" w:eastAsia="Century Gothic" w:hAnsi="Helvetica" w:cs="Helvetica"/>
        </w:rPr>
        <w:t xml:space="preserve">As an </w:t>
      </w:r>
      <w:r w:rsidRPr="006E2463">
        <w:rPr>
          <w:rFonts w:ascii="Helvetica" w:eastAsia="Century Gothic" w:hAnsi="Helvetica" w:cs="Helvetica"/>
          <w:i/>
          <w:iCs/>
        </w:rPr>
        <w:t>instrument</w:t>
      </w:r>
      <w:r w:rsidRPr="006E2463">
        <w:rPr>
          <w:rFonts w:ascii="Helvetica" w:eastAsia="Century Gothic" w:hAnsi="Helvetica" w:cs="Helvetica"/>
        </w:rPr>
        <w:t xml:space="preserve">, </w:t>
      </w:r>
      <w:r w:rsidR="0016052D">
        <w:rPr>
          <w:rFonts w:ascii="Helvetica" w:eastAsia="Century Gothic" w:hAnsi="Helvetica" w:cs="Helvetica"/>
        </w:rPr>
        <w:t xml:space="preserve">the </w:t>
      </w:r>
      <w:r w:rsidRPr="006E2463">
        <w:rPr>
          <w:rFonts w:ascii="Helvetica" w:eastAsia="Century Gothic" w:hAnsi="Helvetica" w:cs="Helvetica"/>
        </w:rPr>
        <w:t xml:space="preserve">MyCAP </w:t>
      </w:r>
      <w:r w:rsidR="0016052D">
        <w:rPr>
          <w:rFonts w:ascii="Helvetica" w:eastAsia="Century Gothic" w:hAnsi="Helvetica" w:cs="Helvetica"/>
        </w:rPr>
        <w:t xml:space="preserve">tool </w:t>
      </w:r>
      <w:r w:rsidRPr="006E2463">
        <w:rPr>
          <w:rFonts w:ascii="Helvetica" w:eastAsia="Century Gothic" w:hAnsi="Helvetica" w:cs="Helvetica"/>
        </w:rPr>
        <w:t>captures</w:t>
      </w:r>
      <w:r w:rsidR="003A022F">
        <w:rPr>
          <w:rFonts w:ascii="Helvetica" w:eastAsia="Century Gothic" w:hAnsi="Helvetica" w:cs="Helvetica"/>
        </w:rPr>
        <w:t xml:space="preserve"> and documents</w:t>
      </w:r>
      <w:r w:rsidRPr="006E2463">
        <w:rPr>
          <w:rFonts w:ascii="Helvetica" w:eastAsia="Century Gothic" w:hAnsi="Helvetica" w:cs="Helvetica"/>
        </w:rPr>
        <w:t xml:space="preserve"> the </w:t>
      </w:r>
      <w:r w:rsidR="00317812">
        <w:rPr>
          <w:rFonts w:ascii="Helvetica" w:eastAsia="Century Gothic" w:hAnsi="Helvetica" w:cs="Helvetica"/>
        </w:rPr>
        <w:t xml:space="preserve">experiences and </w:t>
      </w:r>
      <w:r w:rsidRPr="006E2463">
        <w:rPr>
          <w:rFonts w:ascii="Helvetica" w:eastAsia="Century Gothic" w:hAnsi="Helvetica" w:cs="Helvetica"/>
        </w:rPr>
        <w:t>learning at each grade level</w:t>
      </w:r>
      <w:r w:rsidR="0016052D">
        <w:rPr>
          <w:rFonts w:ascii="Helvetica" w:eastAsia="Century Gothic" w:hAnsi="Helvetica" w:cs="Helvetica"/>
        </w:rPr>
        <w:t xml:space="preserve"> within each domain.</w:t>
      </w:r>
      <w:r w:rsidRPr="006E2463">
        <w:rPr>
          <w:rFonts w:ascii="Helvetica" w:eastAsia="Century Gothic" w:hAnsi="Helvetica" w:cs="Helvetica"/>
        </w:rPr>
        <w:t xml:space="preserve"> The</w:t>
      </w:r>
      <w:r w:rsidR="00317812">
        <w:rPr>
          <w:rFonts w:ascii="Helvetica" w:eastAsia="Century Gothic" w:hAnsi="Helvetica" w:cs="Helvetica"/>
        </w:rPr>
        <w:t xml:space="preserve"> </w:t>
      </w:r>
      <w:r w:rsidRPr="006E2463">
        <w:rPr>
          <w:rFonts w:ascii="Helvetica" w:eastAsia="Century Gothic" w:hAnsi="Helvetica" w:cs="Helvetica"/>
        </w:rPr>
        <w:t>instrument may also act as an ePortfolio capturing artifacts that demonstrate success</w:t>
      </w:r>
      <w:r w:rsidR="003A022F">
        <w:rPr>
          <w:rFonts w:ascii="Helvetica" w:hAnsi="Helvetica" w:cs="Helvetica"/>
          <w:bCs/>
        </w:rPr>
        <w:t xml:space="preserve">.  </w:t>
      </w:r>
    </w:p>
    <w:p w14:paraId="5F1126FE" w14:textId="56C1C99C" w:rsidR="00602248" w:rsidRDefault="00CE1640" w:rsidP="00761E6D">
      <w:pPr>
        <w:spacing w:after="100" w:afterAutospacing="1" w:line="240" w:lineRule="auto"/>
        <w:contextualSpacing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</w:t>
      </w:r>
      <w:r w:rsidR="004D66B7">
        <w:rPr>
          <w:rFonts w:ascii="Helvetica" w:hAnsi="Helvetica" w:cs="Helvetica"/>
          <w:bCs/>
        </w:rPr>
        <w:t>esearch supports the use of MyCAP (</w:t>
      </w:r>
      <w:r>
        <w:rPr>
          <w:rFonts w:ascii="Helvetica" w:hAnsi="Helvetica" w:cs="Helvetica"/>
          <w:bCs/>
        </w:rPr>
        <w:t>formerly</w:t>
      </w:r>
      <w:r w:rsidR="004D66B7">
        <w:rPr>
          <w:rFonts w:ascii="Helvetica" w:hAnsi="Helvetica" w:cs="Helvetica"/>
          <w:bCs/>
        </w:rPr>
        <w:t xml:space="preserve"> Individual Learning Plans) </w:t>
      </w:r>
      <w:r w:rsidR="00602248">
        <w:rPr>
          <w:rFonts w:ascii="Helvetica" w:hAnsi="Helvetica" w:cs="Helvetica"/>
          <w:bCs/>
        </w:rPr>
        <w:t>as a tool to improve</w:t>
      </w:r>
      <w:r>
        <w:rPr>
          <w:rFonts w:ascii="Helvetica" w:hAnsi="Helvetica" w:cs="Helvetica"/>
          <w:bCs/>
        </w:rPr>
        <w:t xml:space="preserve"> student</w:t>
      </w:r>
      <w:r w:rsidR="00602248">
        <w:rPr>
          <w:rFonts w:ascii="Helvetica" w:hAnsi="Helvetica" w:cs="Helvetica"/>
          <w:bCs/>
        </w:rPr>
        <w:t>:</w:t>
      </w:r>
    </w:p>
    <w:p w14:paraId="3426E704" w14:textId="59C03707" w:rsidR="00602248" w:rsidRPr="00431AC9" w:rsidRDefault="004D66B7" w:rsidP="00431AC9">
      <w:pPr>
        <w:pStyle w:val="ListParagraph"/>
        <w:numPr>
          <w:ilvl w:val="0"/>
          <w:numId w:val="5"/>
        </w:numPr>
        <w:rPr>
          <w:rFonts w:ascii="Helvetica" w:hAnsi="Helvetica" w:cs="Helvetica"/>
          <w:bCs/>
        </w:rPr>
      </w:pPr>
      <w:r w:rsidRPr="00431AC9">
        <w:rPr>
          <w:rFonts w:ascii="Helvetica" w:hAnsi="Helvetica" w:cs="Helvetica"/>
          <w:bCs/>
        </w:rPr>
        <w:t>engagement</w:t>
      </w:r>
    </w:p>
    <w:p w14:paraId="4BF4B660" w14:textId="02DD7D16" w:rsidR="00602248" w:rsidRPr="00A043EC" w:rsidRDefault="004D66B7" w:rsidP="00A043EC">
      <w:pPr>
        <w:pStyle w:val="ListParagraph"/>
        <w:numPr>
          <w:ilvl w:val="0"/>
          <w:numId w:val="5"/>
        </w:numPr>
        <w:rPr>
          <w:rFonts w:ascii="Helvetica" w:hAnsi="Helvetica" w:cs="Helvetica"/>
          <w:bCs/>
        </w:rPr>
      </w:pPr>
      <w:r w:rsidRPr="00431AC9">
        <w:rPr>
          <w:rFonts w:ascii="Helvetica" w:hAnsi="Helvetica" w:cs="Helvetica"/>
          <w:bCs/>
        </w:rPr>
        <w:t>attendance</w:t>
      </w:r>
    </w:p>
    <w:p w14:paraId="1E7F3355" w14:textId="7870AAD6" w:rsidR="00A043EC" w:rsidRPr="00431AC9" w:rsidRDefault="00A043EC" w:rsidP="00431AC9">
      <w:pPr>
        <w:pStyle w:val="ListParagraph"/>
        <w:numPr>
          <w:ilvl w:val="0"/>
          <w:numId w:val="5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goal-setting </w:t>
      </w:r>
    </w:p>
    <w:p w14:paraId="7E4FB4DC" w14:textId="42127532" w:rsidR="00602248" w:rsidRDefault="004D66B7" w:rsidP="00431AC9">
      <w:pPr>
        <w:pStyle w:val="ListParagraph"/>
        <w:numPr>
          <w:ilvl w:val="0"/>
          <w:numId w:val="5"/>
        </w:numPr>
        <w:rPr>
          <w:rFonts w:ascii="Helvetica" w:hAnsi="Helvetica" w:cs="Helvetica"/>
          <w:bCs/>
        </w:rPr>
      </w:pPr>
      <w:r w:rsidRPr="00431AC9">
        <w:rPr>
          <w:rFonts w:ascii="Helvetica" w:hAnsi="Helvetica" w:cs="Helvetica"/>
          <w:bCs/>
        </w:rPr>
        <w:t>self-</w:t>
      </w:r>
      <w:r w:rsidR="00602248" w:rsidRPr="00431AC9">
        <w:rPr>
          <w:rFonts w:ascii="Helvetica" w:hAnsi="Helvetica" w:cs="Helvetica"/>
          <w:bCs/>
        </w:rPr>
        <w:t>identifi</w:t>
      </w:r>
      <w:r w:rsidR="00D32FEC">
        <w:rPr>
          <w:rFonts w:ascii="Helvetica" w:hAnsi="Helvetica" w:cs="Helvetica"/>
          <w:bCs/>
        </w:rPr>
        <w:t>cation of</w:t>
      </w:r>
      <w:r w:rsidRPr="00431AC9">
        <w:rPr>
          <w:rFonts w:ascii="Helvetica" w:hAnsi="Helvetica" w:cs="Helvetica"/>
          <w:bCs/>
        </w:rPr>
        <w:t xml:space="preserve"> strengths and weaknesses</w:t>
      </w:r>
    </w:p>
    <w:p w14:paraId="2AE9B2FF" w14:textId="209CA604" w:rsidR="00BB2FCB" w:rsidRPr="00BB2FCB" w:rsidRDefault="00BB2FCB" w:rsidP="00BB2FCB">
      <w:pPr>
        <w:pStyle w:val="ListParagraph"/>
        <w:numPr>
          <w:ilvl w:val="0"/>
          <w:numId w:val="5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understanding of the connection between education and future aspirations </w:t>
      </w:r>
    </w:p>
    <w:p w14:paraId="7191487E" w14:textId="365A9CD2" w:rsidR="004D66B7" w:rsidRDefault="004D66B7" w:rsidP="00431AC9">
      <w:pPr>
        <w:pStyle w:val="ListParagraph"/>
        <w:numPr>
          <w:ilvl w:val="0"/>
          <w:numId w:val="5"/>
        </w:numPr>
        <w:rPr>
          <w:rFonts w:ascii="Helvetica" w:hAnsi="Helvetica" w:cs="Helvetica"/>
          <w:bCs/>
        </w:rPr>
      </w:pPr>
      <w:r w:rsidRPr="00431AC9">
        <w:rPr>
          <w:rFonts w:ascii="Helvetica" w:hAnsi="Helvetica" w:cs="Helvetica"/>
          <w:bCs/>
        </w:rPr>
        <w:t xml:space="preserve">choice and voice  </w:t>
      </w:r>
    </w:p>
    <w:p w14:paraId="5DD34E5F" w14:textId="78E56105" w:rsidR="00FC0506" w:rsidRDefault="001C1524" w:rsidP="00FC050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PROCESS</w:t>
      </w:r>
      <w:r w:rsidR="00D03DDB" w:rsidRPr="00D03DDB">
        <w:rPr>
          <w:b/>
          <w:sz w:val="36"/>
          <w:szCs w:val="36"/>
        </w:rPr>
        <w:t xml:space="preserve"> </w:t>
      </w:r>
    </w:p>
    <w:p w14:paraId="63009136" w14:textId="77777777" w:rsidR="00BB2FCB" w:rsidRDefault="00431AC9" w:rsidP="003A022F">
      <w:pPr>
        <w:spacing w:after="100" w:afterAutospacing="1" w:line="24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Beginning as early as grade 6 but no later than grade 9, students </w:t>
      </w:r>
      <w:r w:rsidR="003A022F" w:rsidRPr="003A022F">
        <w:rPr>
          <w:rFonts w:ascii="Helvetica" w:hAnsi="Helvetica" w:cs="Helvetica"/>
        </w:rPr>
        <w:t xml:space="preserve">engage in </w:t>
      </w:r>
      <w:r w:rsidR="00BB2FCB">
        <w:rPr>
          <w:rFonts w:ascii="Helvetica" w:hAnsi="Helvetica" w:cs="Helvetica"/>
        </w:rPr>
        <w:t xml:space="preserve">activities that will ultimately help answer the questions: Who am I? What do I want to do? and How do I get there? These questions align with the three domains of CCR – personal/social, career development, and academic, college and career planning. </w:t>
      </w:r>
    </w:p>
    <w:p w14:paraId="70D1A7BA" w14:textId="77777777" w:rsidR="00D32FEC" w:rsidRDefault="00D32FEC" w:rsidP="003A022F">
      <w:pPr>
        <w:spacing w:after="100" w:afterAutospacing="1" w:line="240" w:lineRule="auto"/>
        <w:contextualSpacing/>
        <w:rPr>
          <w:rFonts w:ascii="Helvetica" w:hAnsi="Helvetica" w:cs="Helvetica"/>
        </w:rPr>
      </w:pPr>
    </w:p>
    <w:p w14:paraId="7CA3BE82" w14:textId="01F0D3F9" w:rsidR="00D32FEC" w:rsidRDefault="00BB2FCB" w:rsidP="003A022F">
      <w:pPr>
        <w:spacing w:after="100" w:afterAutospacing="1" w:line="24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Through the MyCAP process students are provided the opportunities,</w:t>
      </w:r>
      <w:r w:rsidR="00046C2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support and structure to follow a continuum of development </w:t>
      </w:r>
      <w:r w:rsidR="00D32FEC">
        <w:rPr>
          <w:rFonts w:ascii="Helvetica" w:hAnsi="Helvetica" w:cs="Helvetica"/>
        </w:rPr>
        <w:t xml:space="preserve">in each domain </w:t>
      </w:r>
      <w:r w:rsidR="00CC7127">
        <w:rPr>
          <w:rFonts w:ascii="Helvetica" w:hAnsi="Helvetica" w:cs="Helvetica"/>
        </w:rPr>
        <w:t>that will cultivate their own informed decisions for post-secondary success. As a whole-school process, the knowledge, skills and experiences are gained</w:t>
      </w:r>
      <w:r w:rsidR="00D32FEC">
        <w:rPr>
          <w:rFonts w:ascii="Helvetica" w:hAnsi="Helvetica" w:cs="Helvetica"/>
        </w:rPr>
        <w:t xml:space="preserve"> not just with school counselors but</w:t>
      </w:r>
      <w:r w:rsidR="00CC7127">
        <w:rPr>
          <w:rFonts w:ascii="Helvetica" w:hAnsi="Helvetica" w:cs="Helvetica"/>
        </w:rPr>
        <w:t xml:space="preserve"> in classrooms, in school activities, in relationships, </w:t>
      </w:r>
      <w:r w:rsidR="00046C28">
        <w:rPr>
          <w:rFonts w:ascii="Helvetica" w:hAnsi="Helvetica" w:cs="Helvetica"/>
        </w:rPr>
        <w:t>a</w:t>
      </w:r>
      <w:r w:rsidR="00D32FEC">
        <w:rPr>
          <w:rFonts w:ascii="Helvetica" w:hAnsi="Helvetica" w:cs="Helvetica"/>
        </w:rPr>
        <w:t>s well as</w:t>
      </w:r>
      <w:r w:rsidR="00046C28">
        <w:rPr>
          <w:rFonts w:ascii="Helvetica" w:hAnsi="Helvetica" w:cs="Helvetica"/>
        </w:rPr>
        <w:t xml:space="preserve"> in the community. </w:t>
      </w:r>
    </w:p>
    <w:p w14:paraId="0F00A158" w14:textId="77777777" w:rsidR="00761E6D" w:rsidRDefault="00761E6D" w:rsidP="003A022F">
      <w:pPr>
        <w:spacing w:after="100" w:afterAutospacing="1" w:line="240" w:lineRule="auto"/>
        <w:contextualSpacing/>
        <w:rPr>
          <w:rFonts w:ascii="Helvetica" w:hAnsi="Helvetica" w:cs="Helvetica"/>
        </w:rPr>
      </w:pPr>
    </w:p>
    <w:p w14:paraId="7C4D2A68" w14:textId="5C2B36D2" w:rsidR="00D32FEC" w:rsidRDefault="00D32FEC" w:rsidP="003A022F">
      <w:pPr>
        <w:spacing w:after="100" w:afterAutospacing="1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</w:t>
      </w:r>
      <w:r w:rsidRPr="003A022F">
        <w:rPr>
          <w:rFonts w:ascii="Helvetica" w:hAnsi="Helvetica" w:cs="Helvetica"/>
        </w:rPr>
        <w:t xml:space="preserve">ensure students are college and career ready and prepared for civic engagement, DESE and the Massachusetts School Counselors Association (MASCA) </w:t>
      </w:r>
      <w:r w:rsidR="00176723">
        <w:rPr>
          <w:rFonts w:ascii="Helvetica" w:hAnsi="Helvetica" w:cs="Helvetica"/>
        </w:rPr>
        <w:t>developed</w:t>
      </w:r>
      <w:r w:rsidRPr="003A022F">
        <w:rPr>
          <w:rFonts w:ascii="Helvetica" w:hAnsi="Helvetica" w:cs="Helvetica"/>
        </w:rPr>
        <w:t xml:space="preserve"> an </w:t>
      </w:r>
      <w:r w:rsidRPr="001C1524">
        <w:rPr>
          <w:rFonts w:ascii="Helvetica" w:hAnsi="Helvetica" w:cs="Helvetica"/>
          <w:b/>
          <w:bCs/>
        </w:rPr>
        <w:t xml:space="preserve">implementation </w:t>
      </w:r>
      <w:r w:rsidR="00033FB0">
        <w:rPr>
          <w:rFonts w:ascii="Helvetica" w:hAnsi="Helvetica" w:cs="Helvetica"/>
          <w:b/>
          <w:bCs/>
        </w:rPr>
        <w:t>scope and sequence of learning.</w:t>
      </w:r>
      <w:r w:rsidR="00176723">
        <w:rPr>
          <w:rFonts w:ascii="Helvetica" w:hAnsi="Helvetica" w:cs="Helvetica"/>
        </w:rPr>
        <w:t xml:space="preserve"> In each domain in every grade </w:t>
      </w:r>
      <w:r>
        <w:rPr>
          <w:rFonts w:ascii="Helvetica" w:hAnsi="Helvetica" w:cs="Helvetica"/>
        </w:rPr>
        <w:t>learning objectives are identified, lessons, strategies, and activities are developed</w:t>
      </w:r>
      <w:r w:rsidR="00033FB0">
        <w:rPr>
          <w:rFonts w:ascii="Helvetica" w:hAnsi="Helvetica" w:cs="Helvetica"/>
        </w:rPr>
        <w:t xml:space="preserve"> and the place for implementation is identified</w:t>
      </w:r>
      <w:r>
        <w:rPr>
          <w:rFonts w:ascii="Helvetica" w:hAnsi="Helvetica" w:cs="Helvetica"/>
        </w:rPr>
        <w:t xml:space="preserve"> and documentation of learning is </w:t>
      </w:r>
      <w:r w:rsidR="00176723">
        <w:rPr>
          <w:rFonts w:ascii="Helvetica" w:hAnsi="Helvetica" w:cs="Helvetica"/>
        </w:rPr>
        <w:t>captured in the MyCAP instrument.</w:t>
      </w:r>
    </w:p>
    <w:p w14:paraId="3A6BF005" w14:textId="2367D3F7" w:rsidR="005146B4" w:rsidRDefault="001C1524" w:rsidP="005146B4">
      <w:pPr>
        <w:spacing w:after="100" w:afterAutospacing="1" w:line="240" w:lineRule="auto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lastRenderedPageBreak/>
        <w:t>THE INSTRUMENT</w:t>
      </w:r>
    </w:p>
    <w:p w14:paraId="76F88A37" w14:textId="48271F80" w:rsidR="00242146" w:rsidRPr="00242146" w:rsidRDefault="00242146" w:rsidP="00242146">
      <w:pPr>
        <w:spacing w:after="100" w:afterAutospacing="1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MyCAP instrument is </w:t>
      </w:r>
      <w:r w:rsidRPr="00242146">
        <w:rPr>
          <w:rFonts w:ascii="Helvetica" w:hAnsi="Helvetica" w:cs="Helvetica"/>
          <w:i/>
        </w:rPr>
        <w:t>electronic platform</w:t>
      </w:r>
      <w:r>
        <w:rPr>
          <w:rFonts w:ascii="Helvetica" w:hAnsi="Helvetica" w:cs="Helvetica"/>
        </w:rPr>
        <w:t xml:space="preserve"> </w:t>
      </w:r>
      <w:r w:rsidRPr="00242146">
        <w:rPr>
          <w:rFonts w:ascii="Helvetica" w:hAnsi="Helvetica" w:cs="Helvetica"/>
        </w:rPr>
        <w:t>created through an online college and career planning tool (e.g. Naviance, MEFA Pathways, MassCIS)</w:t>
      </w:r>
      <w:r>
        <w:rPr>
          <w:rFonts w:ascii="Helvetica" w:hAnsi="Helvetica" w:cs="Helvetica"/>
        </w:rPr>
        <w:t xml:space="preserve">. The platform </w:t>
      </w:r>
      <w:r w:rsidRPr="00242146">
        <w:rPr>
          <w:rFonts w:ascii="Helvetica" w:hAnsi="Helvetica" w:cs="Helvetica"/>
        </w:rPr>
        <w:t>captures</w:t>
      </w:r>
      <w:r>
        <w:rPr>
          <w:rFonts w:ascii="Helvetica" w:hAnsi="Helvetica" w:cs="Helvetica"/>
        </w:rPr>
        <w:t xml:space="preserve"> and </w:t>
      </w:r>
      <w:r w:rsidRPr="00242146">
        <w:rPr>
          <w:rFonts w:ascii="Helvetica" w:hAnsi="Helvetica" w:cs="Helvetica"/>
        </w:rPr>
        <w:t xml:space="preserve">documents the achievements of the learning objectives at each grade level. </w:t>
      </w:r>
      <w:r>
        <w:rPr>
          <w:rFonts w:ascii="Helvetica" w:hAnsi="Helvetica" w:cs="Helvetica"/>
        </w:rPr>
        <w:t>T</w:t>
      </w:r>
      <w:r w:rsidRPr="00242146">
        <w:rPr>
          <w:rFonts w:ascii="Helvetica" w:eastAsia="Times New Roman" w:hAnsi="Helvetica" w:cs="Helvetica"/>
          <w:color w:val="333333"/>
        </w:rPr>
        <w:t xml:space="preserve">he electronic platform provides search engines, tools and activities designed to help students create </w:t>
      </w:r>
      <w:r>
        <w:rPr>
          <w:rFonts w:ascii="Helvetica" w:eastAsia="Times New Roman" w:hAnsi="Helvetica" w:cs="Helvetica"/>
          <w:color w:val="333333"/>
        </w:rPr>
        <w:t xml:space="preserve">their </w:t>
      </w:r>
      <w:r w:rsidRPr="00242146">
        <w:rPr>
          <w:rFonts w:ascii="Helvetica" w:eastAsia="Times New Roman" w:hAnsi="Helvetica" w:cs="Helvetica"/>
          <w:color w:val="333333"/>
        </w:rPr>
        <w:t xml:space="preserve">personalized plan. The platform also provides a place to organize and record progress related to academic achievement, personal/social skill development, and career development information that leads to workplace readiness. </w:t>
      </w:r>
      <w:r>
        <w:rPr>
          <w:rFonts w:ascii="Helvetica" w:eastAsia="Times New Roman" w:hAnsi="Helvetica" w:cs="Helvetica"/>
          <w:color w:val="333333"/>
        </w:rPr>
        <w:t>A key component of the online system is a place for reflections – a place where student, staff, parents/guardians can review goals and aspirati</w:t>
      </w:r>
      <w:r w:rsidR="00E9553F">
        <w:rPr>
          <w:rFonts w:ascii="Helvetica" w:eastAsia="Times New Roman" w:hAnsi="Helvetica" w:cs="Helvetica"/>
          <w:color w:val="333333"/>
        </w:rPr>
        <w:t>o</w:t>
      </w:r>
      <w:r>
        <w:rPr>
          <w:rFonts w:ascii="Helvetica" w:eastAsia="Times New Roman" w:hAnsi="Helvetica" w:cs="Helvetica"/>
          <w:color w:val="333333"/>
        </w:rPr>
        <w:t>ns</w:t>
      </w:r>
      <w:r w:rsidR="00E9553F">
        <w:rPr>
          <w:rFonts w:ascii="Helvetica" w:eastAsia="Times New Roman" w:hAnsi="Helvetica" w:cs="Helvetica"/>
          <w:color w:val="333333"/>
        </w:rPr>
        <w:t xml:space="preserve">, revise plans, and identify next steps in planning for post-secondary success.  </w:t>
      </w:r>
    </w:p>
    <w:p w14:paraId="2481DCAC" w14:textId="7189CED2" w:rsidR="00242146" w:rsidRDefault="00E9553F" w:rsidP="00E9553F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 xml:space="preserve">THE </w:t>
      </w:r>
      <w:r w:rsidR="00033FB0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SCOPE AND SEQUENCE</w:t>
      </w:r>
    </w:p>
    <w:p w14:paraId="11AB2107" w14:textId="1C9EFC3B" w:rsidR="00E9553F" w:rsidRPr="00E9553F" w:rsidRDefault="00033FB0" w:rsidP="00E9553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E9553F" w:rsidRPr="00E9553F">
        <w:rPr>
          <w:rFonts w:ascii="Helvetica" w:hAnsi="Helvetica" w:cs="Helvetica"/>
        </w:rPr>
        <w:t>he systematic implementation</w:t>
      </w:r>
      <w:r>
        <w:rPr>
          <w:rFonts w:ascii="Helvetica" w:hAnsi="Helvetica" w:cs="Helvetica"/>
        </w:rPr>
        <w:t xml:space="preserve"> of MyCAP is best achieved through the</w:t>
      </w:r>
      <w:r w:rsidR="00E9553F" w:rsidRPr="00E9553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creation of a </w:t>
      </w:r>
      <w:r w:rsidR="00E9553F" w:rsidRPr="00E9553F">
        <w:rPr>
          <w:rFonts w:ascii="Helvetica" w:hAnsi="Helvetica" w:cs="Helvetica"/>
        </w:rPr>
        <w:t xml:space="preserve">scope and sequence of learning objectives focused on the three domains of college and career readiness </w:t>
      </w:r>
      <w:r w:rsidR="003267B1">
        <w:rPr>
          <w:rFonts w:ascii="Helvetica" w:hAnsi="Helvetica" w:cs="Helvetica"/>
        </w:rPr>
        <w:t>for</w:t>
      </w:r>
      <w:r w:rsidR="00E9553F" w:rsidRPr="00E9553F">
        <w:rPr>
          <w:rFonts w:ascii="Helvetica" w:hAnsi="Helvetica" w:cs="Helvetica"/>
        </w:rPr>
        <w:t xml:space="preserve"> grades 9-12.  Each domain - personal social skills development, career development education, and academic, college and career planning </w:t>
      </w:r>
      <w:r w:rsidR="00E9553F">
        <w:rPr>
          <w:rFonts w:ascii="Helvetica" w:hAnsi="Helvetica" w:cs="Helvetica"/>
        </w:rPr>
        <w:t>-</w:t>
      </w:r>
      <w:r w:rsidR="00E9553F" w:rsidRPr="00E9553F">
        <w:rPr>
          <w:rFonts w:ascii="Helvetica" w:hAnsi="Helvetica" w:cs="Helvetica"/>
        </w:rPr>
        <w:t xml:space="preserve"> </w:t>
      </w:r>
      <w:r w:rsidR="00E9553F">
        <w:rPr>
          <w:rFonts w:ascii="Helvetica" w:hAnsi="Helvetica" w:cs="Helvetica"/>
        </w:rPr>
        <w:t>is</w:t>
      </w:r>
      <w:r w:rsidR="00E9553F" w:rsidRPr="00E9553F">
        <w:rPr>
          <w:rFonts w:ascii="Helvetica" w:hAnsi="Helvetica" w:cs="Helvetica"/>
        </w:rPr>
        <w:t xml:space="preserve"> addressed e</w:t>
      </w:r>
      <w:r w:rsidR="00E9553F">
        <w:rPr>
          <w:rFonts w:ascii="Helvetica" w:hAnsi="Helvetica" w:cs="Helvetica"/>
        </w:rPr>
        <w:t>very</w:t>
      </w:r>
      <w:r w:rsidR="00E9553F" w:rsidRPr="00E9553F">
        <w:rPr>
          <w:rFonts w:ascii="Helvetica" w:hAnsi="Helvetica" w:cs="Helvetica"/>
        </w:rPr>
        <w:t xml:space="preserve"> year.  </w:t>
      </w:r>
    </w:p>
    <w:p w14:paraId="6D1EBE71" w14:textId="2B8F0578" w:rsidR="00E9553F" w:rsidRDefault="00E9553F" w:rsidP="00E9553F">
      <w:pPr>
        <w:rPr>
          <w:rFonts w:ascii="Helvetica" w:hAnsi="Helvetica" w:cs="Helvetica"/>
        </w:rPr>
      </w:pPr>
      <w:r w:rsidRPr="00E9553F">
        <w:rPr>
          <w:rFonts w:ascii="Helvetica" w:hAnsi="Helvetica" w:cs="Helvetica"/>
        </w:rPr>
        <w:t xml:space="preserve">This structured </w:t>
      </w:r>
      <w:r w:rsidR="00033FB0">
        <w:rPr>
          <w:rFonts w:ascii="Helvetica" w:hAnsi="Helvetica" w:cs="Helvetica"/>
        </w:rPr>
        <w:t>implementation s</w:t>
      </w:r>
      <w:r w:rsidRPr="00E9553F">
        <w:rPr>
          <w:rFonts w:ascii="Helvetica" w:hAnsi="Helvetica" w:cs="Helvetica"/>
        </w:rPr>
        <w:t xml:space="preserve">hould be a school-wide effort with responsibility for lessons and activities residing with </w:t>
      </w:r>
      <w:r w:rsidR="003267B1">
        <w:rPr>
          <w:rFonts w:ascii="Helvetica" w:hAnsi="Helvetica" w:cs="Helvetica"/>
        </w:rPr>
        <w:t>all</w:t>
      </w:r>
      <w:r w:rsidRPr="00E9553F">
        <w:rPr>
          <w:rFonts w:ascii="Helvetica" w:hAnsi="Helvetica" w:cs="Helvetica"/>
        </w:rPr>
        <w:t xml:space="preserve"> educators not just school counselors.  For example, a resume writing activity might happen in an English class, and a career search lesson </w:t>
      </w:r>
      <w:r w:rsidR="003267B1">
        <w:rPr>
          <w:rFonts w:ascii="Helvetica" w:hAnsi="Helvetica" w:cs="Helvetica"/>
        </w:rPr>
        <w:t>might</w:t>
      </w:r>
      <w:r w:rsidRPr="00E9553F">
        <w:rPr>
          <w:rFonts w:ascii="Helvetica" w:hAnsi="Helvetica" w:cs="Helvetica"/>
        </w:rPr>
        <w:t xml:space="preserve"> be done in a social studies class.  With the current emphasis on social emotional learning (SEL) students </w:t>
      </w:r>
      <w:r>
        <w:rPr>
          <w:rFonts w:ascii="Helvetica" w:hAnsi="Helvetica" w:cs="Helvetica"/>
        </w:rPr>
        <w:t>are likely</w:t>
      </w:r>
      <w:r w:rsidRPr="00E9553F">
        <w:rPr>
          <w:rFonts w:ascii="Helvetica" w:hAnsi="Helvetica" w:cs="Helvetica"/>
        </w:rPr>
        <w:t xml:space="preserve"> developing healthy personal social skills in all aspects of school life: classrooms, </w:t>
      </w:r>
      <w:r w:rsidR="003267B1">
        <w:rPr>
          <w:rFonts w:ascii="Helvetica" w:hAnsi="Helvetica" w:cs="Helvetica"/>
        </w:rPr>
        <w:t xml:space="preserve">hallways, lunchrooms, </w:t>
      </w:r>
      <w:r w:rsidRPr="00E9553F">
        <w:rPr>
          <w:rFonts w:ascii="Helvetica" w:hAnsi="Helvetica" w:cs="Helvetica"/>
        </w:rPr>
        <w:t xml:space="preserve">during free time, </w:t>
      </w:r>
      <w:r w:rsidR="003267B1">
        <w:rPr>
          <w:rFonts w:ascii="Helvetica" w:hAnsi="Helvetica" w:cs="Helvetica"/>
        </w:rPr>
        <w:t xml:space="preserve">and </w:t>
      </w:r>
      <w:r w:rsidRPr="00E9553F">
        <w:rPr>
          <w:rFonts w:ascii="Helvetica" w:hAnsi="Helvetica" w:cs="Helvetica"/>
        </w:rPr>
        <w:t xml:space="preserve">in extracurricular activities.  </w:t>
      </w:r>
    </w:p>
    <w:p w14:paraId="4C63BA46" w14:textId="77777777" w:rsidR="000971DA" w:rsidRDefault="000971DA" w:rsidP="00E9553F">
      <w:pPr>
        <w:rPr>
          <w:rFonts w:ascii="Helvetica" w:hAnsi="Helvetica" w:cs="Helvetica"/>
          <w:b/>
          <w:bCs/>
        </w:rPr>
      </w:pPr>
    </w:p>
    <w:p w14:paraId="7466A645" w14:textId="0EB2ABE3" w:rsidR="00E9553F" w:rsidRPr="00E9553F" w:rsidRDefault="00E9553F" w:rsidP="00E9553F">
      <w:pPr>
        <w:rPr>
          <w:rFonts w:ascii="Helvetica" w:hAnsi="Helvetica" w:cs="Helvetica"/>
        </w:rPr>
      </w:pPr>
      <w:r w:rsidRPr="00E9553F">
        <w:rPr>
          <w:rFonts w:ascii="Helvetica" w:hAnsi="Helvetica" w:cs="Helvetica"/>
          <w:b/>
          <w:bCs/>
        </w:rPr>
        <w:t>Example of CC</w:t>
      </w:r>
      <w:r w:rsidR="00033FB0">
        <w:rPr>
          <w:rFonts w:ascii="Helvetica" w:hAnsi="Helvetica" w:cs="Helvetica"/>
          <w:b/>
          <w:bCs/>
        </w:rPr>
        <w:t>R/MyCAP</w:t>
      </w:r>
      <w:r w:rsidR="00542233">
        <w:rPr>
          <w:rFonts w:ascii="Helvetica" w:hAnsi="Helvetica" w:cs="Helvetica"/>
          <w:b/>
          <w:bCs/>
        </w:rPr>
        <w:t xml:space="preserve"> </w:t>
      </w:r>
      <w:r w:rsidR="00033FB0">
        <w:rPr>
          <w:rFonts w:ascii="Helvetica" w:hAnsi="Helvetica" w:cs="Helvetica"/>
          <w:b/>
          <w:bCs/>
        </w:rPr>
        <w:t>Scope and Sequence</w:t>
      </w:r>
      <w:r>
        <w:rPr>
          <w:rFonts w:ascii="Helvetica" w:hAnsi="Helvetica" w:cs="Helveti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908"/>
        <w:gridCol w:w="2792"/>
        <w:gridCol w:w="2333"/>
      </w:tblGrid>
      <w:tr w:rsidR="00E9553F" w14:paraId="2F8D8373" w14:textId="77777777" w:rsidTr="00C10FF3">
        <w:tc>
          <w:tcPr>
            <w:tcW w:w="2317" w:type="dxa"/>
          </w:tcPr>
          <w:p w14:paraId="346D54A5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1908" w:type="dxa"/>
          </w:tcPr>
          <w:p w14:paraId="6155007A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792" w:type="dxa"/>
          </w:tcPr>
          <w:p w14:paraId="15002D8D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333" w:type="dxa"/>
          </w:tcPr>
          <w:p w14:paraId="42E03CE9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E9553F" w:rsidRPr="00E9553F" w14:paraId="0E4044B2" w14:textId="77777777" w:rsidTr="00C10FF3">
        <w:trPr>
          <w:trHeight w:val="476"/>
        </w:trPr>
        <w:tc>
          <w:tcPr>
            <w:tcW w:w="2317" w:type="dxa"/>
          </w:tcPr>
          <w:p w14:paraId="041269F5" w14:textId="2A0ECAE4" w:rsidR="00E9553F" w:rsidRPr="00E9553F" w:rsidRDefault="00E9553F" w:rsidP="00E9553F">
            <w:pPr>
              <w:spacing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E9553F">
              <w:rPr>
                <w:rFonts w:ascii="Helvetica" w:eastAsia="Times New Roman" w:hAnsi="Helvetica" w:cs="Helvetica"/>
                <w:b/>
                <w:bCs/>
                <w:color w:val="333333"/>
              </w:rPr>
              <w:t>DOMAIN</w:t>
            </w:r>
          </w:p>
        </w:tc>
        <w:tc>
          <w:tcPr>
            <w:tcW w:w="1908" w:type="dxa"/>
          </w:tcPr>
          <w:p w14:paraId="517784FD" w14:textId="43B3BD2E" w:rsidR="00E9553F" w:rsidRPr="00E9553F" w:rsidRDefault="00E9553F" w:rsidP="00E9553F">
            <w:pPr>
              <w:spacing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E9553F">
              <w:rPr>
                <w:rFonts w:ascii="Helvetica" w:eastAsia="Times New Roman" w:hAnsi="Helvetica" w:cs="Helvetica"/>
                <w:b/>
                <w:bCs/>
                <w:color w:val="333333"/>
              </w:rPr>
              <w:t>LEARNING OBJECTIVE</w:t>
            </w:r>
          </w:p>
        </w:tc>
        <w:tc>
          <w:tcPr>
            <w:tcW w:w="2792" w:type="dxa"/>
          </w:tcPr>
          <w:p w14:paraId="7135C575" w14:textId="13227CF1" w:rsidR="00C10FF3" w:rsidRPr="00C10FF3" w:rsidRDefault="00E9553F" w:rsidP="00C10FF3">
            <w:pPr>
              <w:spacing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E9553F">
              <w:rPr>
                <w:rFonts w:ascii="Helvetica" w:eastAsia="Times New Roman" w:hAnsi="Helvetica" w:cs="Helvetica"/>
                <w:b/>
                <w:bCs/>
                <w:color w:val="333333"/>
              </w:rPr>
              <w:t>LESSON/ACTIVITIES</w:t>
            </w:r>
            <w:r w:rsidR="00C10FF3">
              <w:rPr>
                <w:rFonts w:ascii="Helvetica" w:eastAsia="Times New Roman" w:hAnsi="Helvetica" w:cs="Helvetica"/>
                <w:b/>
                <w:bCs/>
                <w:color w:val="333333"/>
              </w:rPr>
              <w:t xml:space="preserve">  </w:t>
            </w:r>
            <w:r w:rsidR="00C10FF3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(including who is responsible, when, where)</w:t>
            </w:r>
          </w:p>
        </w:tc>
        <w:tc>
          <w:tcPr>
            <w:tcW w:w="2333" w:type="dxa"/>
          </w:tcPr>
          <w:p w14:paraId="36E51AC2" w14:textId="45D64519" w:rsidR="00E9553F" w:rsidRPr="00E9553F" w:rsidRDefault="00E9553F" w:rsidP="00E9553F">
            <w:pPr>
              <w:spacing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E9553F">
              <w:rPr>
                <w:rFonts w:ascii="Helvetica" w:eastAsia="Times New Roman" w:hAnsi="Helvetica" w:cs="Helvetica"/>
                <w:b/>
                <w:bCs/>
                <w:color w:val="333333"/>
              </w:rPr>
              <w:t>MYCAP DOCUMENTATION</w:t>
            </w:r>
          </w:p>
        </w:tc>
      </w:tr>
      <w:tr w:rsidR="00E9553F" w14:paraId="54520DD2" w14:textId="77777777" w:rsidTr="00C10FF3">
        <w:trPr>
          <w:trHeight w:val="476"/>
        </w:trPr>
        <w:tc>
          <w:tcPr>
            <w:tcW w:w="2317" w:type="dxa"/>
          </w:tcPr>
          <w:p w14:paraId="62F88D38" w14:textId="54008151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Personal/Social</w:t>
            </w:r>
          </w:p>
        </w:tc>
        <w:tc>
          <w:tcPr>
            <w:tcW w:w="1908" w:type="dxa"/>
          </w:tcPr>
          <w:p w14:paraId="744E9141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792" w:type="dxa"/>
          </w:tcPr>
          <w:p w14:paraId="05276ABF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333" w:type="dxa"/>
          </w:tcPr>
          <w:p w14:paraId="5436C5E0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E9553F" w14:paraId="3148D741" w14:textId="77777777" w:rsidTr="00C10FF3">
        <w:trPr>
          <w:trHeight w:val="656"/>
        </w:trPr>
        <w:tc>
          <w:tcPr>
            <w:tcW w:w="2317" w:type="dxa"/>
          </w:tcPr>
          <w:p w14:paraId="7CBC42EF" w14:textId="36BCFEFD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 xml:space="preserve">Career Development </w:t>
            </w:r>
          </w:p>
        </w:tc>
        <w:tc>
          <w:tcPr>
            <w:tcW w:w="1908" w:type="dxa"/>
          </w:tcPr>
          <w:p w14:paraId="5D60BDEA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792" w:type="dxa"/>
          </w:tcPr>
          <w:p w14:paraId="636293D8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333" w:type="dxa"/>
          </w:tcPr>
          <w:p w14:paraId="57CEBD81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E9553F" w14:paraId="4757BCB7" w14:textId="77777777" w:rsidTr="00C10FF3">
        <w:trPr>
          <w:trHeight w:val="728"/>
        </w:trPr>
        <w:tc>
          <w:tcPr>
            <w:tcW w:w="2317" w:type="dxa"/>
          </w:tcPr>
          <w:p w14:paraId="1A264536" w14:textId="13B8FA05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Academic, College, and Career Planning</w:t>
            </w:r>
          </w:p>
        </w:tc>
        <w:tc>
          <w:tcPr>
            <w:tcW w:w="1908" w:type="dxa"/>
          </w:tcPr>
          <w:p w14:paraId="4939D7E6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792" w:type="dxa"/>
          </w:tcPr>
          <w:p w14:paraId="4B1C5DA2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333" w:type="dxa"/>
          </w:tcPr>
          <w:p w14:paraId="1A40E9D8" w14:textId="77777777" w:rsidR="00E9553F" w:rsidRDefault="00E9553F" w:rsidP="00E9553F">
            <w:pPr>
              <w:spacing w:after="100" w:afterAutospacing="1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14:paraId="162DC88F" w14:textId="77777777" w:rsidR="00E9553F" w:rsidRPr="00E9553F" w:rsidRDefault="00E9553F" w:rsidP="00E9553F">
      <w:pPr>
        <w:spacing w:after="100" w:afterAutospacing="1" w:line="240" w:lineRule="auto"/>
        <w:rPr>
          <w:rFonts w:ascii="Helvetica" w:eastAsia="Times New Roman" w:hAnsi="Helvetica" w:cs="Helvetica"/>
          <w:color w:val="333333"/>
        </w:rPr>
      </w:pPr>
    </w:p>
    <w:sectPr w:rsidR="00E9553F" w:rsidRPr="00E955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7069" w14:textId="77777777" w:rsidR="00834870" w:rsidRDefault="00834870" w:rsidP="00FC0506">
      <w:pPr>
        <w:spacing w:after="0" w:line="240" w:lineRule="auto"/>
      </w:pPr>
      <w:r>
        <w:separator/>
      </w:r>
    </w:p>
  </w:endnote>
  <w:endnote w:type="continuationSeparator" w:id="0">
    <w:p w14:paraId="7007BBD5" w14:textId="77777777" w:rsidR="00834870" w:rsidRDefault="00834870" w:rsidP="00FC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90C0" w14:textId="77777777" w:rsidR="005873FD" w:rsidRDefault="00587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7731" w14:textId="77777777" w:rsidR="005873FD" w:rsidRDefault="00587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0BFB" w14:textId="77777777" w:rsidR="005873FD" w:rsidRDefault="00587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72B2" w14:textId="77777777" w:rsidR="00834870" w:rsidRDefault="00834870" w:rsidP="00FC0506">
      <w:pPr>
        <w:spacing w:after="0" w:line="240" w:lineRule="auto"/>
      </w:pPr>
      <w:r>
        <w:separator/>
      </w:r>
    </w:p>
  </w:footnote>
  <w:footnote w:type="continuationSeparator" w:id="0">
    <w:p w14:paraId="633DAE97" w14:textId="77777777" w:rsidR="00834870" w:rsidRDefault="00834870" w:rsidP="00FC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EABD" w14:textId="5A46500A" w:rsidR="00A7774A" w:rsidRDefault="00A7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F606" w14:textId="56798365" w:rsidR="00FC0506" w:rsidRPr="00761E6D" w:rsidRDefault="00FC0506" w:rsidP="005873FD">
    <w:pPr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ind w:left="-1152" w:right="-720"/>
      <w:jc w:val="center"/>
      <w:rPr>
        <w:rFonts w:ascii="Tahoma" w:hAnsi="Tahoma" w:cs="Tahoma"/>
        <w:b/>
        <w:color w:val="1F4E79" w:themeColor="accent1" w:themeShade="80"/>
        <w:sz w:val="44"/>
        <w:szCs w:val="44"/>
      </w:rPr>
    </w:pPr>
    <w:r w:rsidRPr="000971DA">
      <w:rPr>
        <w:rFonts w:ascii="Tahoma" w:hAnsi="Tahoma" w:cs="Tahoma"/>
        <w:b/>
        <w:color w:val="2F5496" w:themeColor="accent5" w:themeShade="BF"/>
        <w:sz w:val="44"/>
        <w:szCs w:val="44"/>
      </w:rPr>
      <w:t>My Career and Academic Plan (MyCAP)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D2AA" w14:textId="08665E8F" w:rsidR="00A7774A" w:rsidRDefault="00A7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DF8"/>
    <w:multiLevelType w:val="hybridMultilevel"/>
    <w:tmpl w:val="E91C7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05DE"/>
    <w:multiLevelType w:val="hybridMultilevel"/>
    <w:tmpl w:val="9AE60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49B6"/>
    <w:multiLevelType w:val="hybridMultilevel"/>
    <w:tmpl w:val="3A206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0618"/>
    <w:multiLevelType w:val="hybridMultilevel"/>
    <w:tmpl w:val="FCBA1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F55B2"/>
    <w:multiLevelType w:val="hybridMultilevel"/>
    <w:tmpl w:val="8794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4F"/>
    <w:rsid w:val="00033FB0"/>
    <w:rsid w:val="00046C28"/>
    <w:rsid w:val="00072FD7"/>
    <w:rsid w:val="000971DA"/>
    <w:rsid w:val="000A24B6"/>
    <w:rsid w:val="00102ED2"/>
    <w:rsid w:val="0016052D"/>
    <w:rsid w:val="00172DCF"/>
    <w:rsid w:val="00176723"/>
    <w:rsid w:val="00186663"/>
    <w:rsid w:val="001C1524"/>
    <w:rsid w:val="00206420"/>
    <w:rsid w:val="00242146"/>
    <w:rsid w:val="002B2AE6"/>
    <w:rsid w:val="002C10E3"/>
    <w:rsid w:val="00317812"/>
    <w:rsid w:val="003267B1"/>
    <w:rsid w:val="00347BB1"/>
    <w:rsid w:val="00351CFE"/>
    <w:rsid w:val="00372508"/>
    <w:rsid w:val="003A022F"/>
    <w:rsid w:val="003C43B7"/>
    <w:rsid w:val="00416776"/>
    <w:rsid w:val="00431AC9"/>
    <w:rsid w:val="004A76F0"/>
    <w:rsid w:val="004D66B7"/>
    <w:rsid w:val="00505BBB"/>
    <w:rsid w:val="005146B4"/>
    <w:rsid w:val="00542233"/>
    <w:rsid w:val="005475C7"/>
    <w:rsid w:val="00561543"/>
    <w:rsid w:val="005873FD"/>
    <w:rsid w:val="005D3D97"/>
    <w:rsid w:val="00602248"/>
    <w:rsid w:val="006533C5"/>
    <w:rsid w:val="006E2463"/>
    <w:rsid w:val="00761E6D"/>
    <w:rsid w:val="00782497"/>
    <w:rsid w:val="00834870"/>
    <w:rsid w:val="008944AE"/>
    <w:rsid w:val="008B63BB"/>
    <w:rsid w:val="00937E31"/>
    <w:rsid w:val="00A043EC"/>
    <w:rsid w:val="00A7774A"/>
    <w:rsid w:val="00B74ECF"/>
    <w:rsid w:val="00BB2FCB"/>
    <w:rsid w:val="00BE2897"/>
    <w:rsid w:val="00C10FF3"/>
    <w:rsid w:val="00C3674F"/>
    <w:rsid w:val="00CC7127"/>
    <w:rsid w:val="00CE1640"/>
    <w:rsid w:val="00D03DDB"/>
    <w:rsid w:val="00D176FD"/>
    <w:rsid w:val="00D32FEC"/>
    <w:rsid w:val="00D55ACD"/>
    <w:rsid w:val="00D81A96"/>
    <w:rsid w:val="00D86F00"/>
    <w:rsid w:val="00E50EE6"/>
    <w:rsid w:val="00E9553F"/>
    <w:rsid w:val="00F53ECE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C5012"/>
  <w15:chartTrackingRefBased/>
  <w15:docId w15:val="{865457FE-223D-444D-9838-225D61F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06"/>
  </w:style>
  <w:style w:type="paragraph" w:styleId="Footer">
    <w:name w:val="footer"/>
    <w:basedOn w:val="Normal"/>
    <w:link w:val="FooterChar"/>
    <w:uiPriority w:val="99"/>
    <w:unhideWhenUsed/>
    <w:rsid w:val="00FC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06"/>
  </w:style>
  <w:style w:type="paragraph" w:styleId="NormalWeb">
    <w:name w:val="Normal (Web)"/>
    <w:basedOn w:val="Normal"/>
    <w:uiPriority w:val="99"/>
    <w:semiHidden/>
    <w:unhideWhenUsed/>
    <w:rsid w:val="00D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DESE-231-73562</_dlc_DocId>
    <_dlc_DocIdUrl xmlns="733efe1c-5bbe-4968-87dc-d400e65c879f">
      <Url>https://sharepoint.doemass.org/ese/webteam/cps/_layouts/DocIdRedir.aspx?ID=DESE-231-73562</Url>
      <Description>DESE-231-73562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C77222-7E1E-48F3-BE20-D11446098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7C605-5B32-42D5-94AB-207DA7D4EAE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A141037-9FBF-41B3-B84D-E3D5D81B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F1EF8-BEB0-4E96-A964-1753C4E011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MyCAP overview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MyCAP overview</dc:title>
  <dc:subject/>
  <dc:creator>DESE</dc:creator>
  <cp:keywords/>
  <dc:description/>
  <cp:lastModifiedBy>Zou, Dong (EOE)</cp:lastModifiedBy>
  <cp:revision>3</cp:revision>
  <dcterms:created xsi:type="dcterms:W3CDTF">2021-09-14T15:55:00Z</dcterms:created>
  <dcterms:modified xsi:type="dcterms:W3CDTF">2021-09-14T19:49:00Z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