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85DC5" w14:textId="73328E23" w:rsidR="00BE667C" w:rsidRDefault="00BA3EC2" w:rsidP="00BA3EC2">
      <w:pPr>
        <w:ind w:left="-270"/>
        <w:jc w:val="both"/>
      </w:pPr>
      <w:r>
        <w:rPr>
          <w:b/>
          <w:noProof/>
          <w:sz w:val="44"/>
          <w:lang w:eastAsia="zh-CN"/>
        </w:rPr>
        <mc:AlternateContent>
          <mc:Choice Requires="wps">
            <w:drawing>
              <wp:anchor distT="0" distB="0" distL="114300" distR="114300" simplePos="0" relativeHeight="251659264" behindDoc="0" locked="0" layoutInCell="1" allowOverlap="1" wp14:anchorId="2724D1B5" wp14:editId="0E973AAD">
                <wp:simplePos x="0" y="0"/>
                <wp:positionH relativeFrom="margin">
                  <wp:posOffset>925830</wp:posOffset>
                </wp:positionH>
                <wp:positionV relativeFrom="paragraph">
                  <wp:posOffset>101600</wp:posOffset>
                </wp:positionV>
                <wp:extent cx="5549900" cy="4572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5549900" cy="457200"/>
                        </a:xfrm>
                        <a:prstGeom prst="rect">
                          <a:avLst/>
                        </a:prstGeom>
                        <a:solidFill>
                          <a:schemeClr val="accent1">
                            <a:lumMod val="40000"/>
                            <a:lumOff val="60000"/>
                          </a:schemeClr>
                        </a:solidFill>
                        <a:ln w="6350">
                          <a:solidFill>
                            <a:prstClr val="black"/>
                          </a:solidFill>
                        </a:ln>
                      </wps:spPr>
                      <wps:txbx>
                        <w:txbxContent>
                          <w:p w14:paraId="0846FE39" w14:textId="70432BAB" w:rsidR="00065951" w:rsidRPr="007A3159" w:rsidRDefault="00065951" w:rsidP="007A3159">
                            <w:pPr>
                              <w:spacing w:after="0" w:line="240" w:lineRule="auto"/>
                              <w:ind w:right="-20"/>
                              <w:rPr>
                                <w:b/>
                                <w:sz w:val="34"/>
                                <w:szCs w:val="34"/>
                              </w:rPr>
                            </w:pPr>
                            <w:r w:rsidRPr="007A3159">
                              <w:rPr>
                                <w:b/>
                                <w:sz w:val="34"/>
                                <w:szCs w:val="34"/>
                              </w:rPr>
                              <w:t>Use EWIS to Prepare Students for</w:t>
                            </w:r>
                            <w:r w:rsidR="007A3159" w:rsidRPr="007A3159">
                              <w:rPr>
                                <w:b/>
                                <w:sz w:val="34"/>
                                <w:szCs w:val="34"/>
                              </w:rPr>
                              <w:t xml:space="preserve"> </w:t>
                            </w:r>
                            <w:r w:rsidRPr="007A3159">
                              <w:rPr>
                                <w:b/>
                                <w:sz w:val="34"/>
                                <w:szCs w:val="34"/>
                              </w:rPr>
                              <w:t>Success after High School</w:t>
                            </w:r>
                          </w:p>
                          <w:p w14:paraId="060581C6" w14:textId="084E5B07" w:rsidR="00BE667C" w:rsidRPr="00E973E6" w:rsidRDefault="00BE667C" w:rsidP="007A3159">
                            <w:pPr>
                              <w:ind w:right="-170"/>
                              <w:jc w:val="center"/>
                              <w:rPr>
                                <w:b/>
                                <w:sz w:val="40"/>
                              </w:rPr>
                            </w:pPr>
                          </w:p>
                          <w:p w14:paraId="1C503FB4" w14:textId="77777777" w:rsidR="00BE667C" w:rsidRDefault="00BE667C" w:rsidP="007A3159">
                            <w:pPr>
                              <w:ind w:right="-170"/>
                            </w:pPr>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4D1B5" id="_x0000_t202" coordsize="21600,21600" o:spt="202" path="m,l,21600r21600,l21600,xe">
                <v:stroke joinstyle="miter"/>
                <v:path gradientshapeok="t" o:connecttype="rect"/>
              </v:shapetype>
              <v:shape id="Text Box 5" o:spid="_x0000_s1026" type="#_x0000_t202" style="position:absolute;left:0;text-align:left;margin-left:72.9pt;margin-top:8pt;width:437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" fillcolor="#bdd6ee [1300]" strokeweight=".5pt">
                <v:textbox>
                  <w:txbxContent>
                    <w:p w14:paraId="0846FE39" w14:textId="70432BAB" w:rsidR="00065951" w:rsidRPr="007A3159" w:rsidRDefault="00065951" w:rsidP="007A3159">
                      <w:pPr>
                        <w:spacing w:after="0" w:line="240" w:lineRule="auto"/>
                        <w:ind w:right="-20"/>
                        <w:rPr>
                          <w:b/>
                          <w:sz w:val="34"/>
                          <w:szCs w:val="34"/>
                        </w:rPr>
                      </w:pPr>
                      <w:r w:rsidRPr="007A3159">
                        <w:rPr>
                          <w:b/>
                          <w:sz w:val="34"/>
                          <w:szCs w:val="34"/>
                        </w:rPr>
                        <w:t>Use EWIS to Prepare Students for</w:t>
                      </w:r>
                      <w:r w:rsidR="007A3159" w:rsidRPr="007A3159">
                        <w:rPr>
                          <w:b/>
                          <w:sz w:val="34"/>
                          <w:szCs w:val="34"/>
                        </w:rPr>
                        <w:t xml:space="preserve"> </w:t>
                      </w:r>
                      <w:r w:rsidRPr="007A3159">
                        <w:rPr>
                          <w:b/>
                          <w:sz w:val="34"/>
                          <w:szCs w:val="34"/>
                        </w:rPr>
                        <w:t>Success after High School</w:t>
                      </w:r>
                    </w:p>
                    <w:p w14:paraId="060581C6" w14:textId="084E5B07" w:rsidR="00BE667C" w:rsidRPr="00E973E6" w:rsidRDefault="00BE667C" w:rsidP="007A3159">
                      <w:pPr>
                        <w:ind w:right="-170"/>
                        <w:jc w:val="center"/>
                        <w:rPr>
                          <w:b/>
                          <w:sz w:val="40"/>
                        </w:rPr>
                      </w:pPr>
                    </w:p>
                    <w:p w14:paraId="1C503FB4" w14:textId="77777777" w:rsidR="00BE667C" w:rsidRDefault="00BE667C" w:rsidP="007A3159">
                      <w:pPr>
                        <w:ind w:right="-170"/>
                      </w:pPr>
                      <w:r>
                        <w:t>z</w:t>
                      </w:r>
                    </w:p>
                  </w:txbxContent>
                </v:textbox>
                <w10:wrap anchorx="margin"/>
              </v:shape>
            </w:pict>
          </mc:Fallback>
        </mc:AlternateContent>
      </w:r>
      <w:r w:rsidRPr="00540A60">
        <w:rPr>
          <w:noProof/>
          <w:lang w:eastAsia="zh-CN"/>
        </w:rPr>
        <w:drawing>
          <wp:inline distT="0" distB="0" distL="0" distR="0" wp14:anchorId="7660D8AD" wp14:editId="7C75722C">
            <wp:extent cx="1088390" cy="529319"/>
            <wp:effectExtent l="0" t="0" r="0" b="0"/>
            <wp:docPr id="7" name="图片 6" descr="ESE logo.">
              <a:extLst xmlns:a="http://schemas.openxmlformats.org/drawingml/2006/main">
                <a:ext uri="{FF2B5EF4-FFF2-40B4-BE49-F238E27FC236}">
                  <a16:creationId xmlns:a16="http://schemas.microsoft.com/office/drawing/2014/main" id="{C0409D6F-5022-4C54-A665-4417B8EF04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ESE logo.">
                      <a:extLst>
                        <a:ext uri="{FF2B5EF4-FFF2-40B4-BE49-F238E27FC236}">
                          <a16:creationId xmlns:a16="http://schemas.microsoft.com/office/drawing/2014/main" id="{C0409D6F-5022-4C54-A665-4417B8EF049C}"/>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097983" cy="533984"/>
                    </a:xfrm>
                    <a:prstGeom prst="rect">
                      <a:avLst/>
                    </a:prstGeom>
                  </pic:spPr>
                </pic:pic>
              </a:graphicData>
            </a:graphic>
          </wp:inline>
        </w:drawing>
      </w:r>
    </w:p>
    <w:tbl>
      <w:tblPr>
        <w:tblStyle w:val="TableGrid"/>
        <w:tblW w:w="10435" w:type="dxa"/>
        <w:tblInd w:w="-185" w:type="dxa"/>
        <w:tblLook w:val="04A0" w:firstRow="1" w:lastRow="0" w:firstColumn="1" w:lastColumn="0" w:noHBand="0" w:noVBand="1"/>
        <w:tblDescription w:val="The challenge:&#10;Massachusetts graduations rates have increased over the past decade, to 88% in 2017 &#10;yet&#10;there are deep gaps in high school graduation rates between student groups across Massachusetts .&#10;&#10;How can all students be set up for success? &#10;DESE developed the EWIS to help districts understand who is at risk of missing key academic milestones, to intervene early and prepare all students for success. EWIS: A data-informed approach&#10;With the Early Warning Indicator System (EWIS) reports, educators can see exactly who is at risk of not graduating, beginning with students entering 10th grade. &#10;Using early warning tools and local context, educators explore underlying factors leading to academic risk and respond based on the strengths and needs of their students. &#10;This data-driven approach may lead to interventions at the individual, small group, and school- or district-wide levels. &#10;How does it work? &#10;&#10;• Early in the year, review EWIS reports to understand who is at risk.&#10;&#10;• Then, explore causes to determine why they are at risk. For example: Are students who are missing more than 10% of school days having health issues, or unstable transportation, or are they disengaging from school?&#10;&#10;• After considering why students are at risk, assign supports. &#10;&#10;• Then, monitor risk through the year to ensure supports are having desired effects. By tracking ABCs (Attendance, Behavior and Course selection &amp; performance) educators can update their view of which students are still at risk and adjust supports throughout the year.&#10;&#10;See the reverse for more about a data inquiry cycle. Here are some examples:&#10;&#10;With the help of EWIS, school counselors in one school saw tardiness increasing among students who were at risk. Knowing tardiness is an early sign of disengaging from school, they intervened quickly and offered lunchtime dance parties to grade teams with the lowest tardy rates – a huge hit!&#10;&#10;Another counselor learned that many of her English Language Learner students were flagged in EWIS. She repeatedly heard they felt isolated at school. She gathered them regularly, giving a space to relax and connect. Though their stories varied, they bonded over shared experiences – developing close friendships and strengthening their sense of belonging at school. &#10;&#10;These strategies might not suit your students – and that’s OK! Build context from a school climate survey, student feedback, or simply what you know about your students, and craft something that works for them. &#10;&#10;What are the ABCs and how do we monitor them?&#10;EWIS reflects students’ risk at the beginning of each year. To see who is at risk throughout the year – and if interventions need to be changed – monitor Attendance, Behavior and Course selection &amp; performance. &#10;Here’s how:&#10;• Decide which indicators to use – just attendance, or all three – and how to get it for your students.&#10;• Set risk thresholds: 90% attendance, 1 behavior incident, 1 failing course – or adjust for your context.&#10;• After the first marking period, gather all the pieces and combine them in one file.&#10;• Check to see who’s still at risk and no longer at risk.&#10;• With colleagues, reflect on students’ progress, diagnose any new needs and adjust supports.&#10;"/>
      </w:tblPr>
      <w:tblGrid>
        <w:gridCol w:w="5125"/>
        <w:gridCol w:w="5310"/>
      </w:tblGrid>
      <w:tr w:rsidR="00BE667C" w14:paraId="6C5A4069" w14:textId="77777777" w:rsidTr="00352253">
        <w:trPr>
          <w:trHeight w:val="3320"/>
          <w:tblHeader/>
        </w:trPr>
        <w:tc>
          <w:tcPr>
            <w:tcW w:w="5125" w:type="dxa"/>
            <w:tcBorders>
              <w:bottom w:val="thinThickLargeGap" w:sz="24" w:space="0" w:color="auto"/>
            </w:tcBorders>
          </w:tcPr>
          <w:p w14:paraId="41F60CD3" w14:textId="77777777" w:rsidR="00496D8C" w:rsidRPr="002C437C" w:rsidRDefault="00496D8C" w:rsidP="00496D8C">
            <w:pPr>
              <w:jc w:val="center"/>
              <w:rPr>
                <w:b/>
                <w:color w:val="1F4E79" w:themeColor="accent1" w:themeShade="80"/>
                <w:sz w:val="28"/>
                <w:szCs w:val="28"/>
              </w:rPr>
            </w:pPr>
            <w:r w:rsidRPr="002C437C">
              <w:rPr>
                <w:b/>
                <w:color w:val="1F4E79" w:themeColor="accent1" w:themeShade="80"/>
                <w:sz w:val="28"/>
                <w:szCs w:val="28"/>
              </w:rPr>
              <w:t>The challenge:</w:t>
            </w:r>
          </w:p>
          <w:p w14:paraId="3EA3C580" w14:textId="6E42FBB8" w:rsidR="00065951" w:rsidRDefault="00065951" w:rsidP="00065951">
            <w:pPr>
              <w:jc w:val="center"/>
            </w:pPr>
            <w:r>
              <w:t>Massachusetts g</w:t>
            </w:r>
            <w:r w:rsidR="00BD7E94">
              <w:t>raduation</w:t>
            </w:r>
            <w:r w:rsidR="006B6296">
              <w:t xml:space="preserve"> rates</w:t>
            </w:r>
            <w:r w:rsidR="00F93A8A">
              <w:t xml:space="preserve"> have increased</w:t>
            </w:r>
            <w:r w:rsidR="006B6296">
              <w:t xml:space="preserve"> </w:t>
            </w:r>
            <w:r>
              <w:t xml:space="preserve">over the past </w:t>
            </w:r>
            <w:r w:rsidR="00F93A8A">
              <w:t>decade</w:t>
            </w:r>
            <w:r>
              <w:t>,</w:t>
            </w:r>
            <w:r w:rsidR="006B6296">
              <w:t xml:space="preserve"> to 8</w:t>
            </w:r>
            <w:r w:rsidR="00B8371B">
              <w:t>9.8</w:t>
            </w:r>
            <w:r w:rsidR="006B6296">
              <w:t>% in 20</w:t>
            </w:r>
            <w:r w:rsidR="00B8371B">
              <w:t>21</w:t>
            </w:r>
            <w:r w:rsidR="006B6296">
              <w:rPr>
                <w:rStyle w:val="FootnoteReference"/>
              </w:rPr>
              <w:footnoteReference w:id="1"/>
            </w:r>
          </w:p>
          <w:p w14:paraId="77D54672" w14:textId="2BDC9BF7" w:rsidR="00496D8C" w:rsidRPr="00B2282E" w:rsidRDefault="00065951" w:rsidP="00065951">
            <w:pPr>
              <w:jc w:val="center"/>
            </w:pPr>
            <w:r>
              <w:t>yet</w:t>
            </w:r>
          </w:p>
          <w:p w14:paraId="4BFC6E7C" w14:textId="73ED3B64" w:rsidR="00496D8C" w:rsidRPr="00B2282E" w:rsidRDefault="00065951" w:rsidP="00D26938">
            <w:pPr>
              <w:jc w:val="center"/>
            </w:pPr>
            <w:r>
              <w:t>t</w:t>
            </w:r>
            <w:r w:rsidR="007A3159">
              <w:t xml:space="preserve">here are </w:t>
            </w:r>
            <w:r w:rsidR="00496D8C" w:rsidRPr="00B2282E">
              <w:t xml:space="preserve">deep gaps in </w:t>
            </w:r>
            <w:r w:rsidR="006B6296">
              <w:t>high school graduation</w:t>
            </w:r>
            <w:r w:rsidR="00496D8C" w:rsidRPr="00B2282E">
              <w:t xml:space="preserve"> </w:t>
            </w:r>
            <w:r w:rsidR="006B6296">
              <w:t xml:space="preserve">rates </w:t>
            </w:r>
            <w:r w:rsidR="00496D8C" w:rsidRPr="007A3159">
              <w:t>between student groups across Massachusetts</w:t>
            </w:r>
            <w:r w:rsidR="00496D8C" w:rsidRPr="007A3159">
              <w:rPr>
                <w:rStyle w:val="FootnoteReference"/>
              </w:rPr>
              <w:footnoteReference w:id="2"/>
            </w:r>
            <w:r w:rsidRPr="007A3159">
              <w:t>.</w:t>
            </w:r>
          </w:p>
          <w:p w14:paraId="1F611A26" w14:textId="77777777" w:rsidR="00D26938" w:rsidRDefault="00D26938" w:rsidP="00D26938">
            <w:pPr>
              <w:rPr>
                <w:b/>
                <w:color w:val="1F4E79" w:themeColor="accent1" w:themeShade="80"/>
                <w:sz w:val="27"/>
                <w:szCs w:val="27"/>
              </w:rPr>
            </w:pPr>
          </w:p>
          <w:p w14:paraId="6B420E98" w14:textId="74EF6776" w:rsidR="00496D8C" w:rsidRPr="002C437C" w:rsidRDefault="00496D8C" w:rsidP="00D26938">
            <w:pPr>
              <w:rPr>
                <w:b/>
                <w:color w:val="1F4E79" w:themeColor="accent1" w:themeShade="80"/>
                <w:sz w:val="27"/>
                <w:szCs w:val="27"/>
              </w:rPr>
            </w:pPr>
            <w:r w:rsidRPr="002C437C">
              <w:rPr>
                <w:b/>
                <w:color w:val="1F4E79" w:themeColor="accent1" w:themeShade="80"/>
                <w:sz w:val="27"/>
                <w:szCs w:val="27"/>
              </w:rPr>
              <w:t xml:space="preserve">How </w:t>
            </w:r>
            <w:r w:rsidR="002C437C" w:rsidRPr="002C437C">
              <w:rPr>
                <w:b/>
                <w:color w:val="1F4E79" w:themeColor="accent1" w:themeShade="80"/>
                <w:sz w:val="27"/>
                <w:szCs w:val="27"/>
              </w:rPr>
              <w:t>can</w:t>
            </w:r>
            <w:r w:rsidRPr="002C437C">
              <w:rPr>
                <w:b/>
                <w:color w:val="1F4E79" w:themeColor="accent1" w:themeShade="80"/>
                <w:sz w:val="27"/>
                <w:szCs w:val="27"/>
              </w:rPr>
              <w:t xml:space="preserve"> all students be set up for success? </w:t>
            </w:r>
          </w:p>
          <w:p w14:paraId="3E4D55DE" w14:textId="55088564" w:rsidR="00496D8C" w:rsidRDefault="00496D8C" w:rsidP="00C54EC5">
            <w:r>
              <w:t xml:space="preserve">DESE developed the EWIS to help districts understand who is at risk of missing </w:t>
            </w:r>
            <w:r w:rsidR="006B6296">
              <w:t>key academic</w:t>
            </w:r>
            <w:r w:rsidR="00065951">
              <w:t xml:space="preserve"> milestones, to </w:t>
            </w:r>
            <w:r>
              <w:t xml:space="preserve">intervene early and prepare </w:t>
            </w:r>
            <w:r w:rsidR="00C54EC5">
              <w:t xml:space="preserve">all </w:t>
            </w:r>
            <w:r>
              <w:t>student</w:t>
            </w:r>
            <w:r w:rsidR="00C54EC5">
              <w:t>s</w:t>
            </w:r>
            <w:r w:rsidR="00D26938">
              <w:t xml:space="preserve"> for success.</w:t>
            </w:r>
          </w:p>
        </w:tc>
        <w:tc>
          <w:tcPr>
            <w:tcW w:w="5310" w:type="dxa"/>
            <w:tcBorders>
              <w:bottom w:val="thinThickLargeGap" w:sz="24" w:space="0" w:color="auto"/>
            </w:tcBorders>
          </w:tcPr>
          <w:p w14:paraId="33941DDB" w14:textId="05D21FBC" w:rsidR="00496D8C" w:rsidRPr="002C437C" w:rsidRDefault="009171F9" w:rsidP="007929AC">
            <w:pPr>
              <w:jc w:val="center"/>
              <w:rPr>
                <w:b/>
                <w:color w:val="1F4E79" w:themeColor="accent1" w:themeShade="80"/>
                <w:sz w:val="28"/>
                <w:szCs w:val="28"/>
              </w:rPr>
            </w:pPr>
            <w:hyperlink r:id="rId13" w:history="1">
              <w:r w:rsidR="002C437C" w:rsidRPr="00B71648">
                <w:rPr>
                  <w:rStyle w:val="Hyperlink"/>
                  <w:b/>
                  <w:sz w:val="28"/>
                  <w:szCs w:val="28"/>
                </w:rPr>
                <w:t xml:space="preserve">EWIS: </w:t>
              </w:r>
              <w:r w:rsidR="00496D8C" w:rsidRPr="00B71648">
                <w:rPr>
                  <w:rStyle w:val="Hyperlink"/>
                  <w:b/>
                  <w:sz w:val="28"/>
                  <w:szCs w:val="28"/>
                </w:rPr>
                <w:t>A data-informed approach</w:t>
              </w:r>
            </w:hyperlink>
          </w:p>
          <w:p w14:paraId="1DEBBE3E" w14:textId="57660C8F" w:rsidR="007A3159" w:rsidRDefault="006B6296" w:rsidP="007A3159">
            <w:pPr>
              <w:spacing w:after="120"/>
            </w:pPr>
            <w:r w:rsidRPr="002A7C2E">
              <w:t xml:space="preserve">With </w:t>
            </w:r>
            <w:r w:rsidR="00000432">
              <w:t>the Early Warning Indicator System (</w:t>
            </w:r>
            <w:r w:rsidRPr="002A7C2E">
              <w:t>EWIS</w:t>
            </w:r>
            <w:r w:rsidR="00000432">
              <w:t>)</w:t>
            </w:r>
            <w:r w:rsidR="00B71648">
              <w:t xml:space="preserve"> reports, </w:t>
            </w:r>
            <w:r w:rsidRPr="002A7C2E">
              <w:t xml:space="preserve">educators can see </w:t>
            </w:r>
            <w:r w:rsidRPr="00D26938">
              <w:rPr>
                <w:i/>
              </w:rPr>
              <w:t>exactly</w:t>
            </w:r>
            <w:r>
              <w:t xml:space="preserve"> who is at risk of not graduating, beginning </w:t>
            </w:r>
            <w:r w:rsidR="00D26938">
              <w:t>w</w:t>
            </w:r>
            <w:r w:rsidR="007A3159">
              <w:t>ith</w:t>
            </w:r>
            <w:r>
              <w:t xml:space="preserve"> students </w:t>
            </w:r>
            <w:r w:rsidR="007A3159">
              <w:t>entering</w:t>
            </w:r>
            <w:r w:rsidR="00D26938">
              <w:t xml:space="preserve"> </w:t>
            </w:r>
            <w:r>
              <w:t>10</w:t>
            </w:r>
            <w:r w:rsidRPr="003C2AB5">
              <w:rPr>
                <w:vertAlign w:val="superscript"/>
              </w:rPr>
              <w:t>th</w:t>
            </w:r>
            <w:r>
              <w:t xml:space="preserve"> grade. </w:t>
            </w:r>
          </w:p>
          <w:p w14:paraId="58EB5E74" w14:textId="2C64465A" w:rsidR="007A3159" w:rsidRDefault="00AE20C3" w:rsidP="007A3159">
            <w:pPr>
              <w:spacing w:after="120"/>
              <w:rPr>
                <w:rFonts w:cstheme="minorHAnsi"/>
              </w:rPr>
            </w:pPr>
            <w:r>
              <w:t>Using early warning tools and local context, educators explore underlying factors leading to academic risk and respond based on the strengths and needs of their students</w:t>
            </w:r>
            <w:r>
              <w:rPr>
                <w:rFonts w:cstheme="minorHAnsi"/>
              </w:rPr>
              <w:t xml:space="preserve">. </w:t>
            </w:r>
          </w:p>
          <w:p w14:paraId="2EBEE4BF" w14:textId="589377B5" w:rsidR="00000432" w:rsidRPr="00D26938" w:rsidRDefault="00AE20C3" w:rsidP="007A3159">
            <w:pPr>
              <w:ind w:left="-5"/>
            </w:pPr>
            <w:r>
              <w:t xml:space="preserve">This data-driven approach may lead to interventions at the individual, small group, and school- or district-wide levels. </w:t>
            </w:r>
          </w:p>
        </w:tc>
      </w:tr>
      <w:tr w:rsidR="00D05BFE" w14:paraId="7B1737CD" w14:textId="77777777" w:rsidTr="00352253">
        <w:trPr>
          <w:trHeight w:val="3092"/>
          <w:tblHeader/>
        </w:trPr>
        <w:tc>
          <w:tcPr>
            <w:tcW w:w="5125" w:type="dxa"/>
            <w:tcBorders>
              <w:top w:val="thinThickLargeGap" w:sz="24" w:space="0" w:color="auto"/>
              <w:bottom w:val="thinThickLargeGap" w:sz="24" w:space="0" w:color="auto"/>
            </w:tcBorders>
          </w:tcPr>
          <w:p w14:paraId="1FC3433D" w14:textId="5C4BEDAB" w:rsidR="00496D8C" w:rsidRDefault="00496D8C" w:rsidP="003925B2">
            <w:pPr>
              <w:rPr>
                <w:rFonts w:cstheme="minorHAnsi"/>
                <w:b/>
                <w:color w:val="1F4E79" w:themeColor="accent1" w:themeShade="80"/>
                <w:sz w:val="28"/>
                <w:szCs w:val="28"/>
              </w:rPr>
            </w:pPr>
            <w:r w:rsidRPr="00BA3EC2">
              <w:rPr>
                <w:rFonts w:cstheme="minorHAnsi"/>
                <w:b/>
                <w:color w:val="1F4E79" w:themeColor="accent1" w:themeShade="80"/>
                <w:sz w:val="28"/>
                <w:szCs w:val="28"/>
              </w:rPr>
              <w:t xml:space="preserve">How does it work? </w:t>
            </w:r>
          </w:p>
          <w:p w14:paraId="1F863C81" w14:textId="77777777" w:rsidR="004E6EFD" w:rsidRPr="004E6EFD" w:rsidRDefault="004E6EFD" w:rsidP="004E6EFD">
            <w:pPr>
              <w:rPr>
                <w:rFonts w:cstheme="minorHAnsi"/>
                <w:sz w:val="12"/>
              </w:rPr>
            </w:pPr>
          </w:p>
          <w:p w14:paraId="5C769792" w14:textId="55372FC7" w:rsidR="00496D8C" w:rsidRDefault="00496D8C" w:rsidP="003925B2">
            <w:pPr>
              <w:pStyle w:val="ListParagraph"/>
              <w:numPr>
                <w:ilvl w:val="0"/>
                <w:numId w:val="1"/>
              </w:numPr>
              <w:ind w:left="360"/>
              <w:rPr>
                <w:rFonts w:cstheme="minorHAnsi"/>
              </w:rPr>
            </w:pPr>
            <w:r w:rsidRPr="00496D8C">
              <w:rPr>
                <w:rFonts w:cstheme="minorHAnsi"/>
              </w:rPr>
              <w:t>Early in the year,</w:t>
            </w:r>
            <w:r w:rsidRPr="00496D8C">
              <w:rPr>
                <w:rFonts w:cstheme="minorHAnsi"/>
                <w:b/>
              </w:rPr>
              <w:t xml:space="preserve"> </w:t>
            </w:r>
            <w:hyperlink r:id="rId14" w:history="1">
              <w:r w:rsidRPr="00496D8C">
                <w:rPr>
                  <w:rStyle w:val="Hyperlink"/>
                  <w:rFonts w:cstheme="minorHAnsi"/>
                  <w:b/>
                </w:rPr>
                <w:t>review EWIS</w:t>
              </w:r>
            </w:hyperlink>
            <w:r w:rsidRPr="00496D8C">
              <w:rPr>
                <w:rFonts w:cstheme="minorHAnsi"/>
              </w:rPr>
              <w:t xml:space="preserve"> reports to understand </w:t>
            </w:r>
            <w:r w:rsidRPr="00496D8C">
              <w:rPr>
                <w:rFonts w:cstheme="minorHAnsi"/>
                <w:i/>
              </w:rPr>
              <w:t>who</w:t>
            </w:r>
            <w:r w:rsidRPr="00496D8C">
              <w:rPr>
                <w:rFonts w:cstheme="minorHAnsi"/>
              </w:rPr>
              <w:t xml:space="preserve"> is at r</w:t>
            </w:r>
            <w:r w:rsidR="004143DD">
              <w:rPr>
                <w:rFonts w:cstheme="minorHAnsi"/>
              </w:rPr>
              <w:t>isk.</w:t>
            </w:r>
          </w:p>
          <w:p w14:paraId="28068DDE" w14:textId="77777777" w:rsidR="00D63975" w:rsidRPr="00D63975" w:rsidRDefault="00D63975" w:rsidP="00CF6383">
            <w:pPr>
              <w:pStyle w:val="ListParagraph"/>
              <w:spacing w:after="120"/>
              <w:ind w:left="360"/>
              <w:rPr>
                <w:rFonts w:cstheme="minorHAnsi"/>
                <w:sz w:val="12"/>
                <w:szCs w:val="12"/>
              </w:rPr>
            </w:pPr>
          </w:p>
          <w:p w14:paraId="0F519B8F" w14:textId="159B3E02" w:rsidR="00BA3EC2" w:rsidRDefault="00496D8C" w:rsidP="00CF6383">
            <w:pPr>
              <w:pStyle w:val="ListParagraph"/>
              <w:numPr>
                <w:ilvl w:val="0"/>
                <w:numId w:val="1"/>
              </w:numPr>
              <w:spacing w:after="120"/>
              <w:ind w:left="360"/>
              <w:rPr>
                <w:rFonts w:cstheme="minorHAnsi"/>
              </w:rPr>
            </w:pPr>
            <w:r w:rsidRPr="00D63975">
              <w:rPr>
                <w:rFonts w:cstheme="minorHAnsi"/>
              </w:rPr>
              <w:t>Then,</w:t>
            </w:r>
            <w:r w:rsidRPr="00D63975">
              <w:rPr>
                <w:rFonts w:cstheme="minorHAnsi"/>
                <w:b/>
              </w:rPr>
              <w:t xml:space="preserve"> explore causes </w:t>
            </w:r>
            <w:r w:rsidRPr="00D63975">
              <w:rPr>
                <w:rFonts w:cstheme="minorHAnsi"/>
              </w:rPr>
              <w:t xml:space="preserve">to determine </w:t>
            </w:r>
            <w:r w:rsidRPr="00CF6383">
              <w:rPr>
                <w:rFonts w:cstheme="minorHAnsi"/>
                <w:i/>
              </w:rPr>
              <w:t>why</w:t>
            </w:r>
            <w:r w:rsidRPr="00D63975">
              <w:rPr>
                <w:rFonts w:cstheme="minorHAnsi"/>
              </w:rPr>
              <w:t xml:space="preserve"> they are at risk. </w:t>
            </w:r>
            <w:r w:rsidR="00BA3EC2" w:rsidRPr="00D63975">
              <w:rPr>
                <w:rFonts w:cstheme="minorHAnsi"/>
              </w:rPr>
              <w:t xml:space="preserve">For example: </w:t>
            </w:r>
            <w:r w:rsidR="006B6296" w:rsidRPr="0029557B">
              <w:rPr>
                <w:rFonts w:cstheme="minorHAnsi"/>
              </w:rPr>
              <w:t>Are students</w:t>
            </w:r>
            <w:r w:rsidR="006B6296">
              <w:rPr>
                <w:rFonts w:cstheme="minorHAnsi"/>
              </w:rPr>
              <w:t xml:space="preserve"> who are missing more than 10% of school days having health issues, or unsta</w:t>
            </w:r>
            <w:r w:rsidR="00CF6383">
              <w:rPr>
                <w:rFonts w:cstheme="minorHAnsi"/>
              </w:rPr>
              <w:t xml:space="preserve">ble transportation, or are they </w:t>
            </w:r>
            <w:r w:rsidR="006B6296">
              <w:rPr>
                <w:rFonts w:cstheme="minorHAnsi"/>
              </w:rPr>
              <w:t>disengaging from sc</w:t>
            </w:r>
            <w:r w:rsidR="00CF6383">
              <w:rPr>
                <w:rFonts w:cstheme="minorHAnsi"/>
              </w:rPr>
              <w:t>hool?</w:t>
            </w:r>
          </w:p>
          <w:p w14:paraId="7191BBE0" w14:textId="77777777" w:rsidR="00D63975" w:rsidRPr="00D63975" w:rsidRDefault="00D63975" w:rsidP="00CF6383">
            <w:pPr>
              <w:pStyle w:val="ListParagraph"/>
              <w:spacing w:after="120"/>
              <w:ind w:left="360"/>
              <w:rPr>
                <w:rFonts w:cstheme="minorHAnsi"/>
                <w:sz w:val="12"/>
                <w:szCs w:val="12"/>
              </w:rPr>
            </w:pPr>
          </w:p>
          <w:p w14:paraId="1253C3DB" w14:textId="59A81DA0" w:rsidR="00BA3EC2" w:rsidRDefault="00BA3EC2" w:rsidP="00CF6383">
            <w:pPr>
              <w:pStyle w:val="ListParagraph"/>
              <w:numPr>
                <w:ilvl w:val="0"/>
                <w:numId w:val="1"/>
              </w:numPr>
              <w:spacing w:after="120"/>
              <w:ind w:left="360"/>
              <w:rPr>
                <w:rFonts w:cstheme="minorHAnsi"/>
              </w:rPr>
            </w:pPr>
            <w:r>
              <w:rPr>
                <w:rFonts w:cstheme="minorHAnsi"/>
              </w:rPr>
              <w:t xml:space="preserve">After considering why students are at risk, </w:t>
            </w:r>
            <w:r w:rsidR="00496D8C" w:rsidRPr="00496D8C">
              <w:rPr>
                <w:rFonts w:cstheme="minorHAnsi"/>
                <w:b/>
              </w:rPr>
              <w:t>assig</w:t>
            </w:r>
            <w:r>
              <w:rPr>
                <w:rFonts w:cstheme="minorHAnsi"/>
                <w:b/>
              </w:rPr>
              <w:t>n</w:t>
            </w:r>
            <w:r w:rsidR="00496D8C" w:rsidRPr="00496D8C">
              <w:rPr>
                <w:rFonts w:cstheme="minorHAnsi"/>
                <w:b/>
              </w:rPr>
              <w:t xml:space="preserve"> supports</w:t>
            </w:r>
            <w:r w:rsidR="00496D8C" w:rsidRPr="00496D8C">
              <w:rPr>
                <w:rFonts w:cstheme="minorHAnsi"/>
              </w:rPr>
              <w:t xml:space="preserve">. </w:t>
            </w:r>
          </w:p>
          <w:p w14:paraId="21856941" w14:textId="77777777" w:rsidR="00D63975" w:rsidRPr="00D63975" w:rsidRDefault="00D63975" w:rsidP="00CF6383">
            <w:pPr>
              <w:pStyle w:val="ListParagraph"/>
              <w:spacing w:after="120"/>
              <w:ind w:left="360"/>
              <w:rPr>
                <w:rFonts w:cstheme="minorHAnsi"/>
                <w:sz w:val="12"/>
                <w:szCs w:val="12"/>
              </w:rPr>
            </w:pPr>
          </w:p>
          <w:p w14:paraId="499648EA" w14:textId="78FA2CCA" w:rsidR="00496D8C" w:rsidRPr="00496D8C" w:rsidRDefault="00496D8C" w:rsidP="00D26938">
            <w:pPr>
              <w:pStyle w:val="ListParagraph"/>
              <w:numPr>
                <w:ilvl w:val="0"/>
                <w:numId w:val="1"/>
              </w:numPr>
              <w:ind w:left="360"/>
              <w:rPr>
                <w:rFonts w:cstheme="minorHAnsi"/>
              </w:rPr>
            </w:pPr>
            <w:r w:rsidRPr="00496D8C">
              <w:rPr>
                <w:rFonts w:cstheme="minorHAnsi"/>
              </w:rPr>
              <w:t xml:space="preserve">Then, </w:t>
            </w:r>
            <w:r w:rsidRPr="00496D8C">
              <w:rPr>
                <w:rFonts w:cstheme="minorHAnsi"/>
                <w:b/>
              </w:rPr>
              <w:t xml:space="preserve">monitor risk through the year </w:t>
            </w:r>
            <w:r w:rsidRPr="00496D8C">
              <w:rPr>
                <w:rFonts w:cstheme="minorHAnsi"/>
              </w:rPr>
              <w:t xml:space="preserve">to ensure supports are having desired effects. </w:t>
            </w:r>
            <w:r w:rsidR="00D63975">
              <w:rPr>
                <w:rFonts w:cstheme="minorHAnsi"/>
              </w:rPr>
              <w:t>By</w:t>
            </w:r>
            <w:r w:rsidRPr="00496D8C">
              <w:rPr>
                <w:rFonts w:cstheme="minorHAnsi"/>
              </w:rPr>
              <w:t xml:space="preserve"> tracking ABCs (</w:t>
            </w:r>
            <w:r w:rsidR="00BA3EC2" w:rsidRPr="00BA3EC2">
              <w:rPr>
                <w:rFonts w:cstheme="minorHAnsi"/>
                <w:b/>
              </w:rPr>
              <w:t>A</w:t>
            </w:r>
            <w:r w:rsidRPr="00496D8C">
              <w:rPr>
                <w:rFonts w:cstheme="minorHAnsi"/>
              </w:rPr>
              <w:t xml:space="preserve">ttendance, </w:t>
            </w:r>
            <w:r w:rsidR="00BA3EC2" w:rsidRPr="00BA3EC2">
              <w:rPr>
                <w:rFonts w:cstheme="minorHAnsi"/>
                <w:b/>
              </w:rPr>
              <w:t>B</w:t>
            </w:r>
            <w:r w:rsidRPr="00496D8C">
              <w:rPr>
                <w:rFonts w:cstheme="minorHAnsi"/>
              </w:rPr>
              <w:t xml:space="preserve">ehavior and </w:t>
            </w:r>
            <w:r w:rsidR="00BA3EC2" w:rsidRPr="00BA3EC2">
              <w:rPr>
                <w:rFonts w:cstheme="minorHAnsi"/>
                <w:b/>
              </w:rPr>
              <w:t>C</w:t>
            </w:r>
            <w:r w:rsidRPr="00496D8C">
              <w:rPr>
                <w:rFonts w:cstheme="minorHAnsi"/>
              </w:rPr>
              <w:t>ourse selection &amp; performance) educators can update their view of which students are st</w:t>
            </w:r>
            <w:r w:rsidR="00EC11E7">
              <w:rPr>
                <w:rFonts w:cstheme="minorHAnsi"/>
              </w:rPr>
              <w:t>ill at risk and adjust supports throughout the year.</w:t>
            </w:r>
          </w:p>
          <w:p w14:paraId="3F918C75" w14:textId="77777777" w:rsidR="00D26938" w:rsidRPr="004E6EFD" w:rsidRDefault="00D26938" w:rsidP="00D26938">
            <w:pPr>
              <w:rPr>
                <w:b/>
                <w:i/>
                <w:sz w:val="18"/>
              </w:rPr>
            </w:pPr>
          </w:p>
          <w:p w14:paraId="3E7B7760" w14:textId="57284951" w:rsidR="00496D8C" w:rsidRPr="00502029" w:rsidRDefault="00496D8C" w:rsidP="00D26938">
            <w:pPr>
              <w:rPr>
                <w:b/>
                <w:i/>
              </w:rPr>
            </w:pPr>
            <w:r w:rsidRPr="00502029">
              <w:rPr>
                <w:b/>
                <w:i/>
              </w:rPr>
              <w:t xml:space="preserve">See the reverse for more </w:t>
            </w:r>
            <w:r w:rsidR="00CF6383">
              <w:rPr>
                <w:b/>
                <w:i/>
              </w:rPr>
              <w:t>about</w:t>
            </w:r>
            <w:r w:rsidRPr="00502029">
              <w:rPr>
                <w:b/>
                <w:i/>
              </w:rPr>
              <w:t xml:space="preserve"> a data inquiry cycle</w:t>
            </w:r>
            <w:r w:rsidR="00CF6383">
              <w:rPr>
                <w:b/>
                <w:i/>
              </w:rPr>
              <w:t>.</w:t>
            </w:r>
          </w:p>
        </w:tc>
        <w:tc>
          <w:tcPr>
            <w:tcW w:w="5310" w:type="dxa"/>
            <w:tcBorders>
              <w:top w:val="thinThickLargeGap" w:sz="24" w:space="0" w:color="auto"/>
              <w:bottom w:val="thinThickLargeGap" w:sz="24" w:space="0" w:color="auto"/>
            </w:tcBorders>
          </w:tcPr>
          <w:p w14:paraId="18877695" w14:textId="77777777" w:rsidR="00D05BFE" w:rsidRPr="00BA3EC2" w:rsidRDefault="00D05BFE" w:rsidP="00BE667C">
            <w:pPr>
              <w:rPr>
                <w:rFonts w:cstheme="minorHAnsi"/>
                <w:b/>
                <w:color w:val="1F4E79" w:themeColor="accent1" w:themeShade="80"/>
                <w:sz w:val="28"/>
                <w:szCs w:val="28"/>
              </w:rPr>
            </w:pPr>
            <w:r w:rsidRPr="00BA3EC2">
              <w:rPr>
                <w:rFonts w:cstheme="minorHAnsi"/>
                <w:b/>
                <w:color w:val="1F4E79" w:themeColor="accent1" w:themeShade="80"/>
                <w:sz w:val="28"/>
                <w:szCs w:val="28"/>
              </w:rPr>
              <w:t>Here are some examples:</w:t>
            </w:r>
          </w:p>
          <w:p w14:paraId="41F1A6AC" w14:textId="77777777" w:rsidR="004E6EFD" w:rsidRPr="004E6EFD" w:rsidRDefault="004E6EFD" w:rsidP="00D26938">
            <w:pPr>
              <w:rPr>
                <w:rFonts w:cstheme="minorHAnsi"/>
                <w:sz w:val="12"/>
              </w:rPr>
            </w:pPr>
          </w:p>
          <w:p w14:paraId="09C06A57" w14:textId="4370638A" w:rsidR="006B6296" w:rsidRDefault="006B6296" w:rsidP="00D26938">
            <w:pPr>
              <w:rPr>
                <w:rFonts w:cstheme="minorHAnsi"/>
              </w:rPr>
            </w:pPr>
            <w:r>
              <w:rPr>
                <w:rFonts w:cstheme="minorHAnsi"/>
              </w:rPr>
              <w:t xml:space="preserve">With the help of EWIS, school counselors in one </w:t>
            </w:r>
            <w:r w:rsidR="00346112">
              <w:rPr>
                <w:rFonts w:cstheme="minorHAnsi"/>
              </w:rPr>
              <w:t>school</w:t>
            </w:r>
            <w:r>
              <w:rPr>
                <w:rFonts w:cstheme="minorHAnsi"/>
              </w:rPr>
              <w:t xml:space="preserve"> saw tardiness increasing among students who were at risk. Knowing tardiness is an early sign of disengaging from school, they intervened quickly and offered </w:t>
            </w:r>
            <w:r w:rsidRPr="00E9762A">
              <w:rPr>
                <w:rFonts w:cstheme="minorHAnsi"/>
                <w:b/>
              </w:rPr>
              <w:t>lunchtime dance parties</w:t>
            </w:r>
            <w:r>
              <w:rPr>
                <w:rFonts w:cstheme="minorHAnsi"/>
              </w:rPr>
              <w:t xml:space="preserve"> to grade teams with the lowest tardy rates – a huge hit!</w:t>
            </w:r>
          </w:p>
          <w:p w14:paraId="5B3A15E4" w14:textId="77777777" w:rsidR="00D26938" w:rsidRPr="004E6EFD" w:rsidRDefault="00D26938" w:rsidP="00D26938">
            <w:pPr>
              <w:rPr>
                <w:rFonts w:cstheme="minorHAnsi"/>
                <w:sz w:val="12"/>
              </w:rPr>
            </w:pPr>
          </w:p>
          <w:p w14:paraId="12F7CCDB" w14:textId="69298C2D" w:rsidR="006B6296" w:rsidRDefault="006B6296" w:rsidP="00D26938">
            <w:pPr>
              <w:rPr>
                <w:rFonts w:cstheme="minorHAnsi"/>
              </w:rPr>
            </w:pPr>
            <w:r>
              <w:rPr>
                <w:rFonts w:cstheme="minorHAnsi"/>
              </w:rPr>
              <w:t xml:space="preserve">Another counselor learned </w:t>
            </w:r>
            <w:r w:rsidR="00D26938">
              <w:rPr>
                <w:rFonts w:cstheme="minorHAnsi"/>
              </w:rPr>
              <w:t xml:space="preserve">that </w:t>
            </w:r>
            <w:r>
              <w:rPr>
                <w:rFonts w:cstheme="minorHAnsi"/>
              </w:rPr>
              <w:t xml:space="preserve">many of her English Language Learner students were flagged in EWIS. She repeatedly heard they felt isolated at school. She gathered them regularly, giving a space to relax and </w:t>
            </w:r>
            <w:r w:rsidR="00346112">
              <w:rPr>
                <w:rFonts w:cstheme="minorHAnsi"/>
              </w:rPr>
              <w:t>connect</w:t>
            </w:r>
            <w:r>
              <w:rPr>
                <w:rFonts w:cstheme="minorHAnsi"/>
              </w:rPr>
              <w:t xml:space="preserve">. Though </w:t>
            </w:r>
            <w:r w:rsidR="00E36056">
              <w:rPr>
                <w:rFonts w:cstheme="minorHAnsi"/>
              </w:rPr>
              <w:t>their stories varied</w:t>
            </w:r>
            <w:r>
              <w:rPr>
                <w:rFonts w:cstheme="minorHAnsi"/>
              </w:rPr>
              <w:t xml:space="preserve">, they bonded over shared experiences – developing close friendships and </w:t>
            </w:r>
            <w:r w:rsidRPr="00346112">
              <w:rPr>
                <w:rFonts w:cstheme="minorHAnsi"/>
              </w:rPr>
              <w:t>strengthening their</w:t>
            </w:r>
            <w:r w:rsidRPr="00346112">
              <w:rPr>
                <w:rFonts w:cstheme="minorHAnsi"/>
                <w:b/>
              </w:rPr>
              <w:t xml:space="preserve"> sense of belonging</w:t>
            </w:r>
            <w:r>
              <w:rPr>
                <w:rFonts w:cstheme="minorHAnsi"/>
              </w:rPr>
              <w:t xml:space="preserve"> at school. </w:t>
            </w:r>
          </w:p>
          <w:p w14:paraId="257525B2" w14:textId="77777777" w:rsidR="00D26938" w:rsidRPr="004E6EFD" w:rsidRDefault="00D26938" w:rsidP="00D26938">
            <w:pPr>
              <w:rPr>
                <w:rFonts w:cstheme="minorHAnsi"/>
                <w:sz w:val="12"/>
              </w:rPr>
            </w:pPr>
          </w:p>
          <w:p w14:paraId="219F65F5" w14:textId="5E66B686" w:rsidR="00D05BFE" w:rsidRPr="006B6296" w:rsidRDefault="006B6296" w:rsidP="00D26938">
            <w:pPr>
              <w:rPr>
                <w:rFonts w:cstheme="minorHAnsi"/>
              </w:rPr>
            </w:pPr>
            <w:r>
              <w:rPr>
                <w:rFonts w:cstheme="minorHAnsi"/>
              </w:rPr>
              <w:t xml:space="preserve">These strategies might not suit your students – and </w:t>
            </w:r>
            <w:proofErr w:type="gramStart"/>
            <w:r>
              <w:rPr>
                <w:rFonts w:cstheme="minorHAnsi"/>
              </w:rPr>
              <w:t>that’s</w:t>
            </w:r>
            <w:proofErr w:type="gramEnd"/>
            <w:r>
              <w:rPr>
                <w:rFonts w:cstheme="minorHAnsi"/>
              </w:rPr>
              <w:t xml:space="preserve"> OK! Build context from a school climate survey, student feedback, or simply what you know about your students, and craft something that works for them. </w:t>
            </w:r>
          </w:p>
        </w:tc>
      </w:tr>
      <w:tr w:rsidR="00BA3EC2" w14:paraId="44999164" w14:textId="77777777" w:rsidTr="00352253">
        <w:trPr>
          <w:trHeight w:val="25"/>
          <w:tblHeader/>
        </w:trPr>
        <w:tc>
          <w:tcPr>
            <w:tcW w:w="10435" w:type="dxa"/>
            <w:gridSpan w:val="2"/>
            <w:tcBorders>
              <w:top w:val="thinThickLargeGap" w:sz="24" w:space="0" w:color="auto"/>
            </w:tcBorders>
            <w:shd w:val="clear" w:color="auto" w:fill="DEEAF6" w:themeFill="accent1" w:themeFillTint="33"/>
          </w:tcPr>
          <w:p w14:paraId="31CDA815" w14:textId="77777777" w:rsidR="006B6296" w:rsidRPr="006B6296" w:rsidRDefault="006B6296" w:rsidP="006B6296">
            <w:pPr>
              <w:rPr>
                <w:rFonts w:cstheme="minorHAnsi"/>
                <w:b/>
                <w:color w:val="1F4E79" w:themeColor="accent1" w:themeShade="80"/>
                <w:sz w:val="8"/>
                <w:szCs w:val="8"/>
              </w:rPr>
            </w:pPr>
          </w:p>
          <w:p w14:paraId="6D9C33EC" w14:textId="65E2330F" w:rsidR="006B6296" w:rsidRPr="006B6296" w:rsidRDefault="002C437C" w:rsidP="006B6296">
            <w:pPr>
              <w:rPr>
                <w:rFonts w:cstheme="minorHAnsi"/>
                <w:b/>
                <w:color w:val="1F4E79" w:themeColor="accent1" w:themeShade="80"/>
                <w:sz w:val="28"/>
                <w:szCs w:val="28"/>
              </w:rPr>
            </w:pPr>
            <w:r>
              <w:rPr>
                <w:rFonts w:cstheme="minorHAnsi"/>
                <w:b/>
                <w:color w:val="1F4E79" w:themeColor="accent1" w:themeShade="80"/>
                <w:sz w:val="28"/>
                <w:szCs w:val="28"/>
              </w:rPr>
              <w:t>W</w:t>
            </w:r>
            <w:r w:rsidR="006B6296">
              <w:rPr>
                <w:rFonts w:cstheme="minorHAnsi"/>
                <w:b/>
                <w:color w:val="1F4E79" w:themeColor="accent1" w:themeShade="80"/>
                <w:sz w:val="28"/>
                <w:szCs w:val="28"/>
              </w:rPr>
              <w:t>hat are the ABCs and how do we monitor them</w:t>
            </w:r>
            <w:r w:rsidRPr="002C437C">
              <w:rPr>
                <w:rFonts w:cstheme="minorHAnsi"/>
                <w:b/>
                <w:color w:val="1F4E79" w:themeColor="accent1" w:themeShade="80"/>
                <w:sz w:val="28"/>
                <w:szCs w:val="28"/>
              </w:rPr>
              <w:t>?</w:t>
            </w:r>
          </w:p>
          <w:p w14:paraId="51EBB324" w14:textId="0DEB89E9" w:rsidR="00CF6383" w:rsidRDefault="006B6296" w:rsidP="006B6296">
            <w:pPr>
              <w:rPr>
                <w:rFonts w:cstheme="minorHAnsi"/>
              </w:rPr>
            </w:pPr>
            <w:r>
              <w:rPr>
                <w:rFonts w:cstheme="minorHAnsi"/>
              </w:rPr>
              <w:t xml:space="preserve">EWIS reflects students’ risk at the beginning of each year. To see who is at risk throughout the year – and if interventions need to be changed – </w:t>
            </w:r>
            <w:r w:rsidRPr="00CF6383">
              <w:rPr>
                <w:rFonts w:cstheme="minorHAnsi"/>
              </w:rPr>
              <w:t xml:space="preserve">monitor </w:t>
            </w:r>
            <w:r w:rsidRPr="00CF6383">
              <w:rPr>
                <w:rFonts w:cstheme="minorHAnsi"/>
                <w:b/>
              </w:rPr>
              <w:t>A</w:t>
            </w:r>
            <w:r w:rsidRPr="00CF6383">
              <w:rPr>
                <w:rFonts w:cstheme="minorHAnsi"/>
              </w:rPr>
              <w:t xml:space="preserve">ttendance, </w:t>
            </w:r>
            <w:r w:rsidRPr="00CF6383">
              <w:rPr>
                <w:rFonts w:cstheme="minorHAnsi"/>
                <w:b/>
              </w:rPr>
              <w:t>B</w:t>
            </w:r>
            <w:r w:rsidRPr="00CF6383">
              <w:rPr>
                <w:rFonts w:cstheme="minorHAnsi"/>
              </w:rPr>
              <w:t xml:space="preserve">ehavior and </w:t>
            </w:r>
            <w:r w:rsidRPr="00CF6383">
              <w:rPr>
                <w:rFonts w:cstheme="minorHAnsi"/>
                <w:b/>
              </w:rPr>
              <w:t>C</w:t>
            </w:r>
            <w:r w:rsidR="00CF6383" w:rsidRPr="00CF6383">
              <w:rPr>
                <w:rFonts w:cstheme="minorHAnsi"/>
              </w:rPr>
              <w:t>ourse selection</w:t>
            </w:r>
            <w:r w:rsidR="00CF6383">
              <w:rPr>
                <w:rFonts w:cstheme="minorHAnsi"/>
              </w:rPr>
              <w:t xml:space="preserve"> &amp; performance</w:t>
            </w:r>
            <w:r>
              <w:rPr>
                <w:rFonts w:cstheme="minorHAnsi"/>
              </w:rPr>
              <w:t xml:space="preserve">. </w:t>
            </w:r>
          </w:p>
          <w:p w14:paraId="1C80DC9F" w14:textId="03D65E48" w:rsidR="006B6296" w:rsidRDefault="006B6296" w:rsidP="006B6296">
            <w:pPr>
              <w:rPr>
                <w:rFonts w:cstheme="minorHAnsi"/>
              </w:rPr>
            </w:pPr>
            <w:proofErr w:type="gramStart"/>
            <w:r>
              <w:rPr>
                <w:rFonts w:cstheme="minorHAnsi"/>
              </w:rPr>
              <w:t>Here’s</w:t>
            </w:r>
            <w:proofErr w:type="gramEnd"/>
            <w:r>
              <w:rPr>
                <w:rFonts w:cstheme="minorHAnsi"/>
              </w:rPr>
              <w:t xml:space="preserve"> how:</w:t>
            </w:r>
          </w:p>
          <w:p w14:paraId="169C8B38" w14:textId="63EC3517" w:rsidR="006B6296" w:rsidRPr="00F93BCE" w:rsidRDefault="00CF6383" w:rsidP="006B6296">
            <w:pPr>
              <w:pStyle w:val="ListParagraph"/>
              <w:numPr>
                <w:ilvl w:val="0"/>
                <w:numId w:val="3"/>
              </w:numPr>
              <w:rPr>
                <w:rFonts w:cstheme="minorHAnsi"/>
              </w:rPr>
            </w:pPr>
            <w:r>
              <w:rPr>
                <w:rFonts w:cstheme="minorHAnsi"/>
              </w:rPr>
              <w:t>D</w:t>
            </w:r>
            <w:r w:rsidR="006B6296" w:rsidRPr="00F93BCE">
              <w:rPr>
                <w:rFonts w:cstheme="minorHAnsi"/>
              </w:rPr>
              <w:t xml:space="preserve">ecide which indicators to use – just attendance, or all three – and how to get it for your </w:t>
            </w:r>
            <w:r>
              <w:rPr>
                <w:rFonts w:cstheme="minorHAnsi"/>
              </w:rPr>
              <w:t>students.</w:t>
            </w:r>
          </w:p>
          <w:p w14:paraId="0E959373" w14:textId="64F1AFD0" w:rsidR="006B6296" w:rsidRPr="00F93BCE" w:rsidRDefault="00CF6383" w:rsidP="006B6296">
            <w:pPr>
              <w:pStyle w:val="ListParagraph"/>
              <w:numPr>
                <w:ilvl w:val="0"/>
                <w:numId w:val="3"/>
              </w:numPr>
              <w:rPr>
                <w:rFonts w:cstheme="minorHAnsi"/>
              </w:rPr>
            </w:pPr>
            <w:r>
              <w:rPr>
                <w:rFonts w:cstheme="minorHAnsi"/>
              </w:rPr>
              <w:t>S</w:t>
            </w:r>
            <w:r w:rsidR="006B6296" w:rsidRPr="00F93BCE">
              <w:rPr>
                <w:rFonts w:cstheme="minorHAnsi"/>
              </w:rPr>
              <w:t>et risk thresholds: 90% attendance, 1 behavior incident, 1 failing cour</w:t>
            </w:r>
            <w:r>
              <w:rPr>
                <w:rFonts w:cstheme="minorHAnsi"/>
              </w:rPr>
              <w:t>se – or adjust for your context.</w:t>
            </w:r>
          </w:p>
          <w:p w14:paraId="1B466DC8" w14:textId="6CD39A79" w:rsidR="006B6296" w:rsidRPr="00F93BCE" w:rsidRDefault="00CF6383" w:rsidP="006B6296">
            <w:pPr>
              <w:pStyle w:val="ListParagraph"/>
              <w:numPr>
                <w:ilvl w:val="0"/>
                <w:numId w:val="3"/>
              </w:numPr>
              <w:rPr>
                <w:rFonts w:cstheme="minorHAnsi"/>
              </w:rPr>
            </w:pPr>
            <w:r>
              <w:rPr>
                <w:rFonts w:cstheme="minorHAnsi"/>
              </w:rPr>
              <w:t>A</w:t>
            </w:r>
            <w:r w:rsidR="006B6296" w:rsidRPr="00F93BCE">
              <w:rPr>
                <w:rFonts w:cstheme="minorHAnsi"/>
              </w:rPr>
              <w:t>fter the first marking period, gather all the pieces and combine them</w:t>
            </w:r>
            <w:r w:rsidR="006B6296">
              <w:rPr>
                <w:rFonts w:cstheme="minorHAnsi"/>
              </w:rPr>
              <w:t xml:space="preserve"> in one file</w:t>
            </w:r>
            <w:r>
              <w:rPr>
                <w:rFonts w:cstheme="minorHAnsi"/>
              </w:rPr>
              <w:t>.</w:t>
            </w:r>
          </w:p>
          <w:p w14:paraId="77EE64AC" w14:textId="29CE5D07" w:rsidR="006B6296" w:rsidRPr="00F93BCE" w:rsidRDefault="00CF6383" w:rsidP="006B6296">
            <w:pPr>
              <w:pStyle w:val="ListParagraph"/>
              <w:numPr>
                <w:ilvl w:val="0"/>
                <w:numId w:val="3"/>
              </w:numPr>
              <w:rPr>
                <w:rFonts w:cstheme="minorHAnsi"/>
              </w:rPr>
            </w:pPr>
            <w:r>
              <w:rPr>
                <w:rFonts w:cstheme="minorHAnsi"/>
              </w:rPr>
              <w:t>C</w:t>
            </w:r>
            <w:r w:rsidR="006B6296">
              <w:rPr>
                <w:rFonts w:cstheme="minorHAnsi"/>
              </w:rPr>
              <w:t xml:space="preserve">heck </w:t>
            </w:r>
            <w:r w:rsidR="006B6296" w:rsidRPr="00F93BCE">
              <w:rPr>
                <w:rFonts w:cstheme="minorHAnsi"/>
              </w:rPr>
              <w:t>t</w:t>
            </w:r>
            <w:r w:rsidR="006B6296">
              <w:rPr>
                <w:rFonts w:cstheme="minorHAnsi"/>
              </w:rPr>
              <w:t>o</w:t>
            </w:r>
            <w:r w:rsidR="006B6296" w:rsidRPr="00F93BCE">
              <w:rPr>
                <w:rFonts w:cstheme="minorHAnsi"/>
              </w:rPr>
              <w:t xml:space="preserve"> see </w:t>
            </w:r>
            <w:proofErr w:type="gramStart"/>
            <w:r w:rsidR="006B6296" w:rsidRPr="00F93BCE">
              <w:rPr>
                <w:rFonts w:cstheme="minorHAnsi"/>
              </w:rPr>
              <w:t>who</w:t>
            </w:r>
            <w:r w:rsidR="006B6296">
              <w:rPr>
                <w:rFonts w:cstheme="minorHAnsi"/>
              </w:rPr>
              <w:t>’s</w:t>
            </w:r>
            <w:proofErr w:type="gramEnd"/>
            <w:r w:rsidR="006B6296">
              <w:rPr>
                <w:rFonts w:cstheme="minorHAnsi"/>
              </w:rPr>
              <w:t xml:space="preserve"> still at risk and no</w:t>
            </w:r>
            <w:r>
              <w:rPr>
                <w:rFonts w:cstheme="minorHAnsi"/>
              </w:rPr>
              <w:t xml:space="preserve"> longer at risk.</w:t>
            </w:r>
          </w:p>
          <w:p w14:paraId="0F992495" w14:textId="23052037" w:rsidR="006B6296" w:rsidRPr="0051086D" w:rsidRDefault="00CF6383" w:rsidP="006B6296">
            <w:pPr>
              <w:pStyle w:val="ListParagraph"/>
              <w:numPr>
                <w:ilvl w:val="0"/>
                <w:numId w:val="3"/>
              </w:numPr>
              <w:rPr>
                <w:rFonts w:cstheme="minorHAnsi"/>
              </w:rPr>
            </w:pPr>
            <w:r>
              <w:rPr>
                <w:rFonts w:cstheme="minorHAnsi"/>
              </w:rPr>
              <w:t>W</w:t>
            </w:r>
            <w:r w:rsidR="006B6296" w:rsidRPr="00F93BCE">
              <w:rPr>
                <w:rFonts w:cstheme="minorHAnsi"/>
              </w:rPr>
              <w:t xml:space="preserve">ith colleagues, reflect on students’ progress, diagnose any new </w:t>
            </w:r>
            <w:proofErr w:type="gramStart"/>
            <w:r w:rsidR="006B6296" w:rsidRPr="00F93BCE">
              <w:rPr>
                <w:rFonts w:cstheme="minorHAnsi"/>
              </w:rPr>
              <w:t>needs</w:t>
            </w:r>
            <w:proofErr w:type="gramEnd"/>
            <w:r w:rsidR="006B6296" w:rsidRPr="00F93BCE">
              <w:rPr>
                <w:rFonts w:cstheme="minorHAnsi"/>
              </w:rPr>
              <w:t xml:space="preserve"> and adjust supports</w:t>
            </w:r>
            <w:r>
              <w:rPr>
                <w:rFonts w:cstheme="minorHAnsi"/>
              </w:rPr>
              <w:t>.</w:t>
            </w:r>
          </w:p>
          <w:p w14:paraId="20D2732F" w14:textId="2B68AFC4" w:rsidR="00BA3EC2" w:rsidRPr="00B71648" w:rsidRDefault="00BA3EC2" w:rsidP="006B6296">
            <w:pPr>
              <w:rPr>
                <w:sz w:val="12"/>
              </w:rPr>
            </w:pPr>
          </w:p>
        </w:tc>
      </w:tr>
    </w:tbl>
    <w:p w14:paraId="195806E6" w14:textId="4930EAC1" w:rsidR="00D63975" w:rsidRPr="00D63975" w:rsidRDefault="009171F9" w:rsidP="00D63975">
      <w:pPr>
        <w:spacing w:after="0"/>
        <w:jc w:val="center"/>
        <w:rPr>
          <w:sz w:val="32"/>
          <w:szCs w:val="32"/>
        </w:rPr>
      </w:pPr>
      <w:hyperlink r:id="rId15" w:history="1">
        <w:r w:rsidR="00070826" w:rsidRPr="00D63975">
          <w:rPr>
            <w:rStyle w:val="Hyperlink"/>
            <w:b/>
            <w:sz w:val="32"/>
            <w:szCs w:val="32"/>
          </w:rPr>
          <w:t>Use EWIS</w:t>
        </w:r>
      </w:hyperlink>
      <w:r w:rsidR="00070826" w:rsidRPr="00D63975">
        <w:rPr>
          <w:b/>
          <w:sz w:val="32"/>
          <w:szCs w:val="32"/>
        </w:rPr>
        <w:t xml:space="preserve"> in an ongoing cycle of inquiry.</w:t>
      </w:r>
    </w:p>
    <w:p w14:paraId="42FB4522" w14:textId="1A71F590" w:rsidR="00F93EF5" w:rsidRDefault="00F93EF5" w:rsidP="00D63975">
      <w:pPr>
        <w:jc w:val="center"/>
      </w:pPr>
      <w:r>
        <w:t xml:space="preserve">Consult the </w:t>
      </w:r>
      <w:hyperlink r:id="rId16" w:history="1">
        <w:r w:rsidRPr="00221336">
          <w:rPr>
            <w:rStyle w:val="Hyperlink"/>
          </w:rPr>
          <w:t>e-learning tutorial</w:t>
        </w:r>
      </w:hyperlink>
      <w:r>
        <w:t xml:space="preserve"> for more about each step.</w:t>
      </w:r>
    </w:p>
    <w:tbl>
      <w:tblPr>
        <w:tblStyle w:val="TableGrid"/>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se EWIS in an ongoing cycle of inquiry.&#10;Consult the e-learning tutorial for more about each step.&#10;In the Summer or Beginning of the School Year &#10;Step 1: Get Organized&#10;Collect your teammates, line up access to Edwin and plan time to review EWIS together. All EWIS tools are online, and reports are in Edwin. Districts control access to Edwin. Contact your district’s directory administrator for access. If there is a team already reviewing data and making decisions about how to support students, they may be able to incorporate early warning data into their scope.   &#10;Step 2: Review EWIS &#10;Students’ EWIS risk levels are available every year in the late summer to coincide with the start of the school year. Use the EWIS reports to examine students’ strengths and weaknesses. If you work directly with students, the Student Roster is a good place to start. If you work with adults who work with students, you may find the Indicator Analysis most valuable. Either way, draw concrete conclusions about students’ indicators and begin to form hypotheses about causes of students’ risk.   &#10;Repeat Each Marking Period or Throughout the School Year &#10;Step 3: Explore Underlying Causes &#10;Continue to identify causes of risk, pulling in local data and context for a comprehensive picture. Note whether students across a district, school or grade have common needs for universal supports. &#10;&#10;Step 4: Take Action &#10;Compare students’ needs to the services available, and assign interventions that will best meet their needs. Examine any gaps in support, and consider school-wide or universal efforts. &#10;&#10;Step 5: Monitor &#10;Monitor students’ ABCs to assess student progress, see who else may be at risk, and improve interventions. Then, refer back to Steps 3 &amp; 4 as the cycle is repeated.   &#10;&#10;At the End of the School Year or In the Summer  &#10;Step 6: Refine the Process &#10;How did it go? What was easy, what was hard? Take time at the end of year to reflect on the approach and outcomes, and make plans to incorporate changes next year.  &#10;"/>
      </w:tblPr>
      <w:tblGrid>
        <w:gridCol w:w="2308"/>
        <w:gridCol w:w="3756"/>
        <w:gridCol w:w="1845"/>
        <w:gridCol w:w="2600"/>
      </w:tblGrid>
      <w:tr w:rsidR="00A35E2C" w14:paraId="3506938F" w14:textId="77777777" w:rsidTr="00352253">
        <w:trPr>
          <w:trHeight w:val="274"/>
          <w:tblHeader/>
        </w:trPr>
        <w:tc>
          <w:tcPr>
            <w:tcW w:w="7909" w:type="dxa"/>
            <w:gridSpan w:val="3"/>
          </w:tcPr>
          <w:p w14:paraId="2EBF4079" w14:textId="6ACD51CB" w:rsidR="00A35E2C" w:rsidRDefault="00BF7CE0" w:rsidP="00223D5F">
            <w:r>
              <w:rPr>
                <w:b/>
              </w:rPr>
              <w:t xml:space="preserve">In the Summer or </w:t>
            </w:r>
            <w:r w:rsidR="00A35E2C" w:rsidRPr="008B51D7">
              <w:rPr>
                <w:b/>
              </w:rPr>
              <w:t xml:space="preserve">Beginning of </w:t>
            </w:r>
            <w:r>
              <w:rPr>
                <w:b/>
              </w:rPr>
              <w:t xml:space="preserve">the </w:t>
            </w:r>
            <w:r w:rsidR="00A35E2C" w:rsidRPr="008B51D7">
              <w:rPr>
                <w:b/>
              </w:rPr>
              <w:t>School Year</w:t>
            </w:r>
          </w:p>
        </w:tc>
        <w:tc>
          <w:tcPr>
            <w:tcW w:w="2600" w:type="dxa"/>
          </w:tcPr>
          <w:p w14:paraId="7A193B58" w14:textId="77777777" w:rsidR="00A35E2C" w:rsidRDefault="00A35E2C" w:rsidP="00223D5F"/>
        </w:tc>
      </w:tr>
      <w:tr w:rsidR="00F93EF5" w14:paraId="2CE48F6D" w14:textId="77777777" w:rsidTr="00A625D5">
        <w:trPr>
          <w:trHeight w:val="1911"/>
        </w:trPr>
        <w:tc>
          <w:tcPr>
            <w:tcW w:w="7909" w:type="dxa"/>
            <w:gridSpan w:val="3"/>
          </w:tcPr>
          <w:p w14:paraId="5857A0B3" w14:textId="1847F1F5" w:rsidR="00F93EF5" w:rsidRPr="00BF308F" w:rsidRDefault="00A23852" w:rsidP="00223D5F">
            <w:pPr>
              <w:rPr>
                <w:b/>
              </w:rPr>
            </w:pPr>
            <w:r>
              <w:rPr>
                <w:b/>
              </w:rPr>
              <w:t xml:space="preserve">Step 1: </w:t>
            </w:r>
            <w:r w:rsidR="00F93EF5" w:rsidRPr="00BF308F">
              <w:rPr>
                <w:b/>
              </w:rPr>
              <w:t>Get Organized</w:t>
            </w:r>
          </w:p>
          <w:p w14:paraId="34BCE55E" w14:textId="56D73DF0" w:rsidR="00F93EF5" w:rsidRDefault="00F93EF5" w:rsidP="004D5726">
            <w:r>
              <w:t xml:space="preserve">Collect your teammates, line up </w:t>
            </w:r>
            <w:r w:rsidRPr="0093794E">
              <w:t xml:space="preserve">access to </w:t>
            </w:r>
            <w:hyperlink r:id="rId17" w:history="1">
              <w:r w:rsidRPr="0093794E">
                <w:rPr>
                  <w:rStyle w:val="Hyperlink"/>
                </w:rPr>
                <w:t>Edwin</w:t>
              </w:r>
            </w:hyperlink>
            <w:r w:rsidRPr="0093794E">
              <w:t xml:space="preserve"> and plan time to review EWIS together. All EWIS tools are online, and reports are in Edwin. Districts control access to Edwin. Contact your district’s </w:t>
            </w:r>
            <w:hyperlink r:id="rId18" w:history="1">
              <w:r w:rsidRPr="0093794E">
                <w:rPr>
                  <w:rStyle w:val="Hyperlink"/>
                </w:rPr>
                <w:t>directory administrator</w:t>
              </w:r>
            </w:hyperlink>
            <w:r w:rsidRPr="0093794E">
              <w:t xml:space="preserve"> for access. </w:t>
            </w:r>
            <w:r w:rsidR="006008A8" w:rsidRPr="0093794E">
              <w:rPr>
                <w:rFonts w:cstheme="minorHAnsi"/>
              </w:rPr>
              <w:t>If there is a team</w:t>
            </w:r>
            <w:r w:rsidR="004D5726" w:rsidRPr="0093794E">
              <w:rPr>
                <w:rFonts w:cstheme="minorHAnsi"/>
              </w:rPr>
              <w:t xml:space="preserve"> already</w:t>
            </w:r>
            <w:r w:rsidR="006008A8" w:rsidRPr="0093794E">
              <w:rPr>
                <w:rFonts w:cstheme="minorHAnsi"/>
              </w:rPr>
              <w:t xml:space="preserve"> reviewing data and making decisions about how to support students, they may be able to incorporate early warning data into their scope.</w:t>
            </w:r>
          </w:p>
        </w:tc>
        <w:tc>
          <w:tcPr>
            <w:tcW w:w="2600" w:type="dxa"/>
          </w:tcPr>
          <w:p w14:paraId="4DB82808" w14:textId="0464214C" w:rsidR="00F93EF5" w:rsidRPr="00F54607" w:rsidRDefault="0093794E" w:rsidP="00A35E2C">
            <w:pPr>
              <w:jc w:val="center"/>
            </w:pPr>
            <w:r w:rsidRPr="00F54607">
              <w:rPr>
                <w:noProof/>
              </w:rPr>
              <w:t xml:space="preserve"> </w:t>
            </w:r>
          </w:p>
        </w:tc>
      </w:tr>
      <w:tr w:rsidR="00F93EF5" w14:paraId="478EDC82" w14:textId="77777777" w:rsidTr="00A625D5">
        <w:trPr>
          <w:trHeight w:val="2447"/>
        </w:trPr>
        <w:tc>
          <w:tcPr>
            <w:tcW w:w="7909" w:type="dxa"/>
            <w:gridSpan w:val="3"/>
          </w:tcPr>
          <w:p w14:paraId="575F1E3D" w14:textId="461F8F7F" w:rsidR="00F93EF5" w:rsidRPr="0093794E" w:rsidRDefault="00A23852" w:rsidP="00223D5F">
            <w:pPr>
              <w:rPr>
                <w:rFonts w:cstheme="minorHAnsi"/>
                <w:b/>
              </w:rPr>
            </w:pPr>
            <w:r w:rsidRPr="0093794E">
              <w:rPr>
                <w:rFonts w:cstheme="minorHAnsi"/>
                <w:b/>
              </w:rPr>
              <w:t xml:space="preserve">Step 2: </w:t>
            </w:r>
            <w:r w:rsidR="00F93EF5" w:rsidRPr="0093794E">
              <w:rPr>
                <w:rFonts w:cstheme="minorHAnsi"/>
                <w:b/>
              </w:rPr>
              <w:t xml:space="preserve">Review EWIS </w:t>
            </w:r>
          </w:p>
          <w:p w14:paraId="7717FB99" w14:textId="142D3454" w:rsidR="00F93EF5" w:rsidRPr="00DA1164" w:rsidRDefault="009171F9" w:rsidP="00A942B4">
            <w:hyperlink r:id="rId19" w:history="1">
              <w:r w:rsidR="00A942B4" w:rsidRPr="0093794E">
                <w:rPr>
                  <w:rStyle w:val="Hyperlink"/>
                  <w:rFonts w:cstheme="minorHAnsi"/>
                </w:rPr>
                <w:t xml:space="preserve">Students’ </w:t>
              </w:r>
              <w:r w:rsidR="00F93EF5" w:rsidRPr="0093794E">
                <w:rPr>
                  <w:rStyle w:val="Hyperlink"/>
                  <w:rFonts w:cstheme="minorHAnsi"/>
                </w:rPr>
                <w:t>EWIS risk levels</w:t>
              </w:r>
            </w:hyperlink>
            <w:r w:rsidR="00F93EF5" w:rsidRPr="0093794E">
              <w:rPr>
                <w:rFonts w:cstheme="minorHAnsi"/>
              </w:rPr>
              <w:t xml:space="preserve"> are available every year in the late summer to coincide with the start of the school year. Use the EWIS reports to examine students’ strengths and weaknesses. If you work </w:t>
            </w:r>
            <w:r w:rsidR="00F93EF5" w:rsidRPr="0093794E">
              <w:rPr>
                <w:rFonts w:cstheme="minorHAnsi"/>
                <w:b/>
              </w:rPr>
              <w:t>directly with students</w:t>
            </w:r>
            <w:r w:rsidR="00F93EF5" w:rsidRPr="0093794E">
              <w:rPr>
                <w:rFonts w:cstheme="minorHAnsi"/>
              </w:rPr>
              <w:t xml:space="preserve">, the Student Roster is a good place to start. If you work with </w:t>
            </w:r>
            <w:r w:rsidR="00F93EF5" w:rsidRPr="0093794E">
              <w:rPr>
                <w:rFonts w:cstheme="minorHAnsi"/>
                <w:b/>
              </w:rPr>
              <w:t>adults who work with students</w:t>
            </w:r>
            <w:r w:rsidR="00F93EF5" w:rsidRPr="0093794E">
              <w:rPr>
                <w:rFonts w:cstheme="minorHAnsi"/>
              </w:rPr>
              <w:t>, you may find the Indicator Analysis most valuable. Either way, draw concrete conclusions about students’ indicators and begin to form hypotheses</w:t>
            </w:r>
            <w:r w:rsidR="00F93EF5" w:rsidRPr="00DA1164">
              <w:rPr>
                <w:rFonts w:cstheme="minorHAnsi"/>
              </w:rPr>
              <w:t xml:space="preserve"> about causes of students’ risk. </w:t>
            </w:r>
          </w:p>
        </w:tc>
        <w:tc>
          <w:tcPr>
            <w:tcW w:w="2600" w:type="dxa"/>
          </w:tcPr>
          <w:p w14:paraId="6E1C1CEF" w14:textId="7FFACB2B" w:rsidR="00F93EF5" w:rsidRDefault="00F93EF5" w:rsidP="00223D5F">
            <w:pPr>
              <w:rPr>
                <w:noProof/>
              </w:rPr>
            </w:pPr>
          </w:p>
        </w:tc>
      </w:tr>
      <w:tr w:rsidR="000F120E" w14:paraId="4AB40968" w14:textId="77777777" w:rsidTr="00A625D5">
        <w:trPr>
          <w:trHeight w:val="290"/>
        </w:trPr>
        <w:tc>
          <w:tcPr>
            <w:tcW w:w="10509" w:type="dxa"/>
            <w:gridSpan w:val="4"/>
          </w:tcPr>
          <w:p w14:paraId="06782870" w14:textId="130F4F1C" w:rsidR="000F120E" w:rsidRDefault="000F120E" w:rsidP="00BA3EC2">
            <w:pPr>
              <w:rPr>
                <w:noProof/>
              </w:rPr>
            </w:pPr>
            <w:r>
              <w:rPr>
                <w:rFonts w:cstheme="minorHAnsi"/>
                <w:b/>
              </w:rPr>
              <w:t xml:space="preserve">Repeat </w:t>
            </w:r>
            <w:r w:rsidRPr="00DA1164">
              <w:rPr>
                <w:rFonts w:cstheme="minorHAnsi"/>
                <w:b/>
              </w:rPr>
              <w:t>Each Marking P</w:t>
            </w:r>
            <w:r>
              <w:rPr>
                <w:rFonts w:cstheme="minorHAnsi"/>
                <w:b/>
              </w:rPr>
              <w:t xml:space="preserve">eriod </w:t>
            </w:r>
            <w:r w:rsidR="00BF7CE0">
              <w:rPr>
                <w:rFonts w:cstheme="minorHAnsi"/>
                <w:b/>
              </w:rPr>
              <w:t xml:space="preserve">or Throughout the School Year </w:t>
            </w:r>
          </w:p>
        </w:tc>
      </w:tr>
      <w:tr w:rsidR="00463B94" w14:paraId="587A293A" w14:textId="77777777" w:rsidTr="00A625D5">
        <w:trPr>
          <w:trHeight w:val="4099"/>
        </w:trPr>
        <w:tc>
          <w:tcPr>
            <w:tcW w:w="6064" w:type="dxa"/>
            <w:gridSpan w:val="2"/>
          </w:tcPr>
          <w:p w14:paraId="058C7742" w14:textId="638AA5D8" w:rsidR="00463B94" w:rsidRPr="00DA1164" w:rsidRDefault="0062201A" w:rsidP="00463B94">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sz w:val="22"/>
                <w:szCs w:val="22"/>
              </w:rPr>
              <w:t>Step 3: Explore Underlying C</w:t>
            </w:r>
            <w:r w:rsidR="00463B94" w:rsidRPr="00DA1164">
              <w:rPr>
                <w:rFonts w:asciiTheme="minorHAnsi" w:hAnsiTheme="minorHAnsi" w:cstheme="minorHAnsi"/>
                <w:b/>
                <w:sz w:val="22"/>
                <w:szCs w:val="22"/>
              </w:rPr>
              <w:t>auses</w:t>
            </w:r>
            <w:r w:rsidR="00463B94" w:rsidRPr="00DA1164">
              <w:rPr>
                <w:rFonts w:asciiTheme="minorHAnsi" w:hAnsiTheme="minorHAnsi" w:cstheme="minorHAnsi"/>
                <w:color w:val="000000"/>
                <w:sz w:val="22"/>
                <w:szCs w:val="22"/>
              </w:rPr>
              <w:t xml:space="preserve"> </w:t>
            </w:r>
          </w:p>
          <w:p w14:paraId="6CFD1F47" w14:textId="5E8DEB65" w:rsidR="00463B94" w:rsidRPr="00DA1164" w:rsidRDefault="00463B94" w:rsidP="00463B94">
            <w:pPr>
              <w:pStyle w:val="NormalWeb"/>
              <w:shd w:val="clear" w:color="auto" w:fill="FFFFFF"/>
              <w:spacing w:before="0" w:beforeAutospacing="0" w:after="0" w:afterAutospacing="0"/>
              <w:rPr>
                <w:rFonts w:asciiTheme="minorHAnsi" w:hAnsiTheme="minorHAnsi" w:cstheme="minorHAnsi"/>
                <w:color w:val="000000"/>
                <w:sz w:val="22"/>
                <w:szCs w:val="22"/>
              </w:rPr>
            </w:pPr>
            <w:r w:rsidRPr="00DA1164">
              <w:rPr>
                <w:rFonts w:asciiTheme="minorHAnsi" w:hAnsiTheme="minorHAnsi" w:cstheme="minorHAnsi"/>
                <w:color w:val="000000"/>
                <w:sz w:val="22"/>
                <w:szCs w:val="22"/>
              </w:rPr>
              <w:t xml:space="preserve">Continue to identify causes of risk, pulling in local data and context for a comprehensive picture. Note whether students across a district, school or grade have common needs for universal supports. </w:t>
            </w:r>
          </w:p>
          <w:p w14:paraId="45A5D683" w14:textId="77777777" w:rsidR="00463B94" w:rsidRPr="00DA1164" w:rsidRDefault="00463B94" w:rsidP="00463B94">
            <w:pPr>
              <w:pStyle w:val="NormalWeb"/>
              <w:shd w:val="clear" w:color="auto" w:fill="FFFFFF"/>
              <w:spacing w:before="0" w:beforeAutospacing="0" w:after="0" w:afterAutospacing="0"/>
              <w:rPr>
                <w:rFonts w:asciiTheme="minorHAnsi" w:hAnsiTheme="minorHAnsi" w:cstheme="minorHAnsi"/>
                <w:b/>
                <w:sz w:val="22"/>
                <w:szCs w:val="22"/>
              </w:rPr>
            </w:pPr>
          </w:p>
          <w:p w14:paraId="062332D7" w14:textId="77777777" w:rsidR="00463B94" w:rsidRPr="00DA1164" w:rsidRDefault="00463B94" w:rsidP="00463B94">
            <w:pPr>
              <w:pStyle w:val="NormalWeb"/>
              <w:shd w:val="clear" w:color="auto" w:fill="FFFFFF"/>
              <w:spacing w:before="0" w:beforeAutospacing="0" w:after="0" w:afterAutospacing="0"/>
              <w:rPr>
                <w:rFonts w:asciiTheme="minorHAnsi" w:hAnsiTheme="minorHAnsi" w:cstheme="minorHAnsi"/>
                <w:b/>
                <w:sz w:val="22"/>
                <w:szCs w:val="22"/>
              </w:rPr>
            </w:pPr>
            <w:r w:rsidRPr="00DA1164">
              <w:rPr>
                <w:rFonts w:asciiTheme="minorHAnsi" w:hAnsiTheme="minorHAnsi" w:cstheme="minorHAnsi"/>
                <w:b/>
                <w:sz w:val="22"/>
                <w:szCs w:val="22"/>
              </w:rPr>
              <w:t xml:space="preserve">Step 4: </w:t>
            </w:r>
            <w:proofErr w:type="gramStart"/>
            <w:r w:rsidRPr="00DA1164">
              <w:rPr>
                <w:rFonts w:asciiTheme="minorHAnsi" w:hAnsiTheme="minorHAnsi" w:cstheme="minorHAnsi"/>
                <w:b/>
                <w:sz w:val="22"/>
                <w:szCs w:val="22"/>
              </w:rPr>
              <w:t>Take Action</w:t>
            </w:r>
            <w:proofErr w:type="gramEnd"/>
            <w:r w:rsidRPr="00DA1164">
              <w:rPr>
                <w:rFonts w:asciiTheme="minorHAnsi" w:hAnsiTheme="minorHAnsi" w:cstheme="minorHAnsi"/>
                <w:b/>
                <w:sz w:val="22"/>
                <w:szCs w:val="22"/>
              </w:rPr>
              <w:t xml:space="preserve"> </w:t>
            </w:r>
          </w:p>
          <w:p w14:paraId="0F620E04" w14:textId="4791E6A0" w:rsidR="00463B94" w:rsidRPr="00DA1164" w:rsidRDefault="00463B94" w:rsidP="00463B94">
            <w:pPr>
              <w:pStyle w:val="NormalWeb"/>
              <w:shd w:val="clear" w:color="auto" w:fill="FFFFFF"/>
              <w:spacing w:before="0" w:beforeAutospacing="0" w:after="0" w:afterAutospacing="0"/>
              <w:rPr>
                <w:rFonts w:asciiTheme="minorHAnsi" w:hAnsiTheme="minorHAnsi" w:cstheme="minorHAnsi"/>
                <w:sz w:val="22"/>
                <w:szCs w:val="22"/>
              </w:rPr>
            </w:pPr>
            <w:r w:rsidRPr="00DA1164">
              <w:rPr>
                <w:rFonts w:asciiTheme="minorHAnsi" w:hAnsiTheme="minorHAnsi" w:cstheme="minorHAnsi"/>
                <w:sz w:val="22"/>
                <w:szCs w:val="22"/>
              </w:rPr>
              <w:t xml:space="preserve">Compare students’ needs to the services </w:t>
            </w:r>
            <w:r w:rsidR="0066191B">
              <w:rPr>
                <w:rFonts w:asciiTheme="minorHAnsi" w:hAnsiTheme="minorHAnsi" w:cstheme="minorHAnsi"/>
                <w:sz w:val="22"/>
                <w:szCs w:val="22"/>
              </w:rPr>
              <w:t>available, and assign</w:t>
            </w:r>
            <w:r w:rsidRPr="00DA1164">
              <w:rPr>
                <w:rFonts w:asciiTheme="minorHAnsi" w:hAnsiTheme="minorHAnsi" w:cstheme="minorHAnsi"/>
                <w:sz w:val="22"/>
                <w:szCs w:val="22"/>
              </w:rPr>
              <w:t xml:space="preserve"> interventions</w:t>
            </w:r>
            <w:r w:rsidR="0066191B">
              <w:rPr>
                <w:rFonts w:asciiTheme="minorHAnsi" w:hAnsiTheme="minorHAnsi" w:cstheme="minorHAnsi"/>
                <w:sz w:val="22"/>
                <w:szCs w:val="22"/>
              </w:rPr>
              <w:t xml:space="preserve"> that will best meet their needs. Examine</w:t>
            </w:r>
            <w:r w:rsidR="00D21635">
              <w:rPr>
                <w:rFonts w:asciiTheme="minorHAnsi" w:hAnsiTheme="minorHAnsi" w:cstheme="minorHAnsi"/>
                <w:sz w:val="22"/>
                <w:szCs w:val="22"/>
              </w:rPr>
              <w:t xml:space="preserve"> any</w:t>
            </w:r>
            <w:r w:rsidR="0066191B">
              <w:rPr>
                <w:rFonts w:asciiTheme="minorHAnsi" w:hAnsiTheme="minorHAnsi" w:cstheme="minorHAnsi"/>
                <w:sz w:val="22"/>
                <w:szCs w:val="22"/>
              </w:rPr>
              <w:t xml:space="preserve"> gaps </w:t>
            </w:r>
            <w:r w:rsidR="00D21635">
              <w:rPr>
                <w:rFonts w:asciiTheme="minorHAnsi" w:hAnsiTheme="minorHAnsi" w:cstheme="minorHAnsi"/>
                <w:sz w:val="22"/>
                <w:szCs w:val="22"/>
              </w:rPr>
              <w:t xml:space="preserve">in support, </w:t>
            </w:r>
            <w:r w:rsidR="0066191B">
              <w:rPr>
                <w:rFonts w:asciiTheme="minorHAnsi" w:hAnsiTheme="minorHAnsi" w:cstheme="minorHAnsi"/>
                <w:sz w:val="22"/>
                <w:szCs w:val="22"/>
              </w:rPr>
              <w:t xml:space="preserve">and consider school-wide </w:t>
            </w:r>
            <w:r w:rsidR="00D21635">
              <w:rPr>
                <w:rFonts w:asciiTheme="minorHAnsi" w:hAnsiTheme="minorHAnsi" w:cstheme="minorHAnsi"/>
                <w:sz w:val="22"/>
                <w:szCs w:val="22"/>
              </w:rPr>
              <w:t xml:space="preserve">or universal </w:t>
            </w:r>
            <w:r w:rsidR="002652F4">
              <w:rPr>
                <w:rFonts w:asciiTheme="minorHAnsi" w:hAnsiTheme="minorHAnsi" w:cstheme="minorHAnsi"/>
                <w:sz w:val="22"/>
                <w:szCs w:val="22"/>
              </w:rPr>
              <w:t>efforts</w:t>
            </w:r>
            <w:r w:rsidR="0066191B">
              <w:rPr>
                <w:rFonts w:asciiTheme="minorHAnsi" w:hAnsiTheme="minorHAnsi" w:cstheme="minorHAnsi"/>
                <w:sz w:val="22"/>
                <w:szCs w:val="22"/>
              </w:rPr>
              <w:t xml:space="preserve">. </w:t>
            </w:r>
          </w:p>
          <w:p w14:paraId="3FC073DD" w14:textId="1E3BF496" w:rsidR="00463B94" w:rsidRPr="00DA1164" w:rsidRDefault="00463B94" w:rsidP="00463B94">
            <w:pPr>
              <w:pStyle w:val="NormalWeb"/>
              <w:shd w:val="clear" w:color="auto" w:fill="FFFFFF"/>
              <w:spacing w:before="0" w:beforeAutospacing="0" w:after="0" w:afterAutospacing="0"/>
              <w:rPr>
                <w:rFonts w:asciiTheme="minorHAnsi" w:hAnsiTheme="minorHAnsi" w:cstheme="minorHAnsi"/>
                <w:sz w:val="22"/>
                <w:szCs w:val="22"/>
              </w:rPr>
            </w:pPr>
          </w:p>
          <w:p w14:paraId="00DE6A47" w14:textId="77777777" w:rsidR="00731D3C" w:rsidRDefault="00463B94" w:rsidP="002A53F4">
            <w:pPr>
              <w:pStyle w:val="NormalWeb"/>
              <w:shd w:val="clear" w:color="auto" w:fill="FFFFFF"/>
              <w:spacing w:before="0" w:beforeAutospacing="0" w:after="0" w:afterAutospacing="0"/>
              <w:rPr>
                <w:rFonts w:asciiTheme="minorHAnsi" w:hAnsiTheme="minorHAnsi" w:cstheme="minorHAnsi"/>
                <w:sz w:val="22"/>
                <w:szCs w:val="22"/>
              </w:rPr>
            </w:pPr>
            <w:r w:rsidRPr="00DA1164">
              <w:rPr>
                <w:rFonts w:asciiTheme="minorHAnsi" w:hAnsiTheme="minorHAnsi" w:cstheme="minorHAnsi"/>
                <w:b/>
                <w:sz w:val="22"/>
                <w:szCs w:val="22"/>
              </w:rPr>
              <w:t>Step 5: Monitor</w:t>
            </w:r>
            <w:r w:rsidRPr="00DA1164">
              <w:rPr>
                <w:rFonts w:asciiTheme="minorHAnsi" w:hAnsiTheme="minorHAnsi" w:cstheme="minorHAnsi"/>
                <w:sz w:val="22"/>
                <w:szCs w:val="22"/>
              </w:rPr>
              <w:t xml:space="preserve"> </w:t>
            </w:r>
          </w:p>
          <w:p w14:paraId="15C5A433" w14:textId="05378174" w:rsidR="00463B94" w:rsidRPr="00DA1164" w:rsidRDefault="00731D3C" w:rsidP="00731D3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Monitor </w:t>
            </w:r>
            <w:r w:rsidR="00DA1164">
              <w:rPr>
                <w:rFonts w:asciiTheme="minorHAnsi" w:hAnsiTheme="minorHAnsi" w:cstheme="minorHAnsi"/>
                <w:sz w:val="22"/>
                <w:szCs w:val="22"/>
              </w:rPr>
              <w:t xml:space="preserve">students’ ABCs </w:t>
            </w:r>
            <w:r w:rsidR="0066191B">
              <w:rPr>
                <w:rFonts w:asciiTheme="minorHAnsi" w:hAnsiTheme="minorHAnsi" w:cstheme="minorHAnsi"/>
                <w:sz w:val="22"/>
                <w:szCs w:val="22"/>
              </w:rPr>
              <w:t xml:space="preserve">to assess student progress, see who else may be at risk, and improve interventions. </w:t>
            </w:r>
            <w:r>
              <w:rPr>
                <w:rFonts w:asciiTheme="minorHAnsi" w:hAnsiTheme="minorHAnsi" w:cstheme="minorHAnsi"/>
                <w:sz w:val="22"/>
                <w:szCs w:val="22"/>
              </w:rPr>
              <w:t xml:space="preserve">Then, refer back to Steps 3 &amp; 4 as the cycle is repeated. </w:t>
            </w:r>
          </w:p>
        </w:tc>
        <w:tc>
          <w:tcPr>
            <w:tcW w:w="4445" w:type="dxa"/>
            <w:gridSpan w:val="2"/>
            <w:vMerge w:val="restart"/>
          </w:tcPr>
          <w:p w14:paraId="5A3904CE" w14:textId="6B1A2393" w:rsidR="00463B94" w:rsidRDefault="000F120E" w:rsidP="00223D5F">
            <w:pPr>
              <w:rPr>
                <w:noProof/>
              </w:rPr>
            </w:pPr>
            <w:r>
              <w:rPr>
                <w:noProof/>
                <w:lang w:eastAsia="zh-CN"/>
              </w:rPr>
              <w:drawing>
                <wp:inline distT="0" distB="0" distL="0" distR="0" wp14:anchorId="64D3B037" wp14:editId="6E61CDDF">
                  <wp:extent cx="2616663" cy="3143250"/>
                  <wp:effectExtent l="0" t="0" r="0" b="0"/>
                  <wp:docPr id="3" name="Picture 3" descr="Get Organized&#10;Review EWIS Risk Data&#10;Explore Underlying Cycles of Risk&#10;Assign Interventions&#10;Monitor Student Risk and Interventions&#10;Refine the Process" title="cycle of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0132" cy="3147417"/>
                          </a:xfrm>
                          <a:prstGeom prst="rect">
                            <a:avLst/>
                          </a:prstGeom>
                        </pic:spPr>
                      </pic:pic>
                    </a:graphicData>
                  </a:graphic>
                </wp:inline>
              </w:drawing>
            </w:r>
          </w:p>
        </w:tc>
      </w:tr>
      <w:tr w:rsidR="007C7051" w14:paraId="3C6E0EB1" w14:textId="77777777" w:rsidTr="00A625D5">
        <w:trPr>
          <w:trHeight w:val="259"/>
        </w:trPr>
        <w:tc>
          <w:tcPr>
            <w:tcW w:w="6064" w:type="dxa"/>
            <w:gridSpan w:val="2"/>
          </w:tcPr>
          <w:p w14:paraId="16460E97" w14:textId="77777777" w:rsidR="009E791B" w:rsidRDefault="009E791B" w:rsidP="00223D5F">
            <w:pPr>
              <w:rPr>
                <w:rFonts w:cstheme="minorHAnsi"/>
                <w:b/>
              </w:rPr>
            </w:pPr>
          </w:p>
          <w:p w14:paraId="77D9C7E0" w14:textId="7F9023A1" w:rsidR="00F93EF5" w:rsidRPr="00834B06" w:rsidRDefault="00BF7CE0" w:rsidP="00223D5F">
            <w:pPr>
              <w:rPr>
                <w:rFonts w:cstheme="minorHAnsi"/>
              </w:rPr>
            </w:pPr>
            <w:r>
              <w:rPr>
                <w:rFonts w:cstheme="minorHAnsi"/>
                <w:b/>
              </w:rPr>
              <w:t xml:space="preserve">At the </w:t>
            </w:r>
            <w:r w:rsidR="00082263">
              <w:rPr>
                <w:rFonts w:cstheme="minorHAnsi"/>
                <w:b/>
              </w:rPr>
              <w:t>End of</w:t>
            </w:r>
            <w:r>
              <w:rPr>
                <w:rFonts w:cstheme="minorHAnsi"/>
                <w:b/>
              </w:rPr>
              <w:t xml:space="preserve"> the</w:t>
            </w:r>
            <w:r w:rsidR="00082263">
              <w:rPr>
                <w:rFonts w:cstheme="minorHAnsi"/>
                <w:b/>
              </w:rPr>
              <w:t xml:space="preserve"> School Year or</w:t>
            </w:r>
            <w:r w:rsidR="00F93EF5" w:rsidRPr="00834B06">
              <w:rPr>
                <w:rFonts w:cstheme="minorHAnsi"/>
                <w:b/>
              </w:rPr>
              <w:t xml:space="preserve"> </w:t>
            </w:r>
            <w:r>
              <w:rPr>
                <w:rFonts w:cstheme="minorHAnsi"/>
                <w:b/>
              </w:rPr>
              <w:t xml:space="preserve">In the </w:t>
            </w:r>
            <w:r w:rsidR="00F93EF5" w:rsidRPr="00834B06">
              <w:rPr>
                <w:rFonts w:cstheme="minorHAnsi"/>
                <w:b/>
              </w:rPr>
              <w:t>Summer</w:t>
            </w:r>
            <w:r w:rsidR="00F93EF5" w:rsidRPr="00834B06">
              <w:rPr>
                <w:rFonts w:cstheme="minorHAnsi"/>
              </w:rPr>
              <w:t xml:space="preserve"> </w:t>
            </w:r>
          </w:p>
        </w:tc>
        <w:tc>
          <w:tcPr>
            <w:tcW w:w="4445" w:type="dxa"/>
            <w:gridSpan w:val="2"/>
            <w:vMerge/>
          </w:tcPr>
          <w:p w14:paraId="78D5C832" w14:textId="77777777" w:rsidR="00F93EF5" w:rsidRDefault="00F93EF5" w:rsidP="00223D5F"/>
        </w:tc>
      </w:tr>
      <w:tr w:rsidR="007C7051" w14:paraId="6733EB1D" w14:textId="77777777" w:rsidTr="00A625D5">
        <w:trPr>
          <w:trHeight w:val="1225"/>
        </w:trPr>
        <w:tc>
          <w:tcPr>
            <w:tcW w:w="6064" w:type="dxa"/>
            <w:gridSpan w:val="2"/>
            <w:tcBorders>
              <w:bottom w:val="single" w:sz="4" w:space="0" w:color="auto"/>
            </w:tcBorders>
          </w:tcPr>
          <w:p w14:paraId="65365EC3" w14:textId="079E2751" w:rsidR="00F93EF5" w:rsidRPr="00834B06" w:rsidRDefault="00F77605" w:rsidP="00223D5F">
            <w:pPr>
              <w:rPr>
                <w:rFonts w:cstheme="minorHAnsi"/>
                <w:b/>
              </w:rPr>
            </w:pPr>
            <w:r>
              <w:rPr>
                <w:rFonts w:cstheme="minorHAnsi"/>
                <w:b/>
              </w:rPr>
              <w:t xml:space="preserve">Step 6: </w:t>
            </w:r>
            <w:r w:rsidR="0062201A">
              <w:rPr>
                <w:rFonts w:cstheme="minorHAnsi"/>
                <w:b/>
              </w:rPr>
              <w:t>Refine the P</w:t>
            </w:r>
            <w:r w:rsidR="00F93EF5" w:rsidRPr="00834B06">
              <w:rPr>
                <w:rFonts w:cstheme="minorHAnsi"/>
                <w:b/>
              </w:rPr>
              <w:t xml:space="preserve">rocess </w:t>
            </w:r>
          </w:p>
          <w:p w14:paraId="71DE3D19" w14:textId="1B054143" w:rsidR="00454A2A" w:rsidRPr="00834B06" w:rsidRDefault="00F93EF5" w:rsidP="00BF7CE0">
            <w:pPr>
              <w:rPr>
                <w:rFonts w:cstheme="minorHAnsi"/>
              </w:rPr>
            </w:pPr>
            <w:r w:rsidRPr="00834B06">
              <w:rPr>
                <w:rFonts w:cstheme="minorHAnsi"/>
              </w:rPr>
              <w:t xml:space="preserve">How did it go? What was easy, what was hard? Take time at the end of year to reflect </w:t>
            </w:r>
            <w:r w:rsidR="00BF7CE0">
              <w:rPr>
                <w:rFonts w:cstheme="minorHAnsi"/>
              </w:rPr>
              <w:t>on the approach and</w:t>
            </w:r>
            <w:r w:rsidRPr="00834B06">
              <w:rPr>
                <w:rFonts w:cstheme="minorHAnsi"/>
              </w:rPr>
              <w:t xml:space="preserve"> </w:t>
            </w:r>
            <w:r w:rsidR="00BF7CE0">
              <w:rPr>
                <w:rFonts w:cstheme="minorHAnsi"/>
              </w:rPr>
              <w:t>outcomes</w:t>
            </w:r>
            <w:r w:rsidRPr="00834B06">
              <w:rPr>
                <w:rFonts w:cstheme="minorHAnsi"/>
              </w:rPr>
              <w:t xml:space="preserve">, and make plans to incorporate changes next year. </w:t>
            </w:r>
          </w:p>
        </w:tc>
        <w:tc>
          <w:tcPr>
            <w:tcW w:w="4445" w:type="dxa"/>
            <w:gridSpan w:val="2"/>
            <w:vMerge/>
            <w:tcBorders>
              <w:bottom w:val="single" w:sz="4" w:space="0" w:color="auto"/>
            </w:tcBorders>
          </w:tcPr>
          <w:p w14:paraId="75DAD540" w14:textId="77777777" w:rsidR="00F93EF5" w:rsidRDefault="00F93EF5" w:rsidP="00223D5F"/>
        </w:tc>
      </w:tr>
      <w:tr w:rsidR="00E50843" w14:paraId="4F1E5BAA" w14:textId="77777777" w:rsidTr="00465E86">
        <w:trPr>
          <w:trHeight w:val="1927"/>
        </w:trPr>
        <w:tc>
          <w:tcPr>
            <w:tcW w:w="2308" w:type="dxa"/>
            <w:tcBorders>
              <w:top w:val="single" w:sz="4" w:space="0" w:color="auto"/>
              <w:left w:val="single" w:sz="4" w:space="0" w:color="auto"/>
              <w:bottom w:val="single" w:sz="4" w:space="0" w:color="auto"/>
            </w:tcBorders>
            <w:shd w:val="clear" w:color="auto" w:fill="DEEAF6" w:themeFill="accent1" w:themeFillTint="33"/>
          </w:tcPr>
          <w:p w14:paraId="4DCFA2E8" w14:textId="0EF335C9" w:rsidR="00E50843" w:rsidRPr="008B51D7" w:rsidRDefault="0093794E" w:rsidP="00465E86">
            <w:pPr>
              <w:ind w:left="-110"/>
              <w:rPr>
                <w:b/>
              </w:rPr>
            </w:pPr>
            <w:r>
              <w:rPr>
                <w:noProof/>
                <w:lang w:eastAsia="zh-CN"/>
              </w:rPr>
              <w:drawing>
                <wp:inline distT="0" distB="0" distL="0" distR="0" wp14:anchorId="23631AB1" wp14:editId="686C30E3">
                  <wp:extent cx="1174527" cy="1219200"/>
                  <wp:effectExtent l="0" t="0" r="6985" b="0"/>
                  <wp:docPr id="6" name="Picture 6" descr="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04688" cy="1250508"/>
                          </a:xfrm>
                          <a:prstGeom prst="rect">
                            <a:avLst/>
                          </a:prstGeom>
                        </pic:spPr>
                      </pic:pic>
                    </a:graphicData>
                  </a:graphic>
                </wp:inline>
              </w:drawing>
            </w:r>
          </w:p>
        </w:tc>
        <w:tc>
          <w:tcPr>
            <w:tcW w:w="8201" w:type="dxa"/>
            <w:gridSpan w:val="3"/>
            <w:tcBorders>
              <w:top w:val="single" w:sz="4" w:space="0" w:color="auto"/>
              <w:bottom w:val="single" w:sz="4" w:space="0" w:color="auto"/>
              <w:right w:val="single" w:sz="4" w:space="0" w:color="auto"/>
            </w:tcBorders>
            <w:shd w:val="clear" w:color="auto" w:fill="DEEAF6" w:themeFill="accent1" w:themeFillTint="33"/>
          </w:tcPr>
          <w:p w14:paraId="06E92699" w14:textId="77777777" w:rsidR="0093794E" w:rsidRPr="00BF7CE0" w:rsidRDefault="0093794E" w:rsidP="00223D5F">
            <w:pPr>
              <w:rPr>
                <w:b/>
                <w:sz w:val="12"/>
              </w:rPr>
            </w:pPr>
          </w:p>
          <w:p w14:paraId="2BA03F40" w14:textId="64114DF9" w:rsidR="0093794E" w:rsidRDefault="00E50843" w:rsidP="00223D5F">
            <w:r w:rsidRPr="00624194">
              <w:rPr>
                <w:b/>
              </w:rPr>
              <w:t>Would you like to get better at ‘using data’?</w:t>
            </w:r>
            <w:r>
              <w:t xml:space="preserve"> </w:t>
            </w:r>
          </w:p>
          <w:p w14:paraId="27BE92BD" w14:textId="77777777" w:rsidR="0093794E" w:rsidRPr="00BF7CE0" w:rsidRDefault="0093794E" w:rsidP="00223D5F">
            <w:pPr>
              <w:rPr>
                <w:sz w:val="12"/>
              </w:rPr>
            </w:pPr>
          </w:p>
          <w:p w14:paraId="6A910A79" w14:textId="77777777" w:rsidR="00BF7CE0" w:rsidRDefault="00E50843" w:rsidP="00223D5F">
            <w:r>
              <w:t xml:space="preserve">Many strategies </w:t>
            </w:r>
            <w:proofErr w:type="gramStart"/>
            <w:r>
              <w:t>work;</w:t>
            </w:r>
            <w:proofErr w:type="gramEnd"/>
            <w:r>
              <w:t xml:space="preserve"> choose one that feels right for you</w:t>
            </w:r>
            <w:r w:rsidR="00A625D5">
              <w:t xml:space="preserve"> and your team</w:t>
            </w:r>
            <w:r>
              <w:t>. Periodically, reflect on what is working and what is not working</w:t>
            </w:r>
            <w:r w:rsidR="007E0CFD">
              <w:t>, and adapt your strategies</w:t>
            </w:r>
            <w:r>
              <w:t xml:space="preserve"> as needed. Start small, stay flexible and tap others for support. </w:t>
            </w:r>
          </w:p>
          <w:p w14:paraId="49413B1F" w14:textId="77777777" w:rsidR="00BF7CE0" w:rsidRPr="00BF7CE0" w:rsidRDefault="00BF7CE0" w:rsidP="00223D5F">
            <w:pPr>
              <w:rPr>
                <w:sz w:val="12"/>
              </w:rPr>
            </w:pPr>
          </w:p>
          <w:p w14:paraId="31A98349" w14:textId="594BBA91" w:rsidR="00E50843" w:rsidRDefault="00E50843" w:rsidP="00223D5F">
            <w:r>
              <w:t xml:space="preserve">You – and your students – are worth it! </w:t>
            </w:r>
          </w:p>
        </w:tc>
      </w:tr>
    </w:tbl>
    <w:p w14:paraId="77F257F2" w14:textId="38D4E2AB" w:rsidR="007427EA" w:rsidRDefault="009171F9" w:rsidP="00D441A4"/>
    <w:p w14:paraId="14358C28" w14:textId="01AD79C4" w:rsidR="00D63975" w:rsidRDefault="00D63975" w:rsidP="00D63975">
      <w:pPr>
        <w:spacing w:before="120" w:after="0"/>
        <w:jc w:val="center"/>
      </w:pPr>
      <w:r w:rsidRPr="00D63975">
        <w:rPr>
          <w:b/>
          <w:color w:val="1F4E79" w:themeColor="accent1" w:themeShade="80"/>
          <w:sz w:val="24"/>
          <w:szCs w:val="24"/>
        </w:rPr>
        <w:lastRenderedPageBreak/>
        <w:t>For questions</w:t>
      </w:r>
      <w:r>
        <w:t xml:space="preserve">: Email </w:t>
      </w:r>
      <w:hyperlink r:id="rId22" w:history="1">
        <w:r w:rsidRPr="00E85453">
          <w:rPr>
            <w:rStyle w:val="Hyperlink"/>
          </w:rPr>
          <w:t>EWIS@doe.mass.edu</w:t>
        </w:r>
      </w:hyperlink>
      <w:r>
        <w:t xml:space="preserve"> or see resources at </w:t>
      </w:r>
      <w:hyperlink r:id="rId23" w:history="1">
        <w:r w:rsidR="00B4216C">
          <w:rPr>
            <w:rStyle w:val="Hyperlink"/>
          </w:rPr>
          <w:t>https://www.doe.mass.edu/ccte/ccr/ewis/default.html</w:t>
        </w:r>
      </w:hyperlink>
      <w:r>
        <w:t xml:space="preserve"> .</w:t>
      </w:r>
    </w:p>
    <w:sectPr w:rsidR="00D63975" w:rsidSect="00BA3EC2">
      <w:pgSz w:w="12240" w:h="15840"/>
      <w:pgMar w:top="720" w:right="36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A249" w14:textId="77777777" w:rsidR="009171F9" w:rsidRDefault="009171F9" w:rsidP="00B2282E">
      <w:pPr>
        <w:spacing w:after="0" w:line="240" w:lineRule="auto"/>
      </w:pPr>
      <w:r>
        <w:separator/>
      </w:r>
    </w:p>
  </w:endnote>
  <w:endnote w:type="continuationSeparator" w:id="0">
    <w:p w14:paraId="029CCFE0" w14:textId="77777777" w:rsidR="009171F9" w:rsidRDefault="009171F9" w:rsidP="00B2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1B9EC" w14:textId="77777777" w:rsidR="009171F9" w:rsidRDefault="009171F9" w:rsidP="00B2282E">
      <w:pPr>
        <w:spacing w:after="0" w:line="240" w:lineRule="auto"/>
      </w:pPr>
      <w:r>
        <w:separator/>
      </w:r>
    </w:p>
  </w:footnote>
  <w:footnote w:type="continuationSeparator" w:id="0">
    <w:p w14:paraId="13E04AFD" w14:textId="77777777" w:rsidR="009171F9" w:rsidRDefault="009171F9" w:rsidP="00B2282E">
      <w:pPr>
        <w:spacing w:after="0" w:line="240" w:lineRule="auto"/>
      </w:pPr>
      <w:r>
        <w:continuationSeparator/>
      </w:r>
    </w:p>
  </w:footnote>
  <w:footnote w:id="1">
    <w:p w14:paraId="49D9E678" w14:textId="5A9AE715" w:rsidR="006B6296" w:rsidRPr="007A3159" w:rsidRDefault="006B6296" w:rsidP="006B6296">
      <w:pPr>
        <w:pStyle w:val="FootnoteText"/>
      </w:pPr>
      <w:r w:rsidRPr="007A3159">
        <w:rPr>
          <w:rStyle w:val="FootnoteReference"/>
        </w:rPr>
        <w:footnoteRef/>
      </w:r>
      <w:r w:rsidRPr="007A3159">
        <w:t xml:space="preserve"> </w:t>
      </w:r>
      <w:hyperlink r:id="rId1" w:history="1">
        <w:r w:rsidRPr="007A3159">
          <w:rPr>
            <w:rStyle w:val="Hyperlink"/>
          </w:rPr>
          <w:t>Massachusetts graduation rates</w:t>
        </w:r>
      </w:hyperlink>
      <w:r w:rsidRPr="007A3159">
        <w:t xml:space="preserve"> have improved statewide: 88</w:t>
      </w:r>
      <w:r w:rsidR="00B8371B">
        <w:t>.9</w:t>
      </w:r>
      <w:r w:rsidRPr="007A3159">
        <w:t>% complete high school</w:t>
      </w:r>
      <w:r w:rsidR="000C4279">
        <w:t xml:space="preserve"> in 4 years</w:t>
      </w:r>
      <w:r w:rsidRPr="007A3159">
        <w:t>.</w:t>
      </w:r>
    </w:p>
  </w:footnote>
  <w:footnote w:id="2">
    <w:p w14:paraId="0B4F66D7" w14:textId="1E41549F" w:rsidR="00496D8C" w:rsidRPr="00D63975" w:rsidRDefault="00496D8C" w:rsidP="00502029">
      <w:pPr>
        <w:pStyle w:val="FootnoteText"/>
        <w:rPr>
          <w:sz w:val="18"/>
          <w:szCs w:val="18"/>
        </w:rPr>
      </w:pPr>
      <w:r w:rsidRPr="007A3159">
        <w:rPr>
          <w:rStyle w:val="FootnoteReference"/>
        </w:rPr>
        <w:footnoteRef/>
      </w:r>
      <w:r w:rsidRPr="007A3159">
        <w:t xml:space="preserve"> </w:t>
      </w:r>
      <w:r w:rsidR="006B6296" w:rsidRPr="007A3159">
        <w:t>African American or Black students, Hispanic/Latino students, students who are Engli</w:t>
      </w:r>
      <w:r w:rsidR="00553E78" w:rsidRPr="007A3159">
        <w:t xml:space="preserve">sh Language Learners, </w:t>
      </w:r>
      <w:r w:rsidR="006B6296" w:rsidRPr="007A3159">
        <w:t xml:space="preserve">students with disabilities </w:t>
      </w:r>
      <w:r w:rsidR="00553E78" w:rsidRPr="007A3159">
        <w:t xml:space="preserve">and economically disadvantaged </w:t>
      </w:r>
      <w:proofErr w:type="gramStart"/>
      <w:r w:rsidR="00553E78" w:rsidRPr="007A3159">
        <w:t>students</w:t>
      </w:r>
      <w:proofErr w:type="gramEnd"/>
      <w:r w:rsidR="00553E78" w:rsidRPr="007A3159">
        <w:t xml:space="preserve"> </w:t>
      </w:r>
      <w:r w:rsidR="006B6296" w:rsidRPr="007A3159">
        <w:t>complete high school at lower rates than students who are white and students who are Asian.</w:t>
      </w:r>
      <w:r w:rsidR="00065951" w:rsidRPr="007A3159">
        <w:t xml:space="preserve"> </w:t>
      </w:r>
      <w:r w:rsidRPr="007A3159">
        <w:t xml:space="preserve">Explore gaps at </w:t>
      </w:r>
      <w:hyperlink r:id="rId2" w:history="1">
        <w:r w:rsidR="009E791B" w:rsidRPr="007A3159">
          <w:rPr>
            <w:rStyle w:val="Hyperlink"/>
          </w:rPr>
          <w:t>Success After High School DART</w:t>
        </w:r>
      </w:hyperlink>
      <w:r w:rsidRPr="007A3159">
        <w:t xml:space="preserve">  or </w:t>
      </w:r>
      <w:hyperlink r:id="rId3" w:history="1">
        <w:r w:rsidRPr="007A3159">
          <w:rPr>
            <w:rStyle w:val="Hyperlink"/>
          </w:rPr>
          <w:t>www.mass.gov/SuccessABCs</w:t>
        </w:r>
      </w:hyperlink>
      <w:r w:rsidR="00065951" w:rsidRPr="007A315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93DF3"/>
    <w:multiLevelType w:val="hybridMultilevel"/>
    <w:tmpl w:val="BD08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6D1FFE"/>
    <w:multiLevelType w:val="hybridMultilevel"/>
    <w:tmpl w:val="23EC7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F72EB"/>
    <w:multiLevelType w:val="hybridMultilevel"/>
    <w:tmpl w:val="7200D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6E7040"/>
    <w:multiLevelType w:val="hybridMultilevel"/>
    <w:tmpl w:val="E2AEF12A"/>
    <w:lvl w:ilvl="0" w:tplc="31EEF04A">
      <w:start w:val="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7C"/>
    <w:rsid w:val="00000432"/>
    <w:rsid w:val="000541C1"/>
    <w:rsid w:val="00065951"/>
    <w:rsid w:val="00070826"/>
    <w:rsid w:val="00082263"/>
    <w:rsid w:val="000C4279"/>
    <w:rsid w:val="000F120E"/>
    <w:rsid w:val="00153B3A"/>
    <w:rsid w:val="001C780F"/>
    <w:rsid w:val="001E049C"/>
    <w:rsid w:val="001E209C"/>
    <w:rsid w:val="00205E16"/>
    <w:rsid w:val="00213B3A"/>
    <w:rsid w:val="00236CF5"/>
    <w:rsid w:val="002652F4"/>
    <w:rsid w:val="0027221C"/>
    <w:rsid w:val="00275CF1"/>
    <w:rsid w:val="00283251"/>
    <w:rsid w:val="00286C7E"/>
    <w:rsid w:val="0029557B"/>
    <w:rsid w:val="002A53F4"/>
    <w:rsid w:val="002B210D"/>
    <w:rsid w:val="002C437C"/>
    <w:rsid w:val="002D28AF"/>
    <w:rsid w:val="002D799C"/>
    <w:rsid w:val="00346112"/>
    <w:rsid w:val="00352253"/>
    <w:rsid w:val="00385B5A"/>
    <w:rsid w:val="003925B2"/>
    <w:rsid w:val="003D5F3F"/>
    <w:rsid w:val="004143DD"/>
    <w:rsid w:val="00453FD9"/>
    <w:rsid w:val="00454A2A"/>
    <w:rsid w:val="00463B94"/>
    <w:rsid w:val="00465E86"/>
    <w:rsid w:val="00496D8C"/>
    <w:rsid w:val="004A521C"/>
    <w:rsid w:val="004D5726"/>
    <w:rsid w:val="004E6EFD"/>
    <w:rsid w:val="00502029"/>
    <w:rsid w:val="00553E78"/>
    <w:rsid w:val="00565EAC"/>
    <w:rsid w:val="0057565F"/>
    <w:rsid w:val="006008A8"/>
    <w:rsid w:val="0062201A"/>
    <w:rsid w:val="00624194"/>
    <w:rsid w:val="00655107"/>
    <w:rsid w:val="0066191B"/>
    <w:rsid w:val="006740B3"/>
    <w:rsid w:val="006A124A"/>
    <w:rsid w:val="006B6296"/>
    <w:rsid w:val="006D5B2F"/>
    <w:rsid w:val="007025CB"/>
    <w:rsid w:val="00731D3C"/>
    <w:rsid w:val="00777961"/>
    <w:rsid w:val="007929AC"/>
    <w:rsid w:val="00792E8B"/>
    <w:rsid w:val="007A3159"/>
    <w:rsid w:val="007C7051"/>
    <w:rsid w:val="007C7752"/>
    <w:rsid w:val="007C7922"/>
    <w:rsid w:val="007E0CFD"/>
    <w:rsid w:val="008023C9"/>
    <w:rsid w:val="008366D5"/>
    <w:rsid w:val="00860381"/>
    <w:rsid w:val="008A5EA7"/>
    <w:rsid w:val="00901619"/>
    <w:rsid w:val="009171F9"/>
    <w:rsid w:val="00936B61"/>
    <w:rsid w:val="0093794E"/>
    <w:rsid w:val="009762CE"/>
    <w:rsid w:val="00976923"/>
    <w:rsid w:val="009A07DA"/>
    <w:rsid w:val="009C1E58"/>
    <w:rsid w:val="009E791B"/>
    <w:rsid w:val="00A23852"/>
    <w:rsid w:val="00A35E2C"/>
    <w:rsid w:val="00A408C5"/>
    <w:rsid w:val="00A625D5"/>
    <w:rsid w:val="00A942B4"/>
    <w:rsid w:val="00AC306E"/>
    <w:rsid w:val="00AE20C3"/>
    <w:rsid w:val="00B11BEC"/>
    <w:rsid w:val="00B2282E"/>
    <w:rsid w:val="00B4216C"/>
    <w:rsid w:val="00B6629C"/>
    <w:rsid w:val="00B66C4F"/>
    <w:rsid w:val="00B71648"/>
    <w:rsid w:val="00B8371B"/>
    <w:rsid w:val="00BA3EC2"/>
    <w:rsid w:val="00BB63B9"/>
    <w:rsid w:val="00BD7E94"/>
    <w:rsid w:val="00BE667C"/>
    <w:rsid w:val="00BF03AA"/>
    <w:rsid w:val="00BF7CE0"/>
    <w:rsid w:val="00C001C4"/>
    <w:rsid w:val="00C43881"/>
    <w:rsid w:val="00C54EC5"/>
    <w:rsid w:val="00CA182C"/>
    <w:rsid w:val="00CC4496"/>
    <w:rsid w:val="00CF6383"/>
    <w:rsid w:val="00D00F1F"/>
    <w:rsid w:val="00D05BFE"/>
    <w:rsid w:val="00D21635"/>
    <w:rsid w:val="00D26938"/>
    <w:rsid w:val="00D441A4"/>
    <w:rsid w:val="00D63975"/>
    <w:rsid w:val="00D7418E"/>
    <w:rsid w:val="00D74FBC"/>
    <w:rsid w:val="00D84805"/>
    <w:rsid w:val="00DA1164"/>
    <w:rsid w:val="00DD6DE6"/>
    <w:rsid w:val="00DE242D"/>
    <w:rsid w:val="00DE6091"/>
    <w:rsid w:val="00DE6D05"/>
    <w:rsid w:val="00DF364B"/>
    <w:rsid w:val="00E17454"/>
    <w:rsid w:val="00E301A1"/>
    <w:rsid w:val="00E36056"/>
    <w:rsid w:val="00E42DA7"/>
    <w:rsid w:val="00E42EB6"/>
    <w:rsid w:val="00E50843"/>
    <w:rsid w:val="00E52A5E"/>
    <w:rsid w:val="00E93331"/>
    <w:rsid w:val="00E93BD2"/>
    <w:rsid w:val="00EC11E7"/>
    <w:rsid w:val="00EC457E"/>
    <w:rsid w:val="00EE10BF"/>
    <w:rsid w:val="00F57D9A"/>
    <w:rsid w:val="00F62622"/>
    <w:rsid w:val="00F77605"/>
    <w:rsid w:val="00F83A00"/>
    <w:rsid w:val="00F93A8A"/>
    <w:rsid w:val="00F93E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B6E9"/>
  <w15:chartTrackingRefBased/>
  <w15:docId w15:val="{1115FC51-BACE-466D-8800-BF1CF7F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67C"/>
    <w:rPr>
      <w:color w:val="0563C1" w:themeColor="hyperlink"/>
      <w:u w:val="single"/>
    </w:rPr>
  </w:style>
  <w:style w:type="character" w:styleId="CommentReference">
    <w:name w:val="annotation reference"/>
    <w:basedOn w:val="DefaultParagraphFont"/>
    <w:uiPriority w:val="99"/>
    <w:semiHidden/>
    <w:unhideWhenUsed/>
    <w:rsid w:val="00BE667C"/>
    <w:rPr>
      <w:sz w:val="16"/>
      <w:szCs w:val="16"/>
    </w:rPr>
  </w:style>
  <w:style w:type="paragraph" w:styleId="FootnoteText">
    <w:name w:val="footnote text"/>
    <w:basedOn w:val="Normal"/>
    <w:link w:val="FootnoteTextChar"/>
    <w:uiPriority w:val="99"/>
    <w:semiHidden/>
    <w:unhideWhenUsed/>
    <w:rsid w:val="00BE6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67C"/>
    <w:rPr>
      <w:sz w:val="20"/>
      <w:szCs w:val="20"/>
    </w:rPr>
  </w:style>
  <w:style w:type="paragraph" w:styleId="BalloonText">
    <w:name w:val="Balloon Text"/>
    <w:basedOn w:val="Normal"/>
    <w:link w:val="BalloonTextChar"/>
    <w:uiPriority w:val="99"/>
    <w:semiHidden/>
    <w:unhideWhenUsed/>
    <w:rsid w:val="00BE6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7C"/>
    <w:rPr>
      <w:rFonts w:ascii="Segoe UI" w:hAnsi="Segoe UI" w:cs="Segoe UI"/>
      <w:sz w:val="18"/>
      <w:szCs w:val="18"/>
    </w:rPr>
  </w:style>
  <w:style w:type="paragraph" w:styleId="CommentText">
    <w:name w:val="annotation text"/>
    <w:basedOn w:val="Normal"/>
    <w:link w:val="CommentTextChar"/>
    <w:uiPriority w:val="99"/>
    <w:unhideWhenUsed/>
    <w:rsid w:val="00BE667C"/>
    <w:pPr>
      <w:spacing w:line="240" w:lineRule="auto"/>
    </w:pPr>
    <w:rPr>
      <w:sz w:val="20"/>
      <w:szCs w:val="20"/>
    </w:rPr>
  </w:style>
  <w:style w:type="character" w:customStyle="1" w:styleId="CommentTextChar">
    <w:name w:val="Comment Text Char"/>
    <w:basedOn w:val="DefaultParagraphFont"/>
    <w:link w:val="CommentText"/>
    <w:uiPriority w:val="99"/>
    <w:rsid w:val="00BE667C"/>
    <w:rPr>
      <w:sz w:val="20"/>
      <w:szCs w:val="20"/>
    </w:rPr>
  </w:style>
  <w:style w:type="character" w:styleId="FollowedHyperlink">
    <w:name w:val="FollowedHyperlink"/>
    <w:basedOn w:val="DefaultParagraphFont"/>
    <w:uiPriority w:val="99"/>
    <w:semiHidden/>
    <w:unhideWhenUsed/>
    <w:rsid w:val="00BE667C"/>
    <w:rPr>
      <w:color w:val="954F72" w:themeColor="followedHyperlink"/>
      <w:u w:val="single"/>
    </w:rPr>
  </w:style>
  <w:style w:type="paragraph" w:styleId="NormalWeb">
    <w:name w:val="Normal (Web)"/>
    <w:basedOn w:val="Normal"/>
    <w:uiPriority w:val="99"/>
    <w:unhideWhenUsed/>
    <w:rsid w:val="00F93EF5"/>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83A00"/>
    <w:rPr>
      <w:b/>
      <w:bCs/>
    </w:rPr>
  </w:style>
  <w:style w:type="character" w:customStyle="1" w:styleId="CommentSubjectChar">
    <w:name w:val="Comment Subject Char"/>
    <w:basedOn w:val="CommentTextChar"/>
    <w:link w:val="CommentSubject"/>
    <w:uiPriority w:val="99"/>
    <w:semiHidden/>
    <w:rsid w:val="00F83A00"/>
    <w:rPr>
      <w:b/>
      <w:bCs/>
      <w:sz w:val="20"/>
      <w:szCs w:val="20"/>
    </w:rPr>
  </w:style>
  <w:style w:type="character" w:styleId="FootnoteReference">
    <w:name w:val="footnote reference"/>
    <w:basedOn w:val="DefaultParagraphFont"/>
    <w:uiPriority w:val="99"/>
    <w:semiHidden/>
    <w:unhideWhenUsed/>
    <w:rsid w:val="00B2282E"/>
    <w:rPr>
      <w:vertAlign w:val="superscript"/>
    </w:rPr>
  </w:style>
  <w:style w:type="paragraph" w:styleId="ListParagraph">
    <w:name w:val="List Paragraph"/>
    <w:basedOn w:val="Normal"/>
    <w:uiPriority w:val="34"/>
    <w:qFormat/>
    <w:rsid w:val="00496D8C"/>
    <w:pPr>
      <w:ind w:left="720"/>
      <w:contextualSpacing/>
    </w:pPr>
  </w:style>
  <w:style w:type="paragraph" w:styleId="Revision">
    <w:name w:val="Revision"/>
    <w:hidden/>
    <w:uiPriority w:val="99"/>
    <w:semiHidden/>
    <w:rsid w:val="00502029"/>
    <w:pPr>
      <w:spacing w:after="0" w:line="240" w:lineRule="auto"/>
    </w:pPr>
  </w:style>
  <w:style w:type="paragraph" w:styleId="Header">
    <w:name w:val="header"/>
    <w:basedOn w:val="Normal"/>
    <w:link w:val="HeaderChar"/>
    <w:uiPriority w:val="99"/>
    <w:unhideWhenUsed/>
    <w:rsid w:val="00502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29"/>
  </w:style>
  <w:style w:type="paragraph" w:styleId="Footer">
    <w:name w:val="footer"/>
    <w:basedOn w:val="Normal"/>
    <w:link w:val="FooterChar"/>
    <w:uiPriority w:val="99"/>
    <w:unhideWhenUsed/>
    <w:rsid w:val="00502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cte/ccr/ewis/default.html" TargetMode="External"/><Relationship Id="rId18" Type="http://schemas.openxmlformats.org/officeDocument/2006/relationships/hyperlink" Target="http://www.doe.mass.edu/infoservices/data/diradmin/list.aspx"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edw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ccte/ccr/rlo/ewis/story.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ccte/ccr/ewis/default.html" TargetMode="External"/><Relationship Id="rId23" Type="http://schemas.openxmlformats.org/officeDocument/2006/relationships/hyperlink" Target="https://www.doe.mass.edu/ccte/ccr/ewis/default.html" TargetMode="External"/><Relationship Id="rId10" Type="http://schemas.openxmlformats.org/officeDocument/2006/relationships/footnotes" Target="footnotes.xml"/><Relationship Id="rId19" Type="http://schemas.openxmlformats.org/officeDocument/2006/relationships/hyperlink" Target="https://www.doe.mass.edu/ccte/ccr/ewis/faq.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RuYD0LPJQS8&amp;feature=youtu.be" TargetMode="External"/><Relationship Id="rId22" Type="http://schemas.openxmlformats.org/officeDocument/2006/relationships/hyperlink" Target="mailto:EWIS@doe.mass.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SuccessABCs" TargetMode="External"/><Relationship Id="rId2" Type="http://schemas.openxmlformats.org/officeDocument/2006/relationships/hyperlink" Target="http://www.doe.mass.edu/dart/" TargetMode="External"/><Relationship Id="rId1" Type="http://schemas.openxmlformats.org/officeDocument/2006/relationships/hyperlink" Target="http://www.doe.mass.edu/infoservices/reports/grad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DESE-231-43844</_dlc_DocId>
    <_dlc_DocIdUrl xmlns="733efe1c-5bbe-4968-87dc-d400e65c879f">
      <Url>https://sharepoint.doemass.org/ese/webteam/cps/_layouts/DocIdRedir.aspx?ID=DESE-231-43844</Url>
      <Description>DESE-231-43844</Description>
    </_dlc_DocIdUrl>
  </documentManagement>
</p:properties>
</file>

<file path=customXml/itemProps1.xml><?xml version="1.0" encoding="utf-8"?>
<ds:datastoreItem xmlns:ds="http://schemas.openxmlformats.org/officeDocument/2006/customXml" ds:itemID="{E6831239-F9F0-4984-9C83-E9C25BA0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5DDBA-C5C5-4F09-802E-9C173F276A39}">
  <ds:schemaRefs>
    <ds:schemaRef ds:uri="http://schemas.openxmlformats.org/officeDocument/2006/bibliography"/>
  </ds:schemaRefs>
</ds:datastoreItem>
</file>

<file path=customXml/itemProps3.xml><?xml version="1.0" encoding="utf-8"?>
<ds:datastoreItem xmlns:ds="http://schemas.openxmlformats.org/officeDocument/2006/customXml" ds:itemID="{EF004820-B036-4483-B683-F033DBD41983}">
  <ds:schemaRefs>
    <ds:schemaRef ds:uri="http://schemas.microsoft.com/sharepoint/events"/>
  </ds:schemaRefs>
</ds:datastoreItem>
</file>

<file path=customXml/itemProps4.xml><?xml version="1.0" encoding="utf-8"?>
<ds:datastoreItem xmlns:ds="http://schemas.openxmlformats.org/officeDocument/2006/customXml" ds:itemID="{7D0FAE61-5DED-4D89-B6DF-A91E73390CC2}">
  <ds:schemaRefs>
    <ds:schemaRef ds:uri="http://schemas.microsoft.com/sharepoint/v3/contenttype/forms"/>
  </ds:schemaRefs>
</ds:datastoreItem>
</file>

<file path=customXml/itemProps5.xml><?xml version="1.0" encoding="utf-8"?>
<ds:datastoreItem xmlns:ds="http://schemas.openxmlformats.org/officeDocument/2006/customXml" ds:itemID="{FAA9D9EA-59BD-411F-86ED-6808FFDC98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HS EWIS one pager</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EWIS one pager</dc:title>
  <dc:subject/>
  <dc:creator>DESE</dc:creator>
  <cp:keywords/>
  <dc:description/>
  <cp:lastModifiedBy>Zou, Dong (EOE)</cp:lastModifiedBy>
  <cp:revision>9</cp:revision>
  <cp:lastPrinted>2018-07-19T22:23:00Z</cp:lastPrinted>
  <dcterms:created xsi:type="dcterms:W3CDTF">2022-07-15T12:14:00Z</dcterms:created>
  <dcterms:modified xsi:type="dcterms:W3CDTF">2022-07-19T16:57:00Z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2022</vt:lpwstr>
  </property>
</Properties>
</file>