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78" w:rsidRPr="00307978" w:rsidRDefault="00307978" w:rsidP="00261B88">
      <w:pPr>
        <w:pStyle w:val="Heading1"/>
        <w:spacing w:line="276" w:lineRule="auto"/>
        <w:jc w:val="both"/>
      </w:pPr>
      <w:r w:rsidRPr="00307978">
        <w:t>MassGrad</w:t>
      </w:r>
    </w:p>
    <w:p w:rsidR="00307978" w:rsidRDefault="00307978" w:rsidP="00261B88">
      <w:pPr>
        <w:pStyle w:val="Heading2"/>
        <w:spacing w:line="276" w:lineRule="auto"/>
        <w:jc w:val="both"/>
      </w:pPr>
      <w:r w:rsidRPr="00307978">
        <w:t xml:space="preserve">Supporting </w:t>
      </w:r>
      <w:r w:rsidR="007B1219">
        <w:t xml:space="preserve">success after high school through dropout prevention, intervention, and reengagement </w:t>
      </w:r>
    </w:p>
    <w:p w:rsidR="007B1219" w:rsidRPr="007B1219" w:rsidRDefault="007B1219" w:rsidP="00261B88">
      <w:pPr>
        <w:jc w:val="both"/>
      </w:pPr>
    </w:p>
    <w:p w:rsidR="00015FD4" w:rsidRPr="00015FD4" w:rsidRDefault="00E15256" w:rsidP="00261B88">
      <w:pPr>
        <w:pStyle w:val="Heading2"/>
        <w:spacing w:line="276" w:lineRule="auto"/>
        <w:jc w:val="both"/>
      </w:pPr>
      <w:r>
        <w:rPr>
          <w:noProof/>
        </w:rPr>
        <w:pict>
          <v:rect id="Rectangle 2" o:spid="_x0000_s1026" style="position:absolute;left:0;text-align:left;margin-left:357pt;margin-top:8.95pt;width:87pt;height:6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RRiAIAAGcFAAAOAAAAZHJzL2Uyb0RvYy54bWysVE1v2zAMvQ/YfxB0X20H6dYGdYqgRYcB&#10;RVu0HXpWZCk2IIsapcTOfv0o2XE/scOwHBxKJB/JJ5Jn531r2E6hb8CWvDjKOVNWQtXYTcl/Pl59&#10;OeHMB2ErYcCqku+V5+fLz5/OOrdQM6jBVAoZgVi/6FzJ6xDcIsu8rFUr/BE4ZUmpAVsR6IibrELR&#10;EXprslmef806wMohSOU93V4OSr5M+ForGW619iowU3LKLaQvpu86frPlmVhsULi6kWMa4h+yaEVj&#10;KegEdSmCYFts3kG1jUTwoMORhDYDrRupUg1UTZG/qeahFk6lWogc7yaa/P+DlTe7O2RNVfIZZ1a0&#10;9ET3RJqwG6PYLNLTOb8gqwd3h+PJkxhr7TW28Z+qYH2idD9RqvrAJF0WRT4/zYl5SbqT4rQ4Tpxn&#10;z94OffiuoGVRKDlS9MSk2F37QBHJ9GASg1m4aoxJz2bsqwsyjDdZTHhIMUlhb1S0M/ZeaaqUkpql&#10;AKnH1IVBthPUHUJKZUMxqGpRqeH6OKdf5IHgJ490SoARWVNCE/YIEPv3PfYAM9pHV5VadHLO/5bY&#10;4Dx5pMhgw+TcNhbwIwBDVY2RB/sDSQM1kaXQr3syieIaqj21BMIwK97Jq4Ze5lr4cCeQhoMekwY+&#10;3NJHG+hKDqPEWQ34+6P7aE89S1rOOhq2kvtfW4GKM/PDUjefFvN5nM50mB9/m9EBX2rWLzV2214A&#10;vVhBq8XJJEb7YA6iRmifaC+sYlRSCSspdsllwMPhIgxLgDaLVKtVMqOJdCJc2wcnI3gkOHbeY/8k&#10;0I3tGaixb+AwmGLxpksH2+hpYbUNoJvUws+8jtTTNKceGjdPXBcvz8nqeT8u/wAAAP//AwBQSwME&#10;FAAGAAgAAAAhAHFcLuHeAAAACgEAAA8AAABkcnMvZG93bnJldi54bWxMj0FPg0AQhe8m/ofNmPRm&#10;lzakpcjSkEab9GgxMd4WdgSUnSXsltJ/73jS47z38uZ72X62vZhw9J0jBatlBAKpdqajRsFb+fKY&#10;gPBBk9G9I1RwQw/7/P4u06lxV3rF6RwawSXkU62gDWFIpfR1i1b7pRuQ2Pt0o9WBz7GRZtRXLre9&#10;XEfRRlrdEX9o9YCHFuvv88Uq8NV0Km9D8f714euqeCZbxqejUouHuXgCEXAOf2H4xWd0yJmpchcy&#10;XvQKtquYtwQ2tjsQHEiShIWKhXizA5ln8v+E/AcAAP//AwBQSwECLQAUAAYACAAAACEAtoM4kv4A&#10;AADhAQAAEwAAAAAAAAAAAAAAAAAAAAAAW0NvbnRlbnRfVHlwZXNdLnhtbFBLAQItABQABgAIAAAA&#10;IQA4/SH/1gAAAJQBAAALAAAAAAAAAAAAAAAAAC8BAABfcmVscy8ucmVsc1BLAQItABQABgAIAAAA&#10;IQBA2gRRiAIAAGcFAAAOAAAAAAAAAAAAAAAAAC4CAABkcnMvZTJvRG9jLnhtbFBLAQItABQABgAI&#10;AAAAIQBxXC7h3gAAAAoBAAAPAAAAAAAAAAAAAAAAAOIEAABkcnMvZG93bnJldi54bWxQSwUGAAAA&#10;AAQABADzAAAA7QUAAAAA&#10;" filled="f" stroked="f" strokeweight="2pt">
            <v:textbox>
              <w:txbxContent>
                <w:p w:rsidR="00307978" w:rsidRPr="007B1219" w:rsidRDefault="00307978" w:rsidP="007B1219">
                  <w:pPr>
                    <w:pStyle w:val="Heading3"/>
                    <w:rPr>
                      <w:b/>
                    </w:rPr>
                  </w:pPr>
                  <w:r w:rsidRPr="007B1219">
                    <w:rPr>
                      <w:b/>
                    </w:rPr>
                    <w:t>Dropout</w:t>
                  </w:r>
                </w:p>
                <w:p w:rsidR="00307978" w:rsidRPr="007B1219" w:rsidRDefault="00307978" w:rsidP="007B1219">
                  <w:pPr>
                    <w:pStyle w:val="Heading3"/>
                    <w:rPr>
                      <w:b/>
                    </w:rPr>
                  </w:pPr>
                  <w:r w:rsidRPr="007B1219">
                    <w:rPr>
                      <w:b/>
                    </w:rPr>
                    <w:t>Reduction</w:t>
                  </w:r>
                </w:p>
                <w:p w:rsidR="00307978" w:rsidRPr="007B1219" w:rsidRDefault="00307978" w:rsidP="007B1219">
                  <w:pPr>
                    <w:pStyle w:val="Heading3"/>
                    <w:rPr>
                      <w:b/>
                    </w:rPr>
                  </w:pPr>
                  <w:r w:rsidRPr="007B1219">
                    <w:rPr>
                      <w:b/>
                    </w:rPr>
                    <w:t>Strategies</w:t>
                  </w:r>
                </w:p>
              </w:txbxContent>
            </v:textbox>
          </v:rect>
        </w:pict>
      </w:r>
      <w:r w:rsidR="00015FD4" w:rsidRPr="00015FD4">
        <w:t xml:space="preserve">Graduation for </w:t>
      </w:r>
      <w:r w:rsidR="009C7D39">
        <w:t>E</w:t>
      </w:r>
      <w:r w:rsidR="00015FD4" w:rsidRPr="00015FD4">
        <w:t xml:space="preserve">very </w:t>
      </w:r>
      <w:r w:rsidR="009C7D39">
        <w:t>S</w:t>
      </w:r>
      <w:r w:rsidR="00015FD4" w:rsidRPr="00015FD4">
        <w:t>tudent</w:t>
      </w:r>
    </w:p>
    <w:p w:rsidR="00307978" w:rsidRDefault="00307978" w:rsidP="00261B88">
      <w:pPr>
        <w:jc w:val="both"/>
        <w:sectPr w:rsidR="00307978" w:rsidSect="00EB0FAB">
          <w:pgSz w:w="12240" w:h="15840" w:code="1"/>
          <w:pgMar w:top="1080" w:right="1440" w:bottom="1080" w:left="1440" w:header="720" w:footer="720" w:gutter="0"/>
          <w:cols w:space="720"/>
          <w:docGrid w:linePitch="360"/>
        </w:sectPr>
      </w:pPr>
    </w:p>
    <w:p w:rsidR="00DE6DD9" w:rsidRDefault="00DE6DD9" w:rsidP="00261B88">
      <w:pPr>
        <w:jc w:val="both"/>
      </w:pPr>
    </w:p>
    <w:p w:rsidR="00DB6547" w:rsidRDefault="00015FD4" w:rsidP="00261B88">
      <w:pPr>
        <w:jc w:val="both"/>
      </w:pPr>
      <w:r>
        <w:t>The reasons why students drop</w:t>
      </w:r>
      <w:r w:rsidR="009C7D39">
        <w:t xml:space="preserve"> </w:t>
      </w:r>
      <w:r>
        <w:t>out</w:t>
      </w:r>
      <w:r w:rsidR="009C7D39">
        <w:t xml:space="preserve"> </w:t>
      </w:r>
      <w:r>
        <w:t>of</w:t>
      </w:r>
      <w:r w:rsidR="009C7D39">
        <w:t xml:space="preserve"> </w:t>
      </w:r>
      <w:r>
        <w:t>school are</w:t>
      </w:r>
      <w:r w:rsidR="009C7D39">
        <w:t xml:space="preserve"> </w:t>
      </w:r>
      <w:r>
        <w:t>complex and</w:t>
      </w:r>
      <w:r w:rsidR="009C7D39">
        <w:t xml:space="preserve"> </w:t>
      </w:r>
      <w:r>
        <w:t>varied, requiring targeted interventions and multiple reengagement strategies to support</w:t>
      </w:r>
      <w:r w:rsidR="009C7D39">
        <w:t xml:space="preserve"> </w:t>
      </w:r>
      <w:r>
        <w:t>academic persistence.</w:t>
      </w:r>
      <w:r w:rsidR="009C7D39">
        <w:t xml:space="preserve"> </w:t>
      </w:r>
      <w:r>
        <w:t>In 2010, Massachusetts was one of two states to receive a federal grant aimed at funding local and statewide dropout prevention, intervention, and reengagement efforts.</w:t>
      </w:r>
      <w:r w:rsidR="009C7D39">
        <w:t xml:space="preserve"> </w:t>
      </w:r>
      <w:r>
        <w:t>The grant</w:t>
      </w:r>
      <w:r w:rsidR="009C7D39">
        <w:t xml:space="preserve"> </w:t>
      </w:r>
      <w:r>
        <w:t>supported professional development, targeted assistance,</w:t>
      </w:r>
      <w:r w:rsidR="009C7D39">
        <w:t xml:space="preserve"> </w:t>
      </w:r>
      <w:r>
        <w:t>and competitive funding opportunities for 133 high schools that exceeded the statewide annual dropout rate in 2009. Districts and partnering</w:t>
      </w:r>
      <w:r w:rsidR="009C7D39">
        <w:t xml:space="preserve"> </w:t>
      </w:r>
      <w:r>
        <w:t>colleges</w:t>
      </w:r>
      <w:r w:rsidR="009C7D39">
        <w:t xml:space="preserve"> </w:t>
      </w:r>
      <w:r>
        <w:t>that received</w:t>
      </w:r>
      <w:r w:rsidR="009C7D39">
        <w:t xml:space="preserve"> </w:t>
      </w:r>
      <w:r>
        <w:t>funding</w:t>
      </w:r>
      <w:r w:rsidR="009C7D39">
        <w:t xml:space="preserve"> </w:t>
      </w:r>
      <w:r>
        <w:t>focused</w:t>
      </w:r>
      <w:r w:rsidR="009C7D39">
        <w:t xml:space="preserve"> </w:t>
      </w:r>
      <w:r>
        <w:t>their</w:t>
      </w:r>
      <w:r w:rsidR="009C7D39">
        <w:t xml:space="preserve"> </w:t>
      </w:r>
      <w:r>
        <w:t>graduation</w:t>
      </w:r>
      <w:r w:rsidR="009C7D39">
        <w:t xml:space="preserve"> </w:t>
      </w:r>
      <w:r>
        <w:t>improvement</w:t>
      </w:r>
      <w:r w:rsidR="009C7D39">
        <w:t xml:space="preserve"> </w:t>
      </w:r>
      <w:r>
        <w:t>work</w:t>
      </w:r>
      <w:r w:rsidR="009C7D39">
        <w:t xml:space="preserve"> </w:t>
      </w:r>
      <w:r>
        <w:t>on</w:t>
      </w:r>
      <w:r w:rsidR="009C7D39">
        <w:t xml:space="preserve"> </w:t>
      </w:r>
      <w:r w:rsidR="007B1219">
        <w:t>coalition building, i</w:t>
      </w:r>
      <w:r>
        <w:t>mplementing the Gateway to College model, or implementing a subset of 7 research-based dropout reduction strategies.</w:t>
      </w:r>
      <w:r w:rsidR="009C7D39">
        <w:t xml:space="preserve"> </w:t>
      </w:r>
      <w:r w:rsidR="00985951">
        <w:rPr>
          <w:rFonts w:ascii="Calibri" w:hAnsi="Calibri"/>
        </w:rPr>
        <w:t>ESE also expanded</w:t>
      </w:r>
      <w:r w:rsidR="00985951" w:rsidRPr="002861A3">
        <w:rPr>
          <w:rFonts w:ascii="Calibri" w:hAnsi="Calibri"/>
        </w:rPr>
        <w:t xml:space="preserve"> the reach of the program</w:t>
      </w:r>
      <w:r w:rsidR="00985951">
        <w:rPr>
          <w:rFonts w:ascii="Calibri" w:hAnsi="Calibri"/>
        </w:rPr>
        <w:t xml:space="preserve"> by providing MassGrad training opportunities to</w:t>
      </w:r>
      <w:r w:rsidR="00985951" w:rsidRPr="002861A3">
        <w:rPr>
          <w:rFonts w:ascii="Calibri" w:hAnsi="Calibri"/>
        </w:rPr>
        <w:t xml:space="preserve"> many districts that did not receive funding.</w:t>
      </w:r>
      <w:r w:rsidR="00985951">
        <w:rPr>
          <w:rFonts w:ascii="Calibri" w:hAnsi="Calibri"/>
        </w:rPr>
        <w:t xml:space="preserve"> </w:t>
      </w:r>
      <w:r>
        <w:t xml:space="preserve">As a result of these and other efforts, the Commonwealth’s dropout rate has declined steadily in recent years to a record low. By </w:t>
      </w:r>
      <w:r w:rsidR="00FC78BC">
        <w:t>building on the</w:t>
      </w:r>
      <w:r w:rsidR="00F364B9">
        <w:t xml:space="preserve"> </w:t>
      </w:r>
      <w:r w:rsidR="00FC78BC">
        <w:t xml:space="preserve">strategies </w:t>
      </w:r>
      <w:r w:rsidR="00F364B9">
        <w:t>initiated through MassGrad</w:t>
      </w:r>
      <w:r>
        <w:t xml:space="preserve">, </w:t>
      </w:r>
      <w:r w:rsidR="00F364B9">
        <w:t xml:space="preserve">some of which are highlighted here, </w:t>
      </w:r>
      <w:r>
        <w:t>Massachusetts educators can provide every student the opportunity to earn a high school diploma and succeed in a 21st century economy.</w:t>
      </w:r>
    </w:p>
    <w:p w:rsidR="00765270" w:rsidRPr="00985951" w:rsidRDefault="00765270" w:rsidP="00261B88">
      <w:pPr>
        <w:jc w:val="both"/>
        <w:rPr>
          <w:rFonts w:ascii="Calibri" w:hAnsi="Calibri"/>
        </w:rPr>
      </w:pPr>
    </w:p>
    <w:p w:rsidR="00307978" w:rsidRDefault="00307978" w:rsidP="00261B88">
      <w:pPr>
        <w:jc w:val="both"/>
        <w:rPr>
          <w:rFonts w:asciiTheme="majorHAnsi" w:eastAsiaTheme="majorEastAsia" w:hAnsiTheme="majorHAnsi" w:cstheme="majorBidi"/>
          <w:color w:val="365F91" w:themeColor="accent1" w:themeShade="BF"/>
          <w:sz w:val="26"/>
          <w:szCs w:val="26"/>
        </w:rPr>
      </w:pPr>
    </w:p>
    <w:p w:rsidR="00765270" w:rsidRDefault="00765270"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lang w:eastAsia="zh-CN" w:bidi="km-KH"/>
        </w:rPr>
        <w:lastRenderedPageBreak/>
        <w:drawing>
          <wp:inline distT="0" distB="0" distL="0" distR="0">
            <wp:extent cx="1061938" cy="657225"/>
            <wp:effectExtent l="19050" t="0" r="4862" b="0"/>
            <wp:docPr id="12" name="Picture 12" descr="graduation ca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s_massgrad-08.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61938" cy="657225"/>
                    </a:xfrm>
                    <a:prstGeom prst="rect">
                      <a:avLst/>
                    </a:prstGeom>
                  </pic:spPr>
                </pic:pic>
              </a:graphicData>
            </a:graphic>
          </wp:inline>
        </w:drawing>
      </w:r>
    </w:p>
    <w:p w:rsidR="00765270" w:rsidRDefault="00E15256"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w:pict>
          <v:rect id="Rectangle 26" o:spid="_x0000_s1027" style="position:absolute;left:0;text-align:left;margin-left:63.75pt;margin-top:19.2pt;width:192.75pt;height:44.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HgjAIAAHAFAAAOAAAAZHJzL2Uyb0RvYy54bWysVEtPGzEQvlfqf7B8L5tECTQrNigCUVVC&#10;gICKs+O1syvZHtd2spv++o7tzUIB9VA1B8eexzeP/WbOL3qtyF4434Kp6PRkQokwHOrWbCv64+n6&#10;y1dKfGCmZgqMqOhBeHqx+vzpvLOlmEEDqhaOIIjxZWcr2oRgy6LwvBGa+ROwwqBSgtMs4NNti9qx&#10;DtG1KmaTyWnRgautAy68R+lVVtJVwpdS8HAnpReBqIpibiGdLp2beBarc1ZuHbNNy4c02D9koVlr&#10;MOgIdcUCIzvXvoPSLXfgQYYTDroAKVsuUg1YzXTypprHhlmRasHmeDu2yf8/WH67v3ekrSs6O6XE&#10;MI3f6AG7xsxWCYIybFBnfYl2j/beDS+P11htL52O/1gH6VNTD2NTRR8IR+FsPj9bzhaUcNQtTqfL&#10;s0UELV68rfPhmwBN4qWiDsOnXrL9jQ/Z9GgSgxm4bpVCOSuV+UOAmFFSxIRziukWDkpk6wchsdaY&#10;VAqQWCYulSN7hvxgnAsTplnVsFpk8WKCvyHl0SMVoAwCRmSJCY3YA0Bk8HvsXM5gH11FIunoPPlb&#10;Ytl59EiRwYTRWbcG3EcACqsaImf7Y5Nya2KXQr/pEw+SZZRsoD4gNxzkofGWX7f4gW6YD/fM4ZTg&#10;POHkhzs8pIKuojDcKGnA/fpIHu2RvKilpMOpq6j/uWNOUKK+G6T1cjqfxzFNj/nibIYP91qzea0x&#10;O30J+OGmuGMsT9doH9TxKh3oZ1wQ6xgVVcxwjF1RHtzxcRnyNsAVw8V6ncxwNC0LN+bR8gge+xwJ&#10;+NQ/M2cHlgbk9y0cJ5SVb8iabaOngfUugGwTk1/6OnwBHOtEpWEFxb3x+p2sXhbl6jcAAAD//wMA&#10;UEsDBBQABgAIAAAAIQA2o5Ci3gAAAAoBAAAPAAAAZHJzL2Rvd25yZXYueG1sTI/NTsMwEITvSLyD&#10;tUjcqNP/EuJUEQKkHmkqIW5OvCSBeB3Fbpq+fbenchzNaOabZDvaVgzY+8aRgukkAoFUOtNQpeCQ&#10;vz9tQPigyejWESo4o4dten+X6Ni4E33isA+V4BLysVZQh9DFUvqyRqv9xHVI7P243urAsq+k6fWJ&#10;y20rZ1G0klY3xAu17vC1xvJvf7QKfDHs8nOXff1++7LI3sjmi92HUo8PY/YCIuAYbmG44jM6pMxU&#10;uCMZL1rWs/WSowrmmwUIDiyncz5XXJ3VM8g0kf8vpBcAAAD//wMAUEsBAi0AFAAGAAgAAAAhALaD&#10;OJL+AAAA4QEAABMAAAAAAAAAAAAAAAAAAAAAAFtDb250ZW50X1R5cGVzXS54bWxQSwECLQAUAAYA&#10;CAAAACEAOP0h/9YAAACUAQAACwAAAAAAAAAAAAAAAAAvAQAAX3JlbHMvLnJlbHNQSwECLQAUAAYA&#10;CAAAACEA2qnR4IwCAABwBQAADgAAAAAAAAAAAAAAAAAuAgAAZHJzL2Uyb0RvYy54bWxQSwECLQAU&#10;AAYACAAAACEANqOQot4AAAAKAQAADwAAAAAAAAAAAAAAAADmBAAAZHJzL2Rvd25yZXYueG1sUEsF&#10;BgAAAAAEAAQA8wAAAPEFAAAAAA==&#10;" filled="f" stroked="f" strokeweight="2pt">
            <v:textbox>
              <w:txbxContent>
                <w:p w:rsidR="00765270" w:rsidRPr="003A4F87" w:rsidRDefault="00765270" w:rsidP="003A4F87">
                  <w:pPr>
                    <w:pStyle w:val="NoSpacing"/>
                    <w:rPr>
                      <w:color w:val="0D0D0D" w:themeColor="text1" w:themeTint="F2"/>
                    </w:rPr>
                  </w:pPr>
                  <w:r w:rsidRPr="003A4F87">
                    <w:rPr>
                      <w:color w:val="0D0D0D" w:themeColor="text1" w:themeTint="F2"/>
                    </w:rPr>
                    <w:t>Alternative pathways to meet a range of student needs</w:t>
                  </w:r>
                </w:p>
              </w:txbxContent>
            </v:textbox>
          </v:rect>
        </w:pict>
      </w:r>
    </w:p>
    <w:p w:rsidR="00765270" w:rsidRPr="00765270" w:rsidRDefault="00765270" w:rsidP="00261B88">
      <w:pPr>
        <w:pStyle w:val="Heading3"/>
        <w:jc w:val="both"/>
      </w:pPr>
      <w:r>
        <w:rPr>
          <w:noProof/>
          <w:color w:val="365F91" w:themeColor="accent1" w:themeShade="BF"/>
          <w:sz w:val="26"/>
          <w:szCs w:val="26"/>
          <w:lang w:eastAsia="zh-CN" w:bidi="km-KH"/>
        </w:rPr>
        <w:drawing>
          <wp:inline distT="0" distB="0" distL="0" distR="0">
            <wp:extent cx="512065" cy="512065"/>
            <wp:effectExtent l="19050" t="0" r="2285" b="0"/>
            <wp:docPr id="11" name="Picture 11" descr="road split sig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s_massgrad-01.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065" cy="512065"/>
                    </a:xfrm>
                    <a:prstGeom prst="rect">
                      <a:avLst/>
                    </a:prstGeom>
                  </pic:spPr>
                </pic:pic>
              </a:graphicData>
            </a:graphic>
          </wp:inline>
        </w:drawing>
      </w:r>
      <w:r>
        <w:rPr>
          <w:color w:val="365F91" w:themeColor="accent1" w:themeShade="BF"/>
          <w:sz w:val="26"/>
          <w:szCs w:val="26"/>
        </w:rPr>
        <w:t xml:space="preserve"> </w:t>
      </w:r>
    </w:p>
    <w:p w:rsidR="00307978" w:rsidRDefault="00E15256"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w:pict>
          <v:rect id="Rectangle 27" o:spid="_x0000_s1028" style="position:absolute;left:0;text-align:left;margin-left:63.75pt;margin-top:5.15pt;width:192.75pt;height:42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l8jgIAAHAFAAAOAAAAZHJzL2Uyb0RvYy54bWysVFFPGzEMfp+0/xDlfdy1tAMqrqgCMU1C&#10;gICJ5zSX9E5K4ixJe9f9+jnJ9WCA9jCtD9c4tj/bX2yfX/RakZ1wvgVT0clRSYkwHOrWbCr64+n6&#10;yyklPjBTMwVGVHQvPL1Yfv503tmFmEIDqhaOIIjxi85WtAnBLorC80Zo5o/ACoNKCU6zgKLbFLVj&#10;HaJrVUzL8mvRgautAy68x9urrKTLhC+l4OFOSi8CURXF3EL6uvRdx2+xPGeLjWO2afmQBvuHLDRr&#10;DQYdoa5YYGTr2ndQuuUOPMhwxEEXIGXLRaoBq5mUb6p5bJgVqRYkx9uRJv//YPnt7t6Rtq7o9IQS&#10;wzS+0QOyxsxGCYJ3SFBn/QLtHu29GySPx1htL52O/1gH6ROp+5FU0QfC8XI6m52cTeeUcNTNj49n&#10;ZWK9ePG2zodvAjSJh4o6DJ+4ZLsbHzAimh5MYjAD161S6eGU+eMCDeNNERPOKaZT2CsR7ZR5EBJr&#10;jUmlAKnLxKVyZMewPxjnwoRJVjWsFvl6XuIv8oDwo0eSEmBElpjQiD0AxA5+j51hBvvoKlKTjs7l&#10;3xLLzqNHigwmjM66NeA+AlBY1RA52x9IytRElkK/7nMfHJ58DfUee8NBHhpv+XWLD3TDfLhnDqcE&#10;5wknP9zhRyroKgrDiZIG3K+P7qM9Ni9qKelw6irqf26ZE5So7wbb+mwym8UxTcJsfjJFwb3WrF9r&#10;zFZfAj7cBHeM5ekY7YM6HKUD/YwLYhWjoooZjrEryoM7CJchbwNcMVysVskMR9OycGMeLY/gkefY&#10;gE/9M3N26NKA/X0LhwllizfNmm2jp4HVNoBsUydHpjOvwwvgWKdWGlZQ3Buv5WT1siiXvwEAAP//&#10;AwBQSwMEFAAGAAgAAAAhAJLDSTjeAAAACQEAAA8AAABkcnMvZG93bnJldi54bWxMj01Pg0AQhu8m&#10;/ofNmHizS0vrB2VpiFGTHltMjLeFnQLKzhJ2S+m/73iqt3kzT96PdDPZTow4+NaRgvksAoFUOdNS&#10;reCzeH94BuGDJqM7R6jgjB422e1NqhPjTrTDcR9qwSbkE62gCaFPpPRVg1b7meuR+Hdwg9WB5VBL&#10;M+gTm9tOLqLoUVrdEic0usfXBqvf/dEq8OW4Lc59/vXz7asyfyNbLLcfSt3fTfkaRMApXGH4q8/V&#10;IeNOpTuS8aJjvXhaMcpHFINgYDWPeVyp4GUZg8xS+X9BdgEAAP//AwBQSwECLQAUAAYACAAAACEA&#10;toM4kv4AAADhAQAAEwAAAAAAAAAAAAAAAAAAAAAAW0NvbnRlbnRfVHlwZXNdLnhtbFBLAQItABQA&#10;BgAIAAAAIQA4/SH/1gAAAJQBAAALAAAAAAAAAAAAAAAAAC8BAABfcmVscy8ucmVsc1BLAQItABQA&#10;BgAIAAAAIQDxz4l8jgIAAHAFAAAOAAAAAAAAAAAAAAAAAC4CAABkcnMvZTJvRG9jLnhtbFBLAQIt&#10;ABQABgAIAAAAIQCSw0k43gAAAAkBAAAPAAAAAAAAAAAAAAAAAOgEAABkcnMvZG93bnJldi54bWxQ&#10;SwUGAAAAAAQABADzAAAA8wUAAAAA&#10;" filled="f" stroked="f" strokeweight="2pt">
            <v:textbox>
              <w:txbxContent>
                <w:p w:rsidR="00765270" w:rsidRPr="003A4F87" w:rsidRDefault="00765270" w:rsidP="003A4F87">
                  <w:pPr>
                    <w:pStyle w:val="NoSpacing"/>
                    <w:rPr>
                      <w:color w:val="0D0D0D" w:themeColor="text1" w:themeTint="F2"/>
                    </w:rPr>
                  </w:pPr>
                  <w:r w:rsidRPr="003A4F87">
                    <w:rPr>
                      <w:color w:val="0D0D0D" w:themeColor="text1" w:themeTint="F2"/>
                    </w:rPr>
                    <w:t>Adult advocates, including graduation coaches and reengagement coaches</w:t>
                  </w:r>
                </w:p>
              </w:txbxContent>
            </v:textbox>
          </v:rect>
        </w:pict>
      </w:r>
      <w:r w:rsidR="00765270">
        <w:rPr>
          <w:rFonts w:asciiTheme="majorHAnsi" w:eastAsiaTheme="majorEastAsia" w:hAnsiTheme="majorHAnsi" w:cstheme="majorBidi"/>
          <w:noProof/>
          <w:color w:val="365F91" w:themeColor="accent1" w:themeShade="BF"/>
          <w:sz w:val="26"/>
          <w:szCs w:val="26"/>
          <w:lang w:eastAsia="zh-CN" w:bidi="km-KH"/>
        </w:rPr>
        <w:drawing>
          <wp:inline distT="0" distB="0" distL="0" distR="0">
            <wp:extent cx="512065" cy="512065"/>
            <wp:effectExtent l="19050" t="0" r="2285" b="0"/>
            <wp:docPr id="4" name="Picture 4" descr="whist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s_massgrad-02.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065" cy="512065"/>
                    </a:xfrm>
                    <a:prstGeom prst="rect">
                      <a:avLst/>
                    </a:prstGeom>
                  </pic:spPr>
                </pic:pic>
              </a:graphicData>
            </a:graphic>
          </wp:inline>
        </w:drawing>
      </w:r>
    </w:p>
    <w:p w:rsidR="00307978" w:rsidRDefault="00E15256"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w:pict>
          <v:rect id="Rectangle 28" o:spid="_x0000_s1029" style="position:absolute;left:0;text-align:left;margin-left:63.75pt;margin-top:4.85pt;width:192.75pt;height:42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O+jwIAAHAFAAAOAAAAZHJzL2Uyb0RvYy54bWysVN9P2zAQfp+0/8Hy+0ha2gEVKapATJMQ&#10;IGDi2XXsJpLj885uk+6v39lJAwO0h2l9SO378d3dd3c+v+gaw3YKfQ224JOjnDNlJZS13RT8x9P1&#10;l1POfBC2FAasKvheeX6x/PzpvHULNYUKTKmQEYj1i9YVvArBLbLMy0o1wh+BU5aUGrARga64yUoU&#10;LaE3Jpvm+desBSwdglTek/SqV/JlwtdayXCntVeBmYJTbiF9MX3X8Zstz8Vig8JVtRzSEP+QRSNq&#10;S0FHqCsRBNti/Q6qqSWCBx2OJDQZaF1LlWqgaib5m2oeK+FUqoXI8W6kyf8/WHm7u0dWlwWfUqes&#10;aKhHD8SasBujGMmIoNb5Bdk9unscbp6OsdpOYxP/qQ7WJVL3I6mqC0yScDqbnZxN55xJ0s2Pj2d5&#10;Yj178XbowzcFDYuHgiOFT1yK3Y0PFJFMDyYxmIXr2pjUOGP/EJBhlGQx4T7FdAp7o6KdsQ9KU60x&#10;qRQgTZm6NMh2guZDSKlsmPSqSpSqF89z+kUeCH70SLcEGJE1JTRiDwBxgt9j9zCDfXRVaUhH5/xv&#10;ifXOo0eKDDaMzk1tAT8CMFTVELm3P5DUUxNZCt26S3NwfGj5Gso9zQZCvzTeyeuaGnQjfLgXSFtC&#10;+0SbH+7oow20BYfhxFkF+OsjebSn4SUtZy1tXcH9z61AxZn5bmmszyazWVzTdJnNT6Z0wdea9WuN&#10;3TaXQI2b0BvjZDpG+2AOR43QPNMDsYpRSSWspNgFlwEPl8vQvwb0xEi1WiUzWk0nwo19dDKCR57j&#10;AD51zwLdMKWB5vsWDhsqFm+GtbeNnhZW2wC6TpMcme55HTpAa51GaXiC4rvx+p6sXh7K5W8AAAD/&#10;/wMAUEsDBBQABgAIAAAAIQDCZO403AAAAAgBAAAPAAAAZHJzL2Rvd25yZXYueG1sTI/NToNAFIX3&#10;Jn2HyW3izg5trVhkaIhRky5bTIy7gbkFlLlDmCmlb+91pcsv5+T8pLvJdmLEwbeOFCwXEQikypmW&#10;agXvxevdIwgfNBndOUIFV/Swy2Y3qU6Mu9ABx2OoBYeQT7SCJoQ+kdJXDVrtF65HYu3kBqsD41BL&#10;M+gLh9tOrqLoQVrdEjc0usfnBqvv49kq8OW4L659/vH16asyfyFb3O/flLqdT/kTiIBT+DPD73ye&#10;DhlvKt2ZjBcd8yresFXBNgbB+ma55m8l8zoGmaXy/4HsBwAA//8DAFBLAQItABQABgAIAAAAIQC2&#10;gziS/gAAAOEBAAATAAAAAAAAAAAAAAAAAAAAAABbQ29udGVudF9UeXBlc10ueG1sUEsBAi0AFAAG&#10;AAgAAAAhADj9If/WAAAAlAEAAAsAAAAAAAAAAAAAAAAALwEAAF9yZWxzLy5yZWxzUEsBAi0AFAAG&#10;AAgAAAAhAIY2g76PAgAAcAUAAA4AAAAAAAAAAAAAAAAALgIAAGRycy9lMm9Eb2MueG1sUEsBAi0A&#10;FAAGAAgAAAAhAMJk7jTcAAAACAEAAA8AAAAAAAAAAAAAAAAA6QQAAGRycy9kb3ducmV2LnhtbFBL&#10;BQYAAAAABAAEAPMAAADyBQAAAAA=&#10;" filled="f" stroked="f" strokeweight="2pt">
            <v:textbox>
              <w:txbxContent>
                <w:p w:rsidR="00765270" w:rsidRPr="003A4F87" w:rsidRDefault="00765270" w:rsidP="003A4F87">
                  <w:pPr>
                    <w:pStyle w:val="NoSpacing"/>
                    <w:rPr>
                      <w:color w:val="0D0D0D" w:themeColor="text1" w:themeTint="F2"/>
                    </w:rPr>
                  </w:pPr>
                  <w:r w:rsidRPr="003A4F87">
                    <w:rPr>
                      <w:color w:val="0D0D0D" w:themeColor="text1" w:themeTint="F2"/>
                    </w:rPr>
                    <w:t>Positive school climate and socio-emotional systems of support</w:t>
                  </w:r>
                </w:p>
              </w:txbxContent>
            </v:textbox>
          </v:rect>
        </w:pict>
      </w:r>
      <w:r w:rsidR="009B5236">
        <w:rPr>
          <w:rFonts w:asciiTheme="majorHAnsi" w:eastAsiaTheme="majorEastAsia" w:hAnsiTheme="majorHAnsi" w:cstheme="majorBidi"/>
          <w:noProof/>
          <w:color w:val="365F91" w:themeColor="accent1" w:themeShade="BF"/>
          <w:sz w:val="26"/>
          <w:szCs w:val="26"/>
          <w:lang w:eastAsia="zh-CN" w:bidi="km-KH"/>
        </w:rPr>
        <w:drawing>
          <wp:inline distT="0" distB="0" distL="0" distR="0">
            <wp:extent cx="512065" cy="512065"/>
            <wp:effectExtent l="19050" t="0" r="2285" b="0"/>
            <wp:docPr id="33" name="Picture 33" descr="group of peo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cons_massgrad-04.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065" cy="512065"/>
                    </a:xfrm>
                    <a:prstGeom prst="rect">
                      <a:avLst/>
                    </a:prstGeom>
                  </pic:spPr>
                </pic:pic>
              </a:graphicData>
            </a:graphic>
          </wp:inline>
        </w:drawing>
      </w:r>
    </w:p>
    <w:p w:rsidR="00307978" w:rsidRDefault="00E15256"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w:pict>
          <v:rect id="Rectangle 30" o:spid="_x0000_s1030" style="position:absolute;left:0;text-align:left;margin-left:63.75pt;margin-top:52.45pt;width:192.75pt;height:45.7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PeiwIAAHAFAAAOAAAAZHJzL2Uyb0RvYy54bWysVMlu2zAQvRfoPxC8N5Jdu0mEyIHhwEWB&#10;IAmSFDnTFGkJoDgsSVtyv75DUlZW9FDUB5qc5c2iN3Nx2beK7IV1DeiSTk5ySoTmUDV6W9Kfj+sv&#10;Z5Q4z3TFFGhR0oNw9HLx+dNFZwoxhRpUJSxBEO2KzpS09t4UWeZ4LVrmTsAIjUoJtmUen3abVZZ1&#10;iN6qbJrn37IObGUscOEcSq+Ski4ivpSC+1spnfBElRRz8/G08dyEM1tcsGJrmakbPqTB/iGLljUa&#10;g45QV8wzsrPNO6i24RYcSH/Coc1AyoaLWANWM8nfVPNQMyNiLdgcZ8Y2uf8Hy2/2d5Y0VUm/Yns0&#10;a/Eb3WPXmN4qQVCGDeqMK9DuwdzZ4eXwGqrtpW3DP9ZB+tjUw9hU0XvCUTidzU7Pp3NKOOrmZ5Mc&#10;7wiTPXsb6/x3AS0Jl5JaDB97yfbXzifTo0kIpmHdKIVyVij9SoCYQZKFhFOK8eYPSiTreyGx1pBU&#10;DBBZJlbKkj1DfjDOhfaTpKpZJZJ4nuNvSHn0iAUojYABWWJCI/YAEBj8HjuVM9gHVxFJOjrnf0ss&#10;OY8eMTJoPzq3jQb7EYDCqobIyf7YpNSa0CXfb/rIg1mwDJINVAfkhoU0NM7wdYMf6Jo5f8csTgkS&#10;Biff3+IhFXQlheFGSQ3290fyYI/kRS0lHU5dSd2vHbOCEvVDI63PJ7NZGNP4mM1Pp/iwLzWblxq9&#10;a1eAH26CO8bweA32Xh2v0kL7hAtiGaKiimmOsUvKvT0+Vj5tA1wxXCyX0QxH0zB/rR8MD+Chz4GA&#10;j/0Ts2ZgqUd+38BxQlnxhqzJNnhqWO48yCYy+bmvwxfAsY5UGlZQ2Bsv39HqeVEu/gAAAP//AwBQ&#10;SwMEFAAGAAgAAAAhAE6z00/gAAAACwEAAA8AAABkcnMvZG93bnJldi54bWxMj0FPwzAMhe9I+w+R&#10;J3Fj6Ua3sdJ0qhAg7cg6CXFLG9MWGqdqsq7795gT3Pzsp+fvpfvJdmLEwbeOFCwXEQikypmWagWn&#10;4uXuAYQPmozuHKGCK3rYZ7ObVCfGXegNx2OoBYeQT7SCJoQ+kdJXDVrtF65H4tunG6wOLIdamkFf&#10;ONx2chVFG2l1S/yh0T0+NVh9H89WgS/HQ3Ht8/evD1+V+TPZIj68KnU7n/JHEAGn8GeGX3xGh4yZ&#10;Sncm40XHerVds5WHKN6BYMd6ec/tSt7sNjHILJX/O2Q/AAAA//8DAFBLAQItABQABgAIAAAAIQC2&#10;gziS/gAAAOEBAAATAAAAAAAAAAAAAAAAAAAAAABbQ29udGVudF9UeXBlc10ueG1sUEsBAi0AFAAG&#10;AAgAAAAhADj9If/WAAAAlAEAAAsAAAAAAAAAAAAAAAAALwEAAF9yZWxzLy5yZWxzUEsBAi0AFAAG&#10;AAgAAAAhAEHSQ96LAgAAcAUAAA4AAAAAAAAAAAAAAAAALgIAAGRycy9lMm9Eb2MueG1sUEsBAi0A&#10;FAAGAAgAAAAhAE6z00/gAAAACwEAAA8AAAAAAAAAAAAAAAAA5QQAAGRycy9kb3ducmV2LnhtbFBL&#10;BQYAAAAABAAEAPMAAADyBQAAAAA=&#10;" filled="f" stroked="f" strokeweight="2pt">
            <v:textbox>
              <w:txbxContent>
                <w:p w:rsidR="009B5236" w:rsidRPr="003A4F87" w:rsidRDefault="009B5236" w:rsidP="003A4F87">
                  <w:pPr>
                    <w:pStyle w:val="NoSpacing"/>
                    <w:rPr>
                      <w:color w:val="0D0D0D" w:themeColor="text1" w:themeTint="F2"/>
                    </w:rPr>
                  </w:pPr>
                  <w:r w:rsidRPr="003A4F87">
                    <w:rPr>
                      <w:color w:val="0D0D0D" w:themeColor="text1" w:themeTint="F2"/>
                    </w:rPr>
                    <w:t>Credit recovery and credit acceleration opportunities</w:t>
                  </w:r>
                </w:p>
              </w:txbxContent>
            </v:textbox>
          </v:rect>
        </w:pict>
      </w:r>
      <w:r>
        <w:rPr>
          <w:rFonts w:asciiTheme="majorHAnsi" w:eastAsiaTheme="majorEastAsia" w:hAnsiTheme="majorHAnsi" w:cstheme="majorBidi"/>
          <w:noProof/>
          <w:color w:val="365F91" w:themeColor="accent1" w:themeShade="BF"/>
          <w:sz w:val="26"/>
          <w:szCs w:val="26"/>
        </w:rPr>
        <w:pict>
          <v:rect id="Rectangle 29" o:spid="_x0000_s1031" style="position:absolute;left:0;text-align:left;margin-left:63.75pt;margin-top:0;width:192.75pt;height:42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yjwIAAHAFAAAOAAAAZHJzL2Uyb0RvYy54bWysVFFP2zAQfp+0/2D5fSQt7YCKFFUgpkkI&#10;EDDx7Dp2E8nxeWe3Sffrd3bSwADtYVofUp/v7ru7z3d3ftE1hu0U+hpswSdHOWfKSihruyn4j6fr&#10;L6ec+SBsKQxYVfC98vxi+fnTeesWagoVmFIhIxDrF60reBWCW2SZl5VqhD8CpywpNWAjAom4yUoU&#10;LaE3Jpvm+desBSwdglTe0+1Vr+TLhK+1kuFOa68CMwWn3EL6Yvqu4zdbnovFBoWrajmkIf4hi0bU&#10;loKOUFciCLbF+h1UU0sEDzocSWgy0LqWKtVA1UzyN9U8VsKpVAuR491Ik/9/sPJ2d4+sLgs+PePM&#10;iobe6IFYE3ZjFKM7Iqh1fkF2j+4eB8nTMVbbaWziP9XBukTqfiRVdYFJupzOZidn0zlnknTz4+NZ&#10;nljPXrwd+vBNQcPioeBI4ROXYnfjA0Uk04NJDGbhujYmPZyxf1yQYbzJYsJ9iukU9kZFO2MflKZa&#10;Y1IpQOoydWmQ7QT1h5BS2TDpVZUoVX89z+kXeSD40SNJCTAia0poxB4AYge/x+5hBvvoqlKTjs75&#10;3xLrnUePFBlsGJ2b2gJ+BGCoqiFyb38gqacmshS6dZf6YH548jWUe+oNhH5ovJPXNT3QjfDhXiBN&#10;Cc0TTX64o4820BYchhNnFeCvj+6jPTUvaTlraeoK7n9uBSrOzHdLbX02mc3imCZhNj+ZkoCvNevX&#10;GrttLoEebkI7xsl0jPbBHI4aoXmmBbGKUUklrKTYBZcBD8Jl6LcBrRipVqtkRqPpRLixj05G8Mhz&#10;bMCn7lmgG7o0UH/fwmFCxeJNs/a20dPCahtA16mTI9M9r8ML0FinVhpWUNwbr+Vk9bIol78BAAD/&#10;/wMAUEsDBBQABgAIAAAAIQAMRji93AAAAAcBAAAPAAAAZHJzL2Rvd25yZXYueG1sTI9BS8NAEIXv&#10;gv9hGcGb3bS2WmImJYgKPdoI4m2THZNodjZkt2n67x1PepvHe7z5XrabXa8mGkPnGWG5SEAR1952&#10;3CC8lc83W1AhGram90wIZwqwyy8vMpNaf+JXmg6xUVLCITUIbYxDqnWoW3ImLPxALN6nH52JIsdG&#10;29GcpNz1epUkd9qZjuVDawZ6bKn+PhwdQqimfXkeivevj1BXxRO7cr1/Qby+mosHUJHm+BeGX3xB&#10;h1yYKn9kG1QvenW/kSiCLBJ7s7yVo0LYrhPQeab/8+c/AAAA//8DAFBLAQItABQABgAIAAAAIQC2&#10;gziS/gAAAOEBAAATAAAAAAAAAAAAAAAAAAAAAABbQ29udGVudF9UeXBlc10ueG1sUEsBAi0AFAAG&#10;AAgAAAAhADj9If/WAAAAlAEAAAsAAAAAAAAAAAAAAAAALwEAAF9yZWxzLy5yZWxzUEsBAi0AFAAG&#10;AAgAAAAhAAk5afKPAgAAcAUAAA4AAAAAAAAAAAAAAAAALgIAAGRycy9lMm9Eb2MueG1sUEsBAi0A&#10;FAAGAAgAAAAhAAxGOL3cAAAABwEAAA8AAAAAAAAAAAAAAAAA6QQAAGRycy9kb3ducmV2LnhtbFBL&#10;BQYAAAAABAAEAPMAAADyBQAAAAA=&#10;" filled="f" stroked="f" strokeweight="2pt">
            <v:textbox>
              <w:txbxContent>
                <w:p w:rsidR="00765270" w:rsidRPr="003A4F87" w:rsidRDefault="00765270" w:rsidP="003A4F87">
                  <w:pPr>
                    <w:pStyle w:val="NoSpacing"/>
                    <w:rPr>
                      <w:color w:val="0D0D0D" w:themeColor="text1" w:themeTint="F2"/>
                    </w:rPr>
                  </w:pPr>
                  <w:r w:rsidRPr="003A4F87">
                    <w:rPr>
                      <w:color w:val="0D0D0D" w:themeColor="text1" w:themeTint="F2"/>
                    </w:rPr>
                    <w:t xml:space="preserve">Service-learning and </w:t>
                  </w:r>
                  <w:r w:rsidR="009B5236" w:rsidRPr="003A4F87">
                    <w:rPr>
                      <w:color w:val="0D0D0D" w:themeColor="text1" w:themeTint="F2"/>
                    </w:rPr>
                    <w:t>work-based learning models</w:t>
                  </w:r>
                </w:p>
              </w:txbxContent>
            </v:textbox>
          </v:rect>
        </w:pict>
      </w:r>
      <w:r w:rsidR="009B5236">
        <w:rPr>
          <w:rFonts w:asciiTheme="majorHAnsi" w:eastAsiaTheme="majorEastAsia" w:hAnsiTheme="majorHAnsi" w:cstheme="majorBidi"/>
          <w:noProof/>
          <w:color w:val="365F91" w:themeColor="accent1" w:themeShade="BF"/>
          <w:sz w:val="26"/>
          <w:szCs w:val="26"/>
          <w:lang w:eastAsia="zh-CN" w:bidi="km-KH"/>
        </w:rPr>
        <w:drawing>
          <wp:inline distT="0" distB="0" distL="0" distR="0">
            <wp:extent cx="511810" cy="511810"/>
            <wp:effectExtent l="19050" t="0" r="2540" b="0"/>
            <wp:docPr id="35" name="Picture 35" descr="handshak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cons_massgrad-03.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065" cy="512065"/>
                    </a:xfrm>
                    <a:prstGeom prst="rect">
                      <a:avLst/>
                    </a:prstGeom>
                  </pic:spPr>
                </pic:pic>
              </a:graphicData>
            </a:graphic>
          </wp:inline>
        </w:drawing>
      </w:r>
    </w:p>
    <w:p w:rsidR="00307978" w:rsidRDefault="00E15256"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w:pict>
          <v:rect id="Rectangle 31" o:spid="_x0000_s1032" style="position:absolute;left:0;text-align:left;margin-left:63.75pt;margin-top:45.4pt;width:192.75pt;height:54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rHjwIAAHAFAAAOAAAAZHJzL2Uyb0RvYy54bWysVE1v2zAMvQ/YfxB0X+1kST+COkXQosOA&#10;oi3aDj0rshQbkEWNUmJnv36U7LhdW+wwLAdHEslH8ulR5xddY9hOoa/BFnxylHOmrISytpuC/3i6&#10;/nLKmQ/ClsKAVQXfK88vlp8/nbduoaZQgSkVMgKxftG6glchuEWWeVmpRvgjcMqSUQM2ItAWN1mJ&#10;oiX0xmTTPD/OWsDSIUjlPZ1e9Ua+TPhaKxnutPYqMFNwqi2kL6bvOn6z5blYbFC4qpZDGeIfqmhE&#10;bSnpCHUlgmBbrN9BNbVE8KDDkYQmA61rqVIP1M0kf9PNYyWcSr0QOd6NNPn/Bytvd/fI6rLgXyec&#10;WdHQHT0Qa8JujGJ0RgS1zi/I79Hd47DztIzddhqb+E99sC6Ruh9JVV1gkg6ns9nJ2XTOmSTb8en8&#10;NE+sZy/RDn34pqBhcVFwpPSJS7G78YEykuvBJSazcF0bky7O2D8OyDGeZLHgvsS0Cnujop+xD0pT&#10;r7GolCCpTF0aZDtB+hBSKhsmvakSpeqP5zn9Ig8EP0akXQKMyJoKGrEHgKjg99g9zOAfQ1US6Ric&#10;/62wPniMSJnBhjG4qS3gRwCGuhoy9/4HknpqIkuhW3dJB8eHK19DuSdtIPRD4528rumCboQP9wJp&#10;SmieaPLDHX20gbbgMKw4qwB/fXQe/Um8ZOWspakruP+5Fag4M98tyfpsMpvFMU2b2fxkSht8bVm/&#10;tthtcwl0caRcqi4to38wh6VGaJ7pgVjFrGQSVlLugsuAh81l6F8DemKkWq2SG42mE+HGPjoZwSPP&#10;UYBP3bNAN6g0kL5v4TChYvFGrL1vjLSw2gbQdVJyZLrndbgBGuskpeEJiu/G633yenkol78BAAD/&#10;/wMAUEsDBBQABgAIAAAAIQASojuz3gAAAAoBAAAPAAAAZHJzL2Rvd25yZXYueG1sTI9BT4NAFITv&#10;TfofNs/EW7u0WqXI0hCjJj22mBhvC/sELPuWsFtK/73Pkx4nM5n5Jt1NthMjDr51pGC1jEAgVc60&#10;VCt4L14XMQgfNBndOUIFV/Swy+azVCfGXeiA4zHUgkvIJ1pBE0KfSOmrBq32S9cjsfflBqsDy6GW&#10;ZtAXLredXEfRg7S6JV5odI/PDVan49kq8OW4L659/vH96asyfyFb3O/flLq9mfInEAGn8BeGX3xG&#10;h4yZSncm40XHev244aiCbcQXOLBZ3fG5kp1tHIPMUvn/QvYDAAD//wMAUEsBAi0AFAAGAAgAAAAh&#10;ALaDOJL+AAAA4QEAABMAAAAAAAAAAAAAAAAAAAAAAFtDb250ZW50X1R5cGVzXS54bWxQSwECLQAU&#10;AAYACAAAACEAOP0h/9YAAACUAQAACwAAAAAAAAAAAAAAAAAvAQAAX3JlbHMvLnJlbHNQSwECLQAU&#10;AAYACAAAACEAMeL6x48CAABwBQAADgAAAAAAAAAAAAAAAAAuAgAAZHJzL2Uyb0RvYy54bWxQSwEC&#10;LQAUAAYACAAAACEAEqI7s94AAAAKAQAADwAAAAAAAAAAAAAAAADpBAAAZHJzL2Rvd25yZXYueG1s&#10;UEsFBgAAAAAEAAQA8wAAAPQFAAAAAA==&#10;" filled="f" stroked="f" strokeweight="2pt">
            <v:textbox>
              <w:txbxContent>
                <w:p w:rsidR="009B5236" w:rsidRPr="003A4F87" w:rsidRDefault="009B5236" w:rsidP="003A4F87">
                  <w:pPr>
                    <w:pStyle w:val="NoSpacing"/>
                    <w:rPr>
                      <w:color w:val="0D0D0D" w:themeColor="text1" w:themeTint="F2"/>
                    </w:rPr>
                  </w:pPr>
                  <w:r w:rsidRPr="003A4F87">
                    <w:rPr>
                      <w:color w:val="0D0D0D" w:themeColor="text1" w:themeTint="F2"/>
                    </w:rPr>
                    <w:t>Expansion of the school year/ structured learn</w:t>
                  </w:r>
                  <w:r w:rsidR="003A4F87" w:rsidRPr="003A4F87">
                    <w:rPr>
                      <w:color w:val="0D0D0D" w:themeColor="text1" w:themeTint="F2"/>
                    </w:rPr>
                    <w:t xml:space="preserve">ing time and summer transition </w:t>
                  </w:r>
                  <w:r w:rsidRPr="003A4F87">
                    <w:rPr>
                      <w:color w:val="0D0D0D" w:themeColor="text1" w:themeTint="F2"/>
                    </w:rPr>
                    <w:t>programs</w:t>
                  </w:r>
                </w:p>
              </w:txbxContent>
            </v:textbox>
          </v:rect>
        </w:pict>
      </w:r>
      <w:r w:rsidR="00765270">
        <w:rPr>
          <w:rFonts w:asciiTheme="majorHAnsi" w:eastAsiaTheme="majorEastAsia" w:hAnsiTheme="majorHAnsi" w:cstheme="majorBidi"/>
          <w:noProof/>
          <w:color w:val="365F91" w:themeColor="accent1" w:themeShade="BF"/>
          <w:sz w:val="26"/>
          <w:szCs w:val="26"/>
          <w:lang w:eastAsia="zh-CN" w:bidi="km-KH"/>
        </w:rPr>
        <w:drawing>
          <wp:inline distT="0" distB="0" distL="0" distR="0">
            <wp:extent cx="512065" cy="512065"/>
            <wp:effectExtent l="0" t="0" r="2285" b="0"/>
            <wp:docPr id="8" name="Picture 8" descr="test scores 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s_massgrad-05.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065" cy="512065"/>
                    </a:xfrm>
                    <a:prstGeom prst="rect">
                      <a:avLst/>
                    </a:prstGeom>
                  </pic:spPr>
                </pic:pic>
              </a:graphicData>
            </a:graphic>
          </wp:inline>
        </w:drawing>
      </w:r>
    </w:p>
    <w:p w:rsidR="00307978" w:rsidRDefault="00E15256"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rPr>
        <w:pict>
          <v:rect id="Rectangle 32" o:spid="_x0000_s1033" style="position:absolute;left:0;text-align:left;margin-left:63.75pt;margin-top:51.05pt;width:192.75pt;height:42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pVjwIAAHAFAAAOAAAAZHJzL2Uyb0RvYy54bWysVFFP2zAQfp+0/2D5fSQt7YCKFFUgpkkI&#10;EDDx7Dp2E8nxeWe3Sffrd3bSwADtYVofUp/v7ru7z3d3ftE1hu0U+hpswSdHOWfKSihruyn4j6fr&#10;L6ec+SBsKQxYVfC98vxi+fnTeesWagoVmFIhIxDrF60reBWCW2SZl5VqhD8CpywpNWAjAom4yUoU&#10;LaE3Jpvm+desBSwdglTe0+1Vr+TLhK+1kuFOa68CMwWn3EL6Yvqu4zdbnovFBoWrajmkIf4hi0bU&#10;loKOUFciCLbF+h1UU0sEDzocSWgy0LqWKtVA1UzyN9U8VsKpVAuR491Ik/9/sPJ2d4+sLgt+POXM&#10;iobe6IFYE3ZjFKM7Iqh1fkF2j+4eB8nTMVbbaWziP9XBukTqfiRVdYFJupzOZidn0zlnknTz4+NZ&#10;nljPXrwd+vBNQcPioeBI4ROXYnfjA0Uk04NJDGbhujYmPZyxf1yQYbzJYsJ9iukU9kZFO2MflKZa&#10;Y1IpQOoydWmQ7QT1h5BS2TDpVZUoVX89z+kXeSD40SNJCTAia0poxB4AYge/x+5hBvvoqlKTjs75&#10;3xLrnUePFBlsGJ2b2gJ+BGCoqiFyb38gqacmshS6dZf64OTw5Gso99QbCP3QeCeva3qgG+HDvUCa&#10;EponmvxwRx9toC04DCfOKsBfH91He2pe0nLW0tQV3P/cClScme+W2vpsMpvFMU3CbH4yJQFfa9av&#10;NXbbXAI93IR2jJPpGO2DORw1QvNMC2IVo5JKWEmxCy4DHoTL0G8DWjFSrVbJjEbTiXBjH52M4JHn&#10;2IBP3bNAN3RpoP6+hcOEisWbZu1to6eF1TaArlMnR6Z7XocXoLFOrTSsoLg3XsvJ6mVRLn8DAAD/&#10;/wMAUEsDBBQABgAIAAAAIQDaEPWp3wAAAAsBAAAPAAAAZHJzL2Rvd25yZXYueG1sTI9BT4NAEIXv&#10;Jv0Pm2nizS6grQ2yNKSpJj1aTIy3hR0BZWcJu6X03zue9DZv5uXN97LdbHsx4eg7RwriVQQCqXam&#10;o0bBW/l8twXhgyaje0eo4IoedvniJtOpcRd6xekUGsEh5FOtoA1hSKX0dYtW+5UbkPj26UarA8ux&#10;kWbUFw63vUyiaCOt7og/tHrAfYv19+lsFfhqOpbXoXj/+vB1VRzIlg/HF6Vul3PxBCLgHP7M8IvP&#10;6JAzU+XOZLzoWSePa7byECUxCHas43tuV/Fmu4lB5pn83yH/AQAA//8DAFBLAQItABQABgAIAAAA&#10;IQC2gziS/gAAAOEBAAATAAAAAAAAAAAAAAAAAAAAAABbQ29udGVudF9UeXBlc10ueG1sUEsBAi0A&#10;FAAGAAgAAAAhADj9If/WAAAAlAEAAAsAAAAAAAAAAAAAAAAALwEAAF9yZWxzLy5yZWxzUEsBAi0A&#10;FAAGAAgAAAAhANap+lWPAgAAcAUAAA4AAAAAAAAAAAAAAAAALgIAAGRycy9lMm9Eb2MueG1sUEsB&#10;Ai0AFAAGAAgAAAAhANoQ9anfAAAACwEAAA8AAAAAAAAAAAAAAAAA6QQAAGRycy9kb3ducmV2Lnht&#10;bFBLBQYAAAAABAAEAPMAAAD1BQAAAAA=&#10;" filled="f" stroked="f" strokeweight="2pt">
            <v:textbox>
              <w:txbxContent>
                <w:p w:rsidR="009B5236" w:rsidRPr="003A4F87" w:rsidRDefault="009B5236" w:rsidP="003A4F87">
                  <w:pPr>
                    <w:pStyle w:val="NoSpacing"/>
                    <w:rPr>
                      <w:color w:val="0D0D0D" w:themeColor="text1" w:themeTint="F2"/>
                    </w:rPr>
                  </w:pPr>
                  <w:r w:rsidRPr="003A4F87">
                    <w:rPr>
                      <w:color w:val="0D0D0D" w:themeColor="text1" w:themeTint="F2"/>
                    </w:rPr>
                    <w:t>Programs and systems specifically designed to serve transient students</w:t>
                  </w:r>
                </w:p>
              </w:txbxContent>
            </v:textbox>
          </v:rect>
        </w:pict>
      </w:r>
      <w:r w:rsidR="00765270">
        <w:rPr>
          <w:rFonts w:asciiTheme="majorHAnsi" w:eastAsiaTheme="majorEastAsia" w:hAnsiTheme="majorHAnsi" w:cstheme="majorBidi"/>
          <w:noProof/>
          <w:color w:val="365F91" w:themeColor="accent1" w:themeShade="BF"/>
          <w:sz w:val="26"/>
          <w:szCs w:val="26"/>
          <w:lang w:eastAsia="zh-CN" w:bidi="km-KH"/>
        </w:rPr>
        <w:drawing>
          <wp:inline distT="0" distB="0" distL="0" distR="0">
            <wp:extent cx="512065" cy="512065"/>
            <wp:effectExtent l="19050" t="0" r="2285" b="0"/>
            <wp:docPr id="9" name="Picture 9" descr="Calendar with cro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s_massgrad-06.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065" cy="512065"/>
                    </a:xfrm>
                    <a:prstGeom prst="rect">
                      <a:avLst/>
                    </a:prstGeom>
                  </pic:spPr>
                </pic:pic>
              </a:graphicData>
            </a:graphic>
          </wp:inline>
        </w:drawing>
      </w:r>
    </w:p>
    <w:p w:rsidR="00307978" w:rsidRDefault="00765270"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lang w:eastAsia="zh-CN" w:bidi="km-KH"/>
        </w:rPr>
        <w:drawing>
          <wp:inline distT="0" distB="0" distL="0" distR="0">
            <wp:extent cx="512065" cy="512065"/>
            <wp:effectExtent l="19050" t="0" r="2285" b="0"/>
            <wp:docPr id="10" name="Picture 10" descr="blackbo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s_massgrad-07.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065" cy="512065"/>
                    </a:xfrm>
                    <a:prstGeom prst="rect">
                      <a:avLst/>
                    </a:prstGeom>
                  </pic:spPr>
                </pic:pic>
              </a:graphicData>
            </a:graphic>
          </wp:inline>
        </w:drawing>
      </w:r>
    </w:p>
    <w:p w:rsidR="00307978" w:rsidRDefault="00307978" w:rsidP="00261B88">
      <w:pPr>
        <w:jc w:val="both"/>
        <w:rPr>
          <w:rFonts w:asciiTheme="majorHAnsi" w:eastAsiaTheme="majorEastAsia" w:hAnsiTheme="majorHAnsi" w:cstheme="majorBidi"/>
          <w:color w:val="365F91" w:themeColor="accent1" w:themeShade="BF"/>
          <w:sz w:val="26"/>
          <w:szCs w:val="26"/>
        </w:rPr>
      </w:pPr>
    </w:p>
    <w:p w:rsidR="00307978" w:rsidRDefault="00307978" w:rsidP="00261B88">
      <w:pPr>
        <w:jc w:val="both"/>
        <w:rPr>
          <w:rFonts w:asciiTheme="majorHAnsi" w:eastAsiaTheme="majorEastAsia" w:hAnsiTheme="majorHAnsi" w:cstheme="majorBidi"/>
          <w:color w:val="365F91" w:themeColor="accent1" w:themeShade="BF"/>
          <w:sz w:val="26"/>
          <w:szCs w:val="26"/>
        </w:rPr>
      </w:pPr>
    </w:p>
    <w:p w:rsidR="00307978" w:rsidRDefault="00307978" w:rsidP="00261B88">
      <w:pPr>
        <w:jc w:val="both"/>
        <w:rPr>
          <w:rFonts w:asciiTheme="majorHAnsi" w:eastAsiaTheme="majorEastAsia" w:hAnsiTheme="majorHAnsi" w:cstheme="majorBidi"/>
          <w:color w:val="365F91" w:themeColor="accent1" w:themeShade="BF"/>
          <w:sz w:val="26"/>
          <w:szCs w:val="26"/>
        </w:rPr>
      </w:pPr>
    </w:p>
    <w:p w:rsidR="00307978" w:rsidRDefault="00307978" w:rsidP="00261B88">
      <w:pPr>
        <w:jc w:val="both"/>
        <w:rPr>
          <w:rFonts w:asciiTheme="majorHAnsi" w:eastAsiaTheme="majorEastAsia" w:hAnsiTheme="majorHAnsi" w:cstheme="majorBidi"/>
          <w:color w:val="365F91" w:themeColor="accent1" w:themeShade="BF"/>
          <w:sz w:val="26"/>
          <w:szCs w:val="26"/>
        </w:rPr>
        <w:sectPr w:rsidR="00307978" w:rsidSect="00307978">
          <w:type w:val="continuous"/>
          <w:pgSz w:w="12240" w:h="15840"/>
          <w:pgMar w:top="1440" w:right="1440" w:bottom="1440" w:left="1440" w:header="720" w:footer="720" w:gutter="0"/>
          <w:cols w:num="2" w:space="720"/>
          <w:docGrid w:linePitch="360"/>
        </w:sectPr>
      </w:pPr>
    </w:p>
    <w:p w:rsidR="00BA08F1" w:rsidRDefault="00BA08F1" w:rsidP="00261B88">
      <w:pPr>
        <w:pStyle w:val="Heading2"/>
        <w:jc w:val="both"/>
        <w:rPr>
          <w:noProof/>
        </w:rPr>
      </w:pPr>
      <w:r>
        <w:rPr>
          <w:noProof/>
        </w:rPr>
        <w:lastRenderedPageBreak/>
        <w:t>Massachusetts annual dropout rates, 2005-2014</w:t>
      </w:r>
    </w:p>
    <w:p w:rsidR="00015FD4" w:rsidRPr="00307978" w:rsidRDefault="00BA08F1"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lang w:eastAsia="zh-CN" w:bidi="km-KH"/>
        </w:rPr>
        <w:drawing>
          <wp:inline distT="0" distB="0" distL="0" distR="0">
            <wp:extent cx="5943600" cy="3059430"/>
            <wp:effectExtent l="19050" t="0" r="0" b="0"/>
            <wp:docPr id="40" name="Picture 40" descr="Massachusetts annual dropout rates, 2005-2014&#10;2005 - 3.80%&#10;2006 - 3.30%&#10;2007 - 3.80%&#10;2008 - 3.40%&#10;2009 - 2.90%&#10;2010 - 2.90%&#10;2011 - 2.70%&#10;2012 - 2.50%&#10;2013 - 2.20%&#10;2014 - 2.0%&#10;&#10;Start of MassGrad at mid-year between 2010 and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ropout.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059430"/>
                    </a:xfrm>
                    <a:prstGeom prst="rect">
                      <a:avLst/>
                    </a:prstGeom>
                  </pic:spPr>
                </pic:pic>
              </a:graphicData>
            </a:graphic>
          </wp:inline>
        </w:drawing>
      </w:r>
      <w:r w:rsidR="00015FD4" w:rsidRPr="00307978">
        <w:rPr>
          <w:rFonts w:asciiTheme="majorHAnsi" w:eastAsiaTheme="majorEastAsia" w:hAnsiTheme="majorHAnsi" w:cstheme="majorBidi"/>
          <w:color w:val="365F91" w:themeColor="accent1" w:themeShade="BF"/>
          <w:sz w:val="26"/>
          <w:szCs w:val="26"/>
        </w:rPr>
        <w:t xml:space="preserve">The </w:t>
      </w:r>
      <w:r w:rsidR="00114AD7" w:rsidRPr="00307978">
        <w:rPr>
          <w:rFonts w:asciiTheme="majorHAnsi" w:eastAsiaTheme="majorEastAsia" w:hAnsiTheme="majorHAnsi" w:cstheme="majorBidi"/>
          <w:color w:val="365F91" w:themeColor="accent1" w:themeShade="BF"/>
          <w:sz w:val="26"/>
          <w:szCs w:val="26"/>
        </w:rPr>
        <w:t>P</w:t>
      </w:r>
      <w:r w:rsidR="00015FD4" w:rsidRPr="00307978">
        <w:rPr>
          <w:rFonts w:asciiTheme="majorHAnsi" w:eastAsiaTheme="majorEastAsia" w:hAnsiTheme="majorHAnsi" w:cstheme="majorBidi"/>
          <w:color w:val="365F91" w:themeColor="accent1" w:themeShade="BF"/>
          <w:sz w:val="26"/>
          <w:szCs w:val="26"/>
        </w:rPr>
        <w:t xml:space="preserve">ower of </w:t>
      </w:r>
      <w:r w:rsidR="00114AD7" w:rsidRPr="00307978">
        <w:rPr>
          <w:rFonts w:asciiTheme="majorHAnsi" w:eastAsiaTheme="majorEastAsia" w:hAnsiTheme="majorHAnsi" w:cstheme="majorBidi"/>
          <w:color w:val="365F91" w:themeColor="accent1" w:themeShade="BF"/>
          <w:sz w:val="26"/>
          <w:szCs w:val="26"/>
        </w:rPr>
        <w:t>P</w:t>
      </w:r>
      <w:r w:rsidR="00015FD4" w:rsidRPr="00307978">
        <w:rPr>
          <w:rFonts w:asciiTheme="majorHAnsi" w:eastAsiaTheme="majorEastAsia" w:hAnsiTheme="majorHAnsi" w:cstheme="majorBidi"/>
          <w:color w:val="365F91" w:themeColor="accent1" w:themeShade="BF"/>
          <w:sz w:val="26"/>
          <w:szCs w:val="26"/>
        </w:rPr>
        <w:t>artnerships</w:t>
      </w:r>
    </w:p>
    <w:p w:rsidR="00985951" w:rsidRPr="00307978" w:rsidRDefault="00985951" w:rsidP="00261B88">
      <w:pPr>
        <w:jc w:val="both"/>
      </w:pPr>
      <w:r w:rsidRPr="00307978">
        <w:t>School-community partnerships focused on a particular dropout reduction challenge can provide a robust set of resources and expertise to better support schools and students. Partnerships with behavioral health agencies help schools provide early intervention to students with behavioral health needs and establish a school climate that promotes academic, social, and emotional success. Service and work-based learning programs that are implemented in partnership with community organizations and employers allow students to identify connections between their classroom experience and workplace success, improving academic persistence and civic engagement. Gateway to College, a unique partnership between districts and community colleges, supports students at risk of dropping out by offering them the opportunity to finish their high school diploma on a college campus while also earning college credits.</w:t>
      </w:r>
    </w:p>
    <w:p w:rsidR="00015FD4" w:rsidRPr="00307978" w:rsidRDefault="00015FD4" w:rsidP="00261B88">
      <w:pPr>
        <w:jc w:val="both"/>
        <w:rPr>
          <w:rFonts w:asciiTheme="majorHAnsi" w:eastAsiaTheme="majorEastAsia" w:hAnsiTheme="majorHAnsi" w:cstheme="majorBidi"/>
          <w:color w:val="365F91" w:themeColor="accent1" w:themeShade="BF"/>
          <w:sz w:val="26"/>
          <w:szCs w:val="26"/>
        </w:rPr>
      </w:pPr>
      <w:r w:rsidRPr="00307978">
        <w:rPr>
          <w:rFonts w:asciiTheme="majorHAnsi" w:eastAsiaTheme="majorEastAsia" w:hAnsiTheme="majorHAnsi" w:cstheme="majorBidi"/>
          <w:color w:val="365F91" w:themeColor="accent1" w:themeShade="BF"/>
          <w:sz w:val="26"/>
          <w:szCs w:val="26"/>
        </w:rPr>
        <w:t xml:space="preserve">Flexible </w:t>
      </w:r>
      <w:r w:rsidR="00050ACD" w:rsidRPr="00307978">
        <w:rPr>
          <w:rFonts w:asciiTheme="majorHAnsi" w:eastAsiaTheme="majorEastAsia" w:hAnsiTheme="majorHAnsi" w:cstheme="majorBidi"/>
          <w:color w:val="365F91" w:themeColor="accent1" w:themeShade="BF"/>
          <w:sz w:val="26"/>
          <w:szCs w:val="26"/>
        </w:rPr>
        <w:t>P</w:t>
      </w:r>
      <w:r w:rsidRPr="00307978">
        <w:rPr>
          <w:rFonts w:asciiTheme="majorHAnsi" w:eastAsiaTheme="majorEastAsia" w:hAnsiTheme="majorHAnsi" w:cstheme="majorBidi"/>
          <w:color w:val="365F91" w:themeColor="accent1" w:themeShade="BF"/>
          <w:sz w:val="26"/>
          <w:szCs w:val="26"/>
        </w:rPr>
        <w:t xml:space="preserve">athways that </w:t>
      </w:r>
      <w:r w:rsidR="00050ACD" w:rsidRPr="00307978">
        <w:rPr>
          <w:rFonts w:asciiTheme="majorHAnsi" w:eastAsiaTheme="majorEastAsia" w:hAnsiTheme="majorHAnsi" w:cstheme="majorBidi"/>
          <w:color w:val="365F91" w:themeColor="accent1" w:themeShade="BF"/>
          <w:sz w:val="26"/>
          <w:szCs w:val="26"/>
        </w:rPr>
        <w:t>A</w:t>
      </w:r>
      <w:r w:rsidRPr="00307978">
        <w:rPr>
          <w:rFonts w:asciiTheme="majorHAnsi" w:eastAsiaTheme="majorEastAsia" w:hAnsiTheme="majorHAnsi" w:cstheme="majorBidi"/>
          <w:color w:val="365F91" w:themeColor="accent1" w:themeShade="BF"/>
          <w:sz w:val="26"/>
          <w:szCs w:val="26"/>
        </w:rPr>
        <w:t xml:space="preserve">ddress a </w:t>
      </w:r>
      <w:r w:rsidR="00050ACD" w:rsidRPr="00307978">
        <w:rPr>
          <w:rFonts w:asciiTheme="majorHAnsi" w:eastAsiaTheme="majorEastAsia" w:hAnsiTheme="majorHAnsi" w:cstheme="majorBidi"/>
          <w:color w:val="365F91" w:themeColor="accent1" w:themeShade="BF"/>
          <w:sz w:val="26"/>
          <w:szCs w:val="26"/>
        </w:rPr>
        <w:t>B</w:t>
      </w:r>
      <w:r w:rsidRPr="00307978">
        <w:rPr>
          <w:rFonts w:asciiTheme="majorHAnsi" w:eastAsiaTheme="majorEastAsia" w:hAnsiTheme="majorHAnsi" w:cstheme="majorBidi"/>
          <w:color w:val="365F91" w:themeColor="accent1" w:themeShade="BF"/>
          <w:sz w:val="26"/>
          <w:szCs w:val="26"/>
        </w:rPr>
        <w:t xml:space="preserve">roader </w:t>
      </w:r>
      <w:r w:rsidR="00050ACD" w:rsidRPr="00307978">
        <w:rPr>
          <w:rFonts w:asciiTheme="majorHAnsi" w:eastAsiaTheme="majorEastAsia" w:hAnsiTheme="majorHAnsi" w:cstheme="majorBidi"/>
          <w:color w:val="365F91" w:themeColor="accent1" w:themeShade="BF"/>
          <w:sz w:val="26"/>
          <w:szCs w:val="26"/>
        </w:rPr>
        <w:t>R</w:t>
      </w:r>
      <w:r w:rsidRPr="00307978">
        <w:rPr>
          <w:rFonts w:asciiTheme="majorHAnsi" w:eastAsiaTheme="majorEastAsia" w:hAnsiTheme="majorHAnsi" w:cstheme="majorBidi"/>
          <w:color w:val="365F91" w:themeColor="accent1" w:themeShade="BF"/>
          <w:sz w:val="26"/>
          <w:szCs w:val="26"/>
        </w:rPr>
        <w:t xml:space="preserve">ange of </w:t>
      </w:r>
      <w:r w:rsidR="00050ACD" w:rsidRPr="00307978">
        <w:rPr>
          <w:rFonts w:asciiTheme="majorHAnsi" w:eastAsiaTheme="majorEastAsia" w:hAnsiTheme="majorHAnsi" w:cstheme="majorBidi"/>
          <w:color w:val="365F91" w:themeColor="accent1" w:themeShade="BF"/>
          <w:sz w:val="26"/>
          <w:szCs w:val="26"/>
        </w:rPr>
        <w:t>S</w:t>
      </w:r>
      <w:r w:rsidRPr="00307978">
        <w:rPr>
          <w:rFonts w:asciiTheme="majorHAnsi" w:eastAsiaTheme="majorEastAsia" w:hAnsiTheme="majorHAnsi" w:cstheme="majorBidi"/>
          <w:color w:val="365F91" w:themeColor="accent1" w:themeShade="BF"/>
          <w:sz w:val="26"/>
          <w:szCs w:val="26"/>
        </w:rPr>
        <w:t xml:space="preserve">tudent </w:t>
      </w:r>
      <w:r w:rsidR="00050ACD" w:rsidRPr="00307978">
        <w:rPr>
          <w:rFonts w:asciiTheme="majorHAnsi" w:eastAsiaTheme="majorEastAsia" w:hAnsiTheme="majorHAnsi" w:cstheme="majorBidi"/>
          <w:color w:val="365F91" w:themeColor="accent1" w:themeShade="BF"/>
          <w:sz w:val="26"/>
          <w:szCs w:val="26"/>
        </w:rPr>
        <w:t>N</w:t>
      </w:r>
      <w:r w:rsidRPr="00307978">
        <w:rPr>
          <w:rFonts w:asciiTheme="majorHAnsi" w:eastAsiaTheme="majorEastAsia" w:hAnsiTheme="majorHAnsi" w:cstheme="majorBidi"/>
          <w:color w:val="365F91" w:themeColor="accent1" w:themeShade="BF"/>
          <w:sz w:val="26"/>
          <w:szCs w:val="26"/>
        </w:rPr>
        <w:t>eeds</w:t>
      </w:r>
    </w:p>
    <w:p w:rsidR="00015FD4" w:rsidRDefault="00015FD4" w:rsidP="00261B88">
      <w:pPr>
        <w:jc w:val="both"/>
      </w:pPr>
      <w:r>
        <w:t>Students are most likely to persist in an educational environment where</w:t>
      </w:r>
      <w:r w:rsidR="009C7D39">
        <w:t xml:space="preserve"> </w:t>
      </w:r>
      <w:r>
        <w:t>they feel successful. Through smaller, more</w:t>
      </w:r>
      <w:r w:rsidR="009C7D39">
        <w:t xml:space="preserve"> </w:t>
      </w:r>
      <w:r>
        <w:t>personalized alternative programs,</w:t>
      </w:r>
      <w:r w:rsidR="009C7D39">
        <w:t xml:space="preserve"> </w:t>
      </w:r>
      <w:r>
        <w:t>students have</w:t>
      </w:r>
      <w:r w:rsidR="009C7D39">
        <w:t xml:space="preserve"> </w:t>
      </w:r>
      <w:r>
        <w:t>the</w:t>
      </w:r>
      <w:r w:rsidR="009C7D39">
        <w:t xml:space="preserve"> </w:t>
      </w:r>
      <w:r>
        <w:t>opportunity to build connections with educators, increasing</w:t>
      </w:r>
      <w:r w:rsidR="009C7D39">
        <w:t xml:space="preserve"> </w:t>
      </w:r>
      <w:r>
        <w:t>the</w:t>
      </w:r>
      <w:r w:rsidR="009C7D39">
        <w:t xml:space="preserve"> </w:t>
      </w:r>
      <w:r>
        <w:t>likelihood</w:t>
      </w:r>
      <w:r w:rsidR="009C7D39">
        <w:t xml:space="preserve"> </w:t>
      </w:r>
      <w:r>
        <w:t>that</w:t>
      </w:r>
      <w:r w:rsidR="009C7D39">
        <w:t xml:space="preserve"> </w:t>
      </w:r>
      <w:r>
        <w:t>they</w:t>
      </w:r>
      <w:r w:rsidR="009C7D39">
        <w:t xml:space="preserve"> </w:t>
      </w:r>
      <w:r>
        <w:t>will</w:t>
      </w:r>
      <w:r w:rsidR="009C7D39">
        <w:t xml:space="preserve"> </w:t>
      </w:r>
      <w:r>
        <w:t>graduate. While some alternative pathways target</w:t>
      </w:r>
      <w:r w:rsidR="009C7D39">
        <w:t xml:space="preserve"> </w:t>
      </w:r>
      <w:r>
        <w:t>specific student groups,</w:t>
      </w:r>
      <w:r w:rsidR="009C7D39">
        <w:t xml:space="preserve"> </w:t>
      </w:r>
      <w:r>
        <w:t>such as parenting teens</w:t>
      </w:r>
      <w:r w:rsidR="009C7D39">
        <w:t xml:space="preserve"> </w:t>
      </w:r>
      <w:r>
        <w:t>or expelled students, many enroll students with a range of fac</w:t>
      </w:r>
      <w:r w:rsidR="00985951">
        <w:t>tors that place them at-risk of</w:t>
      </w:r>
      <w:r>
        <w:t xml:space="preserve"> dropping out.</w:t>
      </w:r>
    </w:p>
    <w:p w:rsidR="00015FD4" w:rsidRDefault="00015FD4" w:rsidP="00261B88">
      <w:pPr>
        <w:jc w:val="both"/>
      </w:pPr>
      <w:r>
        <w:t>Credit recovery and acceleration initiatives also provide a flexible pathway to make the goal of high school graduation attainable for students who are over the traditional high school age and behind on credits due to attendance issues or failing grades. By providing opportunities for online learning, Saturday school, or summer enrichment, districts can help struggling students recover credits and gain critical academic skills.</w:t>
      </w:r>
    </w:p>
    <w:p w:rsidR="00DE6DD9" w:rsidRDefault="00DE6DD9" w:rsidP="00261B88">
      <w:pPr>
        <w:jc w:val="both"/>
        <w:rPr>
          <w:rFonts w:asciiTheme="majorHAnsi" w:eastAsiaTheme="majorEastAsia" w:hAnsiTheme="majorHAnsi" w:cstheme="majorBidi"/>
          <w:color w:val="365F91" w:themeColor="accent1" w:themeShade="BF"/>
          <w:sz w:val="26"/>
          <w:szCs w:val="26"/>
        </w:rPr>
      </w:pPr>
    </w:p>
    <w:p w:rsidR="00015FD4" w:rsidRPr="00307978" w:rsidRDefault="00015FD4" w:rsidP="00261B88">
      <w:pPr>
        <w:jc w:val="both"/>
        <w:rPr>
          <w:rFonts w:asciiTheme="majorHAnsi" w:eastAsiaTheme="majorEastAsia" w:hAnsiTheme="majorHAnsi" w:cstheme="majorBidi"/>
          <w:color w:val="365F91" w:themeColor="accent1" w:themeShade="BF"/>
          <w:sz w:val="26"/>
          <w:szCs w:val="26"/>
        </w:rPr>
      </w:pPr>
      <w:r w:rsidRPr="00307978">
        <w:rPr>
          <w:rFonts w:asciiTheme="majorHAnsi" w:eastAsiaTheme="majorEastAsia" w:hAnsiTheme="majorHAnsi" w:cstheme="majorBidi"/>
          <w:color w:val="365F91" w:themeColor="accent1" w:themeShade="BF"/>
          <w:sz w:val="26"/>
          <w:szCs w:val="26"/>
        </w:rPr>
        <w:t xml:space="preserve">Developing a </w:t>
      </w:r>
      <w:r w:rsidR="00050ACD" w:rsidRPr="00307978">
        <w:rPr>
          <w:rFonts w:asciiTheme="majorHAnsi" w:eastAsiaTheme="majorEastAsia" w:hAnsiTheme="majorHAnsi" w:cstheme="majorBidi"/>
          <w:color w:val="365F91" w:themeColor="accent1" w:themeShade="BF"/>
          <w:sz w:val="26"/>
          <w:szCs w:val="26"/>
        </w:rPr>
        <w:t>C</w:t>
      </w:r>
      <w:r w:rsidRPr="00307978">
        <w:rPr>
          <w:rFonts w:asciiTheme="majorHAnsi" w:eastAsiaTheme="majorEastAsia" w:hAnsiTheme="majorHAnsi" w:cstheme="majorBidi"/>
          <w:color w:val="365F91" w:themeColor="accent1" w:themeShade="BF"/>
          <w:sz w:val="26"/>
          <w:szCs w:val="26"/>
        </w:rPr>
        <w:t xml:space="preserve">ulture of </w:t>
      </w:r>
      <w:r w:rsidR="00050ACD" w:rsidRPr="00307978">
        <w:rPr>
          <w:rFonts w:asciiTheme="majorHAnsi" w:eastAsiaTheme="majorEastAsia" w:hAnsiTheme="majorHAnsi" w:cstheme="majorBidi"/>
          <w:color w:val="365F91" w:themeColor="accent1" w:themeShade="BF"/>
          <w:sz w:val="26"/>
          <w:szCs w:val="26"/>
        </w:rPr>
        <w:t>S</w:t>
      </w:r>
      <w:r w:rsidRPr="00307978">
        <w:rPr>
          <w:rFonts w:asciiTheme="majorHAnsi" w:eastAsiaTheme="majorEastAsia" w:hAnsiTheme="majorHAnsi" w:cstheme="majorBidi"/>
          <w:color w:val="365F91" w:themeColor="accent1" w:themeShade="BF"/>
          <w:sz w:val="26"/>
          <w:szCs w:val="26"/>
        </w:rPr>
        <w:t xml:space="preserve">upport to </w:t>
      </w:r>
      <w:r w:rsidR="00050ACD" w:rsidRPr="00307978">
        <w:rPr>
          <w:rFonts w:asciiTheme="majorHAnsi" w:eastAsiaTheme="majorEastAsia" w:hAnsiTheme="majorHAnsi" w:cstheme="majorBidi"/>
          <w:color w:val="365F91" w:themeColor="accent1" w:themeShade="BF"/>
          <w:sz w:val="26"/>
          <w:szCs w:val="26"/>
        </w:rPr>
        <w:t>F</w:t>
      </w:r>
      <w:r w:rsidRPr="00307978">
        <w:rPr>
          <w:rFonts w:asciiTheme="majorHAnsi" w:eastAsiaTheme="majorEastAsia" w:hAnsiTheme="majorHAnsi" w:cstheme="majorBidi"/>
          <w:color w:val="365F91" w:themeColor="accent1" w:themeShade="BF"/>
          <w:sz w:val="26"/>
          <w:szCs w:val="26"/>
        </w:rPr>
        <w:t xml:space="preserve">oster </w:t>
      </w:r>
      <w:r w:rsidR="00050ACD" w:rsidRPr="00307978">
        <w:rPr>
          <w:rFonts w:asciiTheme="majorHAnsi" w:eastAsiaTheme="majorEastAsia" w:hAnsiTheme="majorHAnsi" w:cstheme="majorBidi"/>
          <w:color w:val="365F91" w:themeColor="accent1" w:themeShade="BF"/>
          <w:sz w:val="26"/>
          <w:szCs w:val="26"/>
        </w:rPr>
        <w:t>S</w:t>
      </w:r>
      <w:r w:rsidRPr="00307978">
        <w:rPr>
          <w:rFonts w:asciiTheme="majorHAnsi" w:eastAsiaTheme="majorEastAsia" w:hAnsiTheme="majorHAnsi" w:cstheme="majorBidi"/>
          <w:color w:val="365F91" w:themeColor="accent1" w:themeShade="BF"/>
          <w:sz w:val="26"/>
          <w:szCs w:val="26"/>
        </w:rPr>
        <w:t xml:space="preserve">tudent </w:t>
      </w:r>
      <w:r w:rsidR="00050ACD" w:rsidRPr="00307978">
        <w:rPr>
          <w:rFonts w:asciiTheme="majorHAnsi" w:eastAsiaTheme="majorEastAsia" w:hAnsiTheme="majorHAnsi" w:cstheme="majorBidi"/>
          <w:color w:val="365F91" w:themeColor="accent1" w:themeShade="BF"/>
          <w:sz w:val="26"/>
          <w:szCs w:val="26"/>
        </w:rPr>
        <w:t>E</w:t>
      </w:r>
      <w:r w:rsidRPr="00307978">
        <w:rPr>
          <w:rFonts w:asciiTheme="majorHAnsi" w:eastAsiaTheme="majorEastAsia" w:hAnsiTheme="majorHAnsi" w:cstheme="majorBidi"/>
          <w:color w:val="365F91" w:themeColor="accent1" w:themeShade="BF"/>
          <w:sz w:val="26"/>
          <w:szCs w:val="26"/>
        </w:rPr>
        <w:t>ngagement</w:t>
      </w:r>
    </w:p>
    <w:p w:rsidR="00985951" w:rsidRPr="00EE030D" w:rsidRDefault="00985951" w:rsidP="00261B88">
      <w:pPr>
        <w:jc w:val="both"/>
      </w:pPr>
      <w:r w:rsidRPr="00EE030D">
        <w:t>By providing struggling students with a trained adult advocate, such as a graduation coach, educators can improve students’ connection to school. The graduation coach can help identify at-risk students through early indicator data and other sources, and</w:t>
      </w:r>
      <w:r>
        <w:t xml:space="preserve"> provide assistance to keep them on track academically before they consider dropping out. </w:t>
      </w:r>
      <w:r w:rsidRPr="00EE030D">
        <w:t>Coaches also engage parents, guardians, and outside organizations to</w:t>
      </w:r>
      <w:r>
        <w:t xml:space="preserve"> supplement the support students receive in school.</w:t>
      </w:r>
    </w:p>
    <w:p w:rsidR="00985951" w:rsidRPr="00EE030D" w:rsidRDefault="00985951" w:rsidP="00261B88">
      <w:pPr>
        <w:jc w:val="both"/>
      </w:pPr>
      <w:r w:rsidRPr="00EE030D">
        <w:t xml:space="preserve">Reengagement specialists operate as dropout outreach workers and are a critical component of a system of student support. </w:t>
      </w:r>
      <w:r>
        <w:t xml:space="preserve"> These coaches act as a conduit back to school for those who have already dropped out by helping students, especially those who are over-age and under-credited, access resources that will allow them to succeed. </w:t>
      </w:r>
    </w:p>
    <w:p w:rsidR="00985951" w:rsidRDefault="00985951" w:rsidP="00261B88">
      <w:pPr>
        <w:jc w:val="both"/>
      </w:pPr>
      <w:r>
        <w:t xml:space="preserve">Many of the factors that place students at risk of dropping out are not academic in nature, and therefore require non-academic systems of support. </w:t>
      </w:r>
      <w:r w:rsidRPr="00EE030D">
        <w:t>Students’ behavioral health is intricately connected to academic, social, and emotional success at school. Establishing professional learning communities and providing professional development</w:t>
      </w:r>
      <w:r>
        <w:t xml:space="preserve"> on topics including restorative justice, cultural competency, </w:t>
      </w:r>
      <w:r w:rsidR="00A44F48">
        <w:t xml:space="preserve">positive behavior interventions and supports (PBIS), </w:t>
      </w:r>
      <w:r>
        <w:t xml:space="preserve">and mental health can support the development of a positive school culture that is responsive to students’ needs. </w:t>
      </w:r>
    </w:p>
    <w:p w:rsidR="002F5C92" w:rsidRDefault="002F5C92" w:rsidP="00261B88">
      <w:pPr>
        <w:jc w:val="both"/>
      </w:pPr>
    </w:p>
    <w:p w:rsidR="002F5C92" w:rsidRDefault="002F5C92" w:rsidP="00261B88">
      <w:pPr>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noProof/>
          <w:color w:val="365F91" w:themeColor="accent1" w:themeShade="BF"/>
          <w:sz w:val="26"/>
          <w:szCs w:val="26"/>
          <w:lang w:eastAsia="zh-CN" w:bidi="km-KH"/>
        </w:rPr>
        <w:drawing>
          <wp:inline distT="0" distB="0" distL="0" distR="0">
            <wp:extent cx="5943600" cy="3619500"/>
            <wp:effectExtent l="19050" t="0" r="0" b="0"/>
            <wp:docPr id="41" name="Picture 41" descr="two student working on whit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otolia_66582586_Subscription_student 1.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619500"/>
                    </a:xfrm>
                    <a:prstGeom prst="rect">
                      <a:avLst/>
                    </a:prstGeom>
                  </pic:spPr>
                </pic:pic>
              </a:graphicData>
            </a:graphic>
          </wp:inline>
        </w:drawing>
      </w:r>
      <w:r>
        <w:rPr>
          <w:rFonts w:asciiTheme="majorHAnsi" w:eastAsiaTheme="majorEastAsia" w:hAnsiTheme="majorHAnsi" w:cstheme="majorBidi"/>
          <w:color w:val="365F91" w:themeColor="accent1" w:themeShade="BF"/>
          <w:sz w:val="26"/>
          <w:szCs w:val="26"/>
        </w:rPr>
        <w:br w:type="page"/>
      </w:r>
    </w:p>
    <w:p w:rsidR="00307978" w:rsidRPr="00307978" w:rsidRDefault="00307978" w:rsidP="00261B88">
      <w:pPr>
        <w:jc w:val="both"/>
        <w:rPr>
          <w:rFonts w:asciiTheme="majorHAnsi" w:eastAsiaTheme="majorEastAsia" w:hAnsiTheme="majorHAnsi" w:cstheme="majorBidi"/>
          <w:color w:val="365F91" w:themeColor="accent1" w:themeShade="BF"/>
          <w:sz w:val="26"/>
          <w:szCs w:val="26"/>
        </w:rPr>
      </w:pPr>
      <w:r w:rsidRPr="00307978">
        <w:rPr>
          <w:rFonts w:asciiTheme="majorHAnsi" w:eastAsiaTheme="majorEastAsia" w:hAnsiTheme="majorHAnsi" w:cstheme="majorBidi"/>
          <w:color w:val="365F91" w:themeColor="accent1" w:themeShade="BF"/>
          <w:sz w:val="26"/>
          <w:szCs w:val="26"/>
        </w:rPr>
        <w:lastRenderedPageBreak/>
        <w:t>School Profile: North High School, Worcester, MA</w:t>
      </w:r>
    </w:p>
    <w:p w:rsidR="00985951" w:rsidRDefault="00307978" w:rsidP="00261B88">
      <w:pPr>
        <w:jc w:val="both"/>
      </w:pPr>
      <w:r>
        <w:t>In partnership with organizations such as African Community Education, Latino Education Institute, Plumley Village, and Y.O.U. Inc., administrators at North High School developed a coalition designed to provide English language learners (ELL) with academic and behavioral supports in order to close the proficiency gap and encourage academic persistence. The coalition’s collaborative case management model brings together community partners, families, and educators to address student needs, both inside and outside the classroom. The coalition led to the school’s decision to implement a restorative justice program, in which students are empowered to discuss and solve their own conflicts. The program has contributed to a drastic reduction in suspensions and strengthened the school community. Since the coalition’s formation in 2011, the four-year graduation rate for ELLs at North High School has grown from 50 percent to 73 percent.</w:t>
      </w:r>
    </w:p>
    <w:p w:rsidR="00D128E7" w:rsidRPr="00BA08F1" w:rsidRDefault="00D128E7" w:rsidP="00261B88">
      <w:pPr>
        <w:pStyle w:val="Heading3"/>
        <w:jc w:val="both"/>
        <w:rPr>
          <w:color w:val="365F91" w:themeColor="accent1" w:themeShade="BF"/>
          <w:sz w:val="26"/>
          <w:szCs w:val="26"/>
        </w:rPr>
      </w:pPr>
      <w:r w:rsidRPr="00BA08F1">
        <w:rPr>
          <w:color w:val="365F91" w:themeColor="accent1" w:themeShade="BF"/>
          <w:sz w:val="26"/>
          <w:szCs w:val="26"/>
        </w:rPr>
        <w:t>North High School</w:t>
      </w:r>
    </w:p>
    <w:p w:rsidR="00D128E7" w:rsidRPr="00BA08F1" w:rsidRDefault="00D128E7" w:rsidP="00261B88">
      <w:pPr>
        <w:pStyle w:val="Heading3"/>
        <w:jc w:val="both"/>
        <w:rPr>
          <w:color w:val="365F91" w:themeColor="accent1" w:themeShade="BF"/>
          <w:sz w:val="26"/>
          <w:szCs w:val="26"/>
        </w:rPr>
      </w:pPr>
      <w:r w:rsidRPr="00BA08F1">
        <w:rPr>
          <w:color w:val="365F91" w:themeColor="accent1" w:themeShade="BF"/>
          <w:sz w:val="26"/>
          <w:szCs w:val="26"/>
        </w:rPr>
        <w:t>ELL four-year graduation rate</w:t>
      </w:r>
    </w:p>
    <w:p w:rsidR="00D128E7" w:rsidRPr="00985951" w:rsidRDefault="00D128E7" w:rsidP="00261B88">
      <w:pPr>
        <w:jc w:val="both"/>
      </w:pPr>
      <w:r>
        <w:rPr>
          <w:noProof/>
          <w:lang w:eastAsia="zh-CN" w:bidi="km-KH"/>
        </w:rPr>
        <w:drawing>
          <wp:inline distT="0" distB="0" distL="0" distR="0">
            <wp:extent cx="4016146" cy="2800350"/>
            <wp:effectExtent l="0" t="0" r="0" b="0"/>
            <wp:docPr id="39" name="Picture 39" descr="ELL four-year graduation rate&#10;2011 - 50%&#10;2012 - 54%&#10;2013 - 65%&#10;2014 -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orth.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16792" cy="2800800"/>
                    </a:xfrm>
                    <a:prstGeom prst="rect">
                      <a:avLst/>
                    </a:prstGeom>
                  </pic:spPr>
                </pic:pic>
              </a:graphicData>
            </a:graphic>
          </wp:inline>
        </w:drawing>
      </w:r>
      <w:bookmarkStart w:id="0" w:name="_GoBack"/>
      <w:bookmarkEnd w:id="0"/>
    </w:p>
    <w:p w:rsidR="00015FD4" w:rsidRPr="00307978" w:rsidRDefault="00015FD4" w:rsidP="00261B88">
      <w:pPr>
        <w:jc w:val="both"/>
        <w:rPr>
          <w:rFonts w:asciiTheme="majorHAnsi" w:eastAsiaTheme="majorEastAsia" w:hAnsiTheme="majorHAnsi" w:cstheme="majorBidi"/>
          <w:color w:val="365F91" w:themeColor="accent1" w:themeShade="BF"/>
          <w:sz w:val="26"/>
          <w:szCs w:val="26"/>
        </w:rPr>
      </w:pPr>
      <w:r w:rsidRPr="00307978">
        <w:rPr>
          <w:rFonts w:asciiTheme="majorHAnsi" w:eastAsiaTheme="majorEastAsia" w:hAnsiTheme="majorHAnsi" w:cstheme="majorBidi"/>
          <w:color w:val="365F91" w:themeColor="accent1" w:themeShade="BF"/>
          <w:sz w:val="26"/>
          <w:szCs w:val="26"/>
        </w:rPr>
        <w:t xml:space="preserve">Get </w:t>
      </w:r>
      <w:r w:rsidR="00613AC1" w:rsidRPr="00307978">
        <w:rPr>
          <w:rFonts w:asciiTheme="majorHAnsi" w:eastAsiaTheme="majorEastAsia" w:hAnsiTheme="majorHAnsi" w:cstheme="majorBidi"/>
          <w:color w:val="365F91" w:themeColor="accent1" w:themeShade="BF"/>
          <w:sz w:val="26"/>
          <w:szCs w:val="26"/>
        </w:rPr>
        <w:t>I</w:t>
      </w:r>
      <w:r w:rsidRPr="00307978">
        <w:rPr>
          <w:rFonts w:asciiTheme="majorHAnsi" w:eastAsiaTheme="majorEastAsia" w:hAnsiTheme="majorHAnsi" w:cstheme="majorBidi"/>
          <w:color w:val="365F91" w:themeColor="accent1" w:themeShade="BF"/>
          <w:sz w:val="26"/>
          <w:szCs w:val="26"/>
        </w:rPr>
        <w:t xml:space="preserve">nvolved: Dropout Prevention and </w:t>
      </w:r>
      <w:r w:rsidR="00050ACD" w:rsidRPr="00307978">
        <w:rPr>
          <w:rFonts w:asciiTheme="majorHAnsi" w:eastAsiaTheme="majorEastAsia" w:hAnsiTheme="majorHAnsi" w:cstheme="majorBidi"/>
          <w:color w:val="365F91" w:themeColor="accent1" w:themeShade="BF"/>
          <w:sz w:val="26"/>
          <w:szCs w:val="26"/>
        </w:rPr>
        <w:t xml:space="preserve">Reengagement </w:t>
      </w:r>
      <w:r w:rsidRPr="00307978">
        <w:rPr>
          <w:rFonts w:asciiTheme="majorHAnsi" w:eastAsiaTheme="majorEastAsia" w:hAnsiTheme="majorHAnsi" w:cstheme="majorBidi"/>
          <w:color w:val="365F91" w:themeColor="accent1" w:themeShade="BF"/>
          <w:sz w:val="26"/>
          <w:szCs w:val="26"/>
        </w:rPr>
        <w:t>Work Group</w:t>
      </w:r>
    </w:p>
    <w:p w:rsidR="00050ACD" w:rsidRDefault="00015FD4" w:rsidP="00261B88">
      <w:pPr>
        <w:jc w:val="both"/>
      </w:pPr>
      <w:r>
        <w:t>While the</w:t>
      </w:r>
      <w:r w:rsidR="009C7D39">
        <w:t xml:space="preserve"> </w:t>
      </w:r>
      <w:r>
        <w:t>Commonwealth has made</w:t>
      </w:r>
      <w:r w:rsidR="009C7D39">
        <w:t xml:space="preserve"> </w:t>
      </w:r>
      <w:r>
        <w:t>notable gains in reducing the</w:t>
      </w:r>
      <w:r w:rsidR="009C7D39">
        <w:t xml:space="preserve"> </w:t>
      </w:r>
      <w:r>
        <w:t>number</w:t>
      </w:r>
      <w:r w:rsidR="009C7D39">
        <w:t xml:space="preserve"> </w:t>
      </w:r>
      <w:r>
        <w:t>of students who drop out of high school, districts continually seek to improve their methods of engaging students. The Dropout</w:t>
      </w:r>
      <w:r w:rsidR="009C7D39">
        <w:t xml:space="preserve"> </w:t>
      </w:r>
      <w:r>
        <w:t>Prevention and</w:t>
      </w:r>
      <w:r w:rsidR="009C7D39">
        <w:t xml:space="preserve"> </w:t>
      </w:r>
      <w:r>
        <w:t>Re</w:t>
      </w:r>
      <w:r w:rsidR="00050ACD">
        <w:t>engagement</w:t>
      </w:r>
      <w:r>
        <w:t xml:space="preserve"> Work Group</w:t>
      </w:r>
      <w:r w:rsidR="009C7D39">
        <w:t xml:space="preserve"> </w:t>
      </w:r>
      <w:r>
        <w:t>provides an</w:t>
      </w:r>
      <w:r w:rsidR="009C7D39">
        <w:t xml:space="preserve"> </w:t>
      </w:r>
      <w:r>
        <w:t>opportunity for</w:t>
      </w:r>
      <w:r w:rsidR="009C7D39">
        <w:t xml:space="preserve"> </w:t>
      </w:r>
      <w:r>
        <w:t>teams</w:t>
      </w:r>
      <w:r w:rsidR="009C7D39">
        <w:t xml:space="preserve"> </w:t>
      </w:r>
      <w:r>
        <w:t>of</w:t>
      </w:r>
      <w:r w:rsidR="009C7D39">
        <w:t xml:space="preserve"> </w:t>
      </w:r>
      <w:r>
        <w:t>educators from</w:t>
      </w:r>
      <w:r w:rsidR="009C7D39">
        <w:t xml:space="preserve"> </w:t>
      </w:r>
      <w:r>
        <w:t>districts across Massachusetts to</w:t>
      </w:r>
      <w:r w:rsidR="009C7D39">
        <w:t xml:space="preserve"> </w:t>
      </w:r>
      <w:r>
        <w:t>share</w:t>
      </w:r>
      <w:r w:rsidR="009C7D39">
        <w:t xml:space="preserve"> </w:t>
      </w:r>
      <w:r>
        <w:t>promising practices and</w:t>
      </w:r>
      <w:r w:rsidR="009C7D39">
        <w:t xml:space="preserve"> </w:t>
      </w:r>
      <w:r>
        <w:t>receive technical assistance regarding</w:t>
      </w:r>
      <w:r w:rsidR="009C7D39">
        <w:t xml:space="preserve"> </w:t>
      </w:r>
      <w:r>
        <w:t>dropout</w:t>
      </w:r>
      <w:r w:rsidR="009C7D39">
        <w:t xml:space="preserve"> </w:t>
      </w:r>
      <w:r>
        <w:t>reduction.</w:t>
      </w:r>
      <w:r w:rsidR="009C7D39">
        <w:t xml:space="preserve"> </w:t>
      </w:r>
    </w:p>
    <w:p w:rsidR="00015FD4" w:rsidRDefault="00015FD4" w:rsidP="00261B88">
      <w:pPr>
        <w:jc w:val="both"/>
      </w:pPr>
      <w:r>
        <w:t xml:space="preserve">Contact </w:t>
      </w:r>
      <w:r w:rsidRPr="00307978">
        <w:rPr>
          <w:b/>
        </w:rPr>
        <w:t>collegeandcareerreadiness@doe.mass.edu</w:t>
      </w:r>
      <w:r>
        <w:t xml:space="preserve"> to find out how your district can get involved.</w:t>
      </w:r>
    </w:p>
    <w:sectPr w:rsidR="00015FD4" w:rsidSect="0030797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Frutiger LT St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5FD4"/>
    <w:rsid w:val="00015FD4"/>
    <w:rsid w:val="00050ACD"/>
    <w:rsid w:val="00073B8A"/>
    <w:rsid w:val="00114AD7"/>
    <w:rsid w:val="00195268"/>
    <w:rsid w:val="001B3DE0"/>
    <w:rsid w:val="00261B88"/>
    <w:rsid w:val="002F5C92"/>
    <w:rsid w:val="00307978"/>
    <w:rsid w:val="003A4F87"/>
    <w:rsid w:val="00470505"/>
    <w:rsid w:val="0049183B"/>
    <w:rsid w:val="005E4F9D"/>
    <w:rsid w:val="006022FA"/>
    <w:rsid w:val="006127EF"/>
    <w:rsid w:val="00613AC1"/>
    <w:rsid w:val="006A2F87"/>
    <w:rsid w:val="0073723D"/>
    <w:rsid w:val="00765270"/>
    <w:rsid w:val="007B1219"/>
    <w:rsid w:val="008B36F5"/>
    <w:rsid w:val="00985951"/>
    <w:rsid w:val="009B5236"/>
    <w:rsid w:val="009C7D39"/>
    <w:rsid w:val="00A409B8"/>
    <w:rsid w:val="00A44F48"/>
    <w:rsid w:val="00A6197A"/>
    <w:rsid w:val="00A87B82"/>
    <w:rsid w:val="00BA08F1"/>
    <w:rsid w:val="00BA5AF7"/>
    <w:rsid w:val="00D128E7"/>
    <w:rsid w:val="00D8110F"/>
    <w:rsid w:val="00DB6547"/>
    <w:rsid w:val="00DE6DD9"/>
    <w:rsid w:val="00DF058F"/>
    <w:rsid w:val="00E10528"/>
    <w:rsid w:val="00E13093"/>
    <w:rsid w:val="00E15256"/>
    <w:rsid w:val="00EB0FAB"/>
    <w:rsid w:val="00EC2D49"/>
    <w:rsid w:val="00EE63A9"/>
    <w:rsid w:val="00F364B9"/>
    <w:rsid w:val="00FC78B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47"/>
  </w:style>
  <w:style w:type="paragraph" w:styleId="Heading1">
    <w:name w:val="heading 1"/>
    <w:basedOn w:val="Normal"/>
    <w:next w:val="Normal"/>
    <w:link w:val="Heading1Char"/>
    <w:uiPriority w:val="9"/>
    <w:qFormat/>
    <w:rsid w:val="0030797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797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652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CD"/>
    <w:rPr>
      <w:rFonts w:ascii="Tahoma" w:hAnsi="Tahoma" w:cs="Tahoma"/>
      <w:sz w:val="16"/>
      <w:szCs w:val="16"/>
    </w:rPr>
  </w:style>
  <w:style w:type="character" w:styleId="CommentReference">
    <w:name w:val="annotation reference"/>
    <w:basedOn w:val="DefaultParagraphFont"/>
    <w:uiPriority w:val="99"/>
    <w:semiHidden/>
    <w:unhideWhenUsed/>
    <w:rsid w:val="00613AC1"/>
    <w:rPr>
      <w:sz w:val="16"/>
      <w:szCs w:val="16"/>
    </w:rPr>
  </w:style>
  <w:style w:type="paragraph" w:styleId="CommentText">
    <w:name w:val="annotation text"/>
    <w:basedOn w:val="Normal"/>
    <w:link w:val="CommentTextChar"/>
    <w:uiPriority w:val="99"/>
    <w:semiHidden/>
    <w:unhideWhenUsed/>
    <w:rsid w:val="00613AC1"/>
    <w:pPr>
      <w:spacing w:line="240" w:lineRule="auto"/>
    </w:pPr>
    <w:rPr>
      <w:sz w:val="20"/>
      <w:szCs w:val="20"/>
    </w:rPr>
  </w:style>
  <w:style w:type="character" w:customStyle="1" w:styleId="CommentTextChar">
    <w:name w:val="Comment Text Char"/>
    <w:basedOn w:val="DefaultParagraphFont"/>
    <w:link w:val="CommentText"/>
    <w:uiPriority w:val="99"/>
    <w:semiHidden/>
    <w:rsid w:val="00613AC1"/>
    <w:rPr>
      <w:sz w:val="20"/>
      <w:szCs w:val="20"/>
    </w:rPr>
  </w:style>
  <w:style w:type="paragraph" w:styleId="CommentSubject">
    <w:name w:val="annotation subject"/>
    <w:basedOn w:val="CommentText"/>
    <w:next w:val="CommentText"/>
    <w:link w:val="CommentSubjectChar"/>
    <w:uiPriority w:val="99"/>
    <w:semiHidden/>
    <w:unhideWhenUsed/>
    <w:rsid w:val="00613AC1"/>
    <w:rPr>
      <w:b/>
      <w:bCs/>
    </w:rPr>
  </w:style>
  <w:style w:type="character" w:customStyle="1" w:styleId="CommentSubjectChar">
    <w:name w:val="Comment Subject Char"/>
    <w:basedOn w:val="CommentTextChar"/>
    <w:link w:val="CommentSubject"/>
    <w:uiPriority w:val="99"/>
    <w:semiHidden/>
    <w:rsid w:val="00613AC1"/>
    <w:rPr>
      <w:b/>
      <w:bCs/>
      <w:sz w:val="20"/>
      <w:szCs w:val="20"/>
    </w:rPr>
  </w:style>
  <w:style w:type="paragraph" w:customStyle="1" w:styleId="Pa2">
    <w:name w:val="Pa2"/>
    <w:basedOn w:val="Normal"/>
    <w:next w:val="Normal"/>
    <w:uiPriority w:val="99"/>
    <w:rsid w:val="00985951"/>
    <w:pPr>
      <w:autoSpaceDE w:val="0"/>
      <w:autoSpaceDN w:val="0"/>
      <w:adjustRightInd w:val="0"/>
      <w:spacing w:after="0" w:line="181" w:lineRule="atLeast"/>
    </w:pPr>
    <w:rPr>
      <w:rFonts w:ascii="Frutiger LT Std" w:hAnsi="Frutiger LT Std"/>
      <w:sz w:val="24"/>
      <w:szCs w:val="24"/>
    </w:rPr>
  </w:style>
  <w:style w:type="character" w:customStyle="1" w:styleId="Heading1Char">
    <w:name w:val="Heading 1 Char"/>
    <w:basedOn w:val="DefaultParagraphFont"/>
    <w:link w:val="Heading1"/>
    <w:uiPriority w:val="9"/>
    <w:rsid w:val="003079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07978"/>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30797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7978"/>
    <w:rPr>
      <w:rFonts w:eastAsiaTheme="minorEastAsia"/>
      <w:color w:val="5A5A5A" w:themeColor="text1" w:themeTint="A5"/>
      <w:spacing w:val="15"/>
    </w:rPr>
  </w:style>
  <w:style w:type="paragraph" w:styleId="NoSpacing">
    <w:name w:val="No Spacing"/>
    <w:uiPriority w:val="1"/>
    <w:qFormat/>
    <w:rsid w:val="00307978"/>
    <w:pPr>
      <w:spacing w:after="0" w:line="240" w:lineRule="auto"/>
    </w:pPr>
  </w:style>
  <w:style w:type="character" w:customStyle="1" w:styleId="Heading3Char">
    <w:name w:val="Heading 3 Char"/>
    <w:basedOn w:val="DefaultParagraphFont"/>
    <w:link w:val="Heading3"/>
    <w:uiPriority w:val="9"/>
    <w:rsid w:val="00765270"/>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semiHidden/>
    <w:unhideWhenUsed/>
    <w:qFormat/>
    <w:rsid w:val="00BA08F1"/>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DESE-231-16486</_dlc_DocId>
    <_dlc_DocIdUrl xmlns="733efe1c-5bbe-4968-87dc-d400e65c879f">
      <Url>https://sharepoint.doemass.org/ese/webteam/cps/_layouts/DocIdRedir.aspx?ID=DESE-231-16486</Url>
      <Description>DESE-231-16486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204A-861C-4CAC-BAF9-BCA6D89BCF39}">
  <ds:schemaRefs>
    <ds:schemaRef ds:uri="http://schemas.microsoft.com/sharepoint/events"/>
  </ds:schemaRefs>
</ds:datastoreItem>
</file>

<file path=customXml/itemProps2.xml><?xml version="1.0" encoding="utf-8"?>
<ds:datastoreItem xmlns:ds="http://schemas.openxmlformats.org/officeDocument/2006/customXml" ds:itemID="{56AB2370-8820-4577-B0DD-5938835B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EB10F-40DC-4414-ACD7-BAF346B6FA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C03ECFA-E535-46A7-8BEA-12DD7E7C25FD}">
  <ds:schemaRefs>
    <ds:schemaRef ds:uri="http://schemas.microsoft.com/sharepoint/v3/contenttype/forms"/>
  </ds:schemaRefs>
</ds:datastoreItem>
</file>

<file path=customXml/itemProps5.xml><?xml version="1.0" encoding="utf-8"?>
<ds:datastoreItem xmlns:ds="http://schemas.openxmlformats.org/officeDocument/2006/customXml" ds:itemID="{790C7A31-A7C0-4107-A969-FB4DA2F2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MassGrad Project Spotlight Spring 2015</dc:title>
  <dc:creator>ESE</dc:creator>
  <cp:lastModifiedBy>dzou</cp:lastModifiedBy>
  <cp:revision>4</cp:revision>
  <dcterms:created xsi:type="dcterms:W3CDTF">2015-05-20T12:53:00Z</dcterms:created>
  <dcterms:modified xsi:type="dcterms:W3CDTF">2015-06-05T18:31:00Z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2015</vt:lpwstr>
  </property>
</Properties>
</file>