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Look w:val="04A0" w:firstRow="1" w:lastRow="0" w:firstColumn="1" w:lastColumn="0" w:noHBand="0" w:noVBand="1"/>
        <w:tblCaption w:val="Charter School Recruitment and Retention Plan Template"/>
        <w:tblDescription w:val="Charter School Recruitment and Retention Plan Template"/>
      </w:tblPr>
      <w:tblGrid>
        <w:gridCol w:w="9350"/>
      </w:tblGrid>
      <w:tr w:rsidR="00C85E56" w:rsidTr="00185204">
        <w:trPr>
          <w:trHeight w:val="836"/>
          <w:tblHeader/>
          <w:jc w:val="center"/>
        </w:trPr>
        <w:tc>
          <w:tcPr>
            <w:tcW w:w="9576" w:type="dxa"/>
            <w:shd w:val="clear" w:color="auto" w:fill="000000" w:themeFill="text1"/>
            <w:vAlign w:val="center"/>
          </w:tcPr>
          <w:p w:rsidR="00C85E56" w:rsidRPr="00D64A62" w:rsidRDefault="00C85E56" w:rsidP="003E045E">
            <w:pPr>
              <w:jc w:val="center"/>
            </w:pPr>
            <w:bookmarkStart w:id="0" w:name="OLE_LINK3"/>
            <w:bookmarkStart w:id="1" w:name="OLE_LINK4"/>
            <w:r w:rsidRPr="00564EE9">
              <w:rPr>
                <w:sz w:val="28"/>
              </w:rPr>
              <w:t>Charter School Recruitment and Retention Plan Template</w:t>
            </w:r>
            <w:bookmarkEnd w:id="0"/>
            <w:bookmarkEnd w:id="1"/>
          </w:p>
        </w:tc>
      </w:tr>
    </w:tbl>
    <w:p w:rsidR="00C85E56" w:rsidRDefault="00C85E56" w:rsidP="00C85E56">
      <w:pPr>
        <w:pStyle w:val="Heading2"/>
      </w:pPr>
      <w:r w:rsidRPr="00FF5D25">
        <w:rPr>
          <w:color w:val="FFFFFF" w:themeColor="background1"/>
        </w:rPr>
        <w:t>end</w:t>
      </w:r>
    </w:p>
    <w:p w:rsidR="00C85E56" w:rsidRPr="00564EE9" w:rsidRDefault="00C85E56" w:rsidP="00C85E56">
      <w:pPr>
        <w:rPr>
          <w:sz w:val="23"/>
          <w:szCs w:val="23"/>
        </w:rPr>
      </w:pPr>
      <w:r w:rsidRPr="00564EE9">
        <w:rPr>
          <w:sz w:val="23"/>
          <w:szCs w:val="23"/>
        </w:rPr>
        <w:t xml:space="preserve">As defined in MGL c. 71 § 89 and 603 CMR 1.00, Massachusetts charter schools must receive approval from the Department </w:t>
      </w:r>
      <w:r w:rsidR="00271867">
        <w:rPr>
          <w:sz w:val="23"/>
          <w:szCs w:val="23"/>
        </w:rPr>
        <w:t xml:space="preserve">of Elementary and Secondary Education (Department) </w:t>
      </w:r>
      <w:r w:rsidRPr="00564EE9">
        <w:rPr>
          <w:sz w:val="23"/>
          <w:szCs w:val="23"/>
        </w:rPr>
        <w:t>for a recruitment and retention plan which is updated annually.</w:t>
      </w:r>
      <w:r w:rsidR="005C2D02">
        <w:rPr>
          <w:sz w:val="23"/>
          <w:szCs w:val="23"/>
        </w:rPr>
        <w:t xml:space="preserve"> </w:t>
      </w:r>
      <w:r w:rsidR="005C2D02" w:rsidRPr="00B12E00">
        <w:t>After the 1</w:t>
      </w:r>
      <w:r w:rsidR="005C2D02" w:rsidRPr="00B12E00">
        <w:rPr>
          <w:vertAlign w:val="superscript"/>
        </w:rPr>
        <w:t>st</w:t>
      </w:r>
      <w:r w:rsidR="005C2D02" w:rsidRPr="00B12E00">
        <w:t xml:space="preserve"> year of operation, </w:t>
      </w:r>
      <w:r w:rsidR="005C2D02">
        <w:t xml:space="preserve">new charter schools </w:t>
      </w:r>
      <w:r w:rsidR="005C2D02" w:rsidRPr="00B12E00">
        <w:t>submit the school’s recruitment and retention plan for approval, and report on its implementation within the school’s annual report.</w:t>
      </w:r>
      <w:r w:rsidR="005C2D02" w:rsidRPr="00B12E00" w:rsidDel="00CE55B7">
        <w:rPr>
          <w:rStyle w:val="CommentReference"/>
        </w:rPr>
        <w:t xml:space="preserve"> </w:t>
      </w:r>
      <w:r w:rsidRPr="00564EE9">
        <w:rPr>
          <w:sz w:val="23"/>
          <w:szCs w:val="23"/>
        </w:rPr>
        <w:t xml:space="preserve">In developing the recruitment and retention plan, please review the charter school regulations governing student recruitment, enrollment, and retention, found at </w:t>
      </w:r>
      <w:hyperlink r:id="rId12" w:history="1">
        <w:r w:rsidRPr="00564EE9">
          <w:rPr>
            <w:rStyle w:val="Hyperlink"/>
            <w:sz w:val="23"/>
            <w:szCs w:val="23"/>
          </w:rPr>
          <w:t>603 CMR 1.05</w:t>
        </w:r>
      </w:hyperlink>
      <w:r w:rsidRPr="00564EE9">
        <w:rPr>
          <w:sz w:val="23"/>
          <w:szCs w:val="23"/>
        </w:rPr>
        <w:t>.</w:t>
      </w:r>
    </w:p>
    <w:p w:rsidR="00C85E56" w:rsidRPr="00564EE9" w:rsidRDefault="00C85E56" w:rsidP="00C85E56">
      <w:pPr>
        <w:rPr>
          <w:sz w:val="23"/>
          <w:szCs w:val="23"/>
        </w:rPr>
      </w:pPr>
      <w:r w:rsidRPr="00564EE9">
        <w:rPr>
          <w:sz w:val="23"/>
          <w:szCs w:val="23"/>
        </w:rPr>
        <w:t xml:space="preserve"> </w:t>
      </w:r>
    </w:p>
    <w:p w:rsidR="00C85E56" w:rsidRPr="00564EE9" w:rsidRDefault="00C85E56" w:rsidP="00C85E56">
      <w:pPr>
        <w:rPr>
          <w:sz w:val="23"/>
          <w:szCs w:val="23"/>
        </w:rPr>
      </w:pPr>
      <w:r w:rsidRPr="00564EE9">
        <w:rPr>
          <w:sz w:val="23"/>
          <w:szCs w:val="23"/>
        </w:rPr>
        <w:t>“</w:t>
      </w:r>
      <w:r w:rsidRPr="00564EE9">
        <w:rPr>
          <w:color w:val="000000"/>
          <w:sz w:val="23"/>
          <w:szCs w:val="23"/>
          <w:shd w:val="clear" w:color="auto" w:fill="FFFFFF"/>
        </w:rPr>
        <w:t>A charter school must develop a plan that includes deliberate, specific strategies the school will use to attract, to enroll, and to retain a student population that is demographically comparable to similar grades in schools from which the charter school enrolls students. Charter schools shall submit recruitment and retention plans for approval by the Department that meet the requirements of M.G.L. c. 71, § 89; 603 CMR 1.05; and any guidelines issued by the Department</w:t>
      </w:r>
      <w:r w:rsidRPr="00564EE9">
        <w:rPr>
          <w:sz w:val="23"/>
          <w:szCs w:val="23"/>
        </w:rPr>
        <w:t>” (603 CMR 1.0</w:t>
      </w:r>
      <w:r>
        <w:rPr>
          <w:sz w:val="23"/>
          <w:szCs w:val="23"/>
        </w:rPr>
        <w:t>5</w:t>
      </w:r>
      <w:r w:rsidRPr="00564EE9">
        <w:rPr>
          <w:sz w:val="23"/>
          <w:szCs w:val="23"/>
        </w:rPr>
        <w:t>(1))</w:t>
      </w:r>
      <w:r w:rsidRPr="00564EE9">
        <w:rPr>
          <w:color w:val="000000"/>
          <w:sz w:val="23"/>
          <w:szCs w:val="23"/>
          <w:shd w:val="clear" w:color="auto" w:fill="FFFFFF"/>
        </w:rPr>
        <w:t>.</w:t>
      </w:r>
      <w:r w:rsidRPr="00564EE9">
        <w:rPr>
          <w:sz w:val="23"/>
          <w:szCs w:val="23"/>
        </w:rPr>
        <w:t xml:space="preserve">” The charter school statute outlines certain demographic groups that must be included in all recruitment and retention plans, including: limited English proficient, special education, </w:t>
      </w:r>
      <w:r w:rsidR="0028159C">
        <w:rPr>
          <w:sz w:val="23"/>
          <w:szCs w:val="23"/>
        </w:rPr>
        <w:t>economically disadvantaged</w:t>
      </w:r>
      <w:r w:rsidRPr="00564EE9">
        <w:rPr>
          <w:sz w:val="23"/>
          <w:szCs w:val="23"/>
        </w:rPr>
        <w:t xml:space="preserve">, as well as those who are sub-proficient on the MCAS, at risk of dropping out of school, have dropped out of school, or other at-risk students who should be targeted to eliminate achievement gaps. The Board of Elementary and Secondary Education will consider the extent to which the school has followed and updated its recruitment and retention plan as one of the factors in making a renewal decision (Chapter 71, § 89(i)). </w:t>
      </w:r>
    </w:p>
    <w:p w:rsidR="00C85E56" w:rsidRDefault="00C85E56" w:rsidP="00C85E56">
      <w:pPr>
        <w:pStyle w:val="NormalWeb"/>
        <w:rPr>
          <w:sz w:val="23"/>
          <w:szCs w:val="23"/>
        </w:rPr>
      </w:pPr>
      <w:r>
        <w:rPr>
          <w:sz w:val="23"/>
          <w:szCs w:val="23"/>
        </w:rPr>
        <w:t xml:space="preserve">Furthermore, as specified in M.G.L. c. 71, </w:t>
      </w:r>
      <w:r w:rsidRPr="00564EE9">
        <w:rPr>
          <w:color w:val="000000"/>
          <w:sz w:val="23"/>
          <w:szCs w:val="23"/>
          <w:shd w:val="clear" w:color="auto" w:fill="FFFFFF"/>
        </w:rPr>
        <w:t>§ 89</w:t>
      </w:r>
      <w:r>
        <w:rPr>
          <w:color w:val="000000"/>
          <w:sz w:val="23"/>
          <w:szCs w:val="23"/>
          <w:shd w:val="clear" w:color="auto" w:fill="FFFFFF"/>
        </w:rPr>
        <w:t xml:space="preserve"> (i)(3)</w:t>
      </w:r>
      <w:r>
        <w:rPr>
          <w:sz w:val="23"/>
          <w:szCs w:val="23"/>
        </w:rPr>
        <w:t>, if the school is located in a district with 10 percent or more of limited English-proficient students, the school’s recruitment strategies must include a variety of outreach efforts in the most prevalent languages of the district.</w:t>
      </w:r>
    </w:p>
    <w:p w:rsidR="00C85E56" w:rsidRDefault="00C85E56" w:rsidP="00C85E56">
      <w:pPr>
        <w:pStyle w:val="NormalWeb"/>
        <w:rPr>
          <w:sz w:val="23"/>
          <w:szCs w:val="23"/>
        </w:rPr>
      </w:pPr>
      <w:r w:rsidRPr="00564EE9">
        <w:rPr>
          <w:sz w:val="23"/>
          <w:szCs w:val="23"/>
        </w:rPr>
        <w:t>The Department encourages schools to use the</w:t>
      </w:r>
      <w:r>
        <w:rPr>
          <w:sz w:val="23"/>
          <w:szCs w:val="23"/>
        </w:rPr>
        <w:t xml:space="preserve"> Charter Analysis and Review Tool</w:t>
      </w:r>
      <w:r w:rsidRPr="00564EE9">
        <w:rPr>
          <w:sz w:val="23"/>
          <w:szCs w:val="23"/>
        </w:rPr>
        <w:t xml:space="preserve"> </w:t>
      </w:r>
      <w:r>
        <w:rPr>
          <w:sz w:val="23"/>
          <w:szCs w:val="23"/>
        </w:rPr>
        <w:t>(</w:t>
      </w:r>
      <w:hyperlink r:id="rId13" w:history="1">
        <w:r w:rsidRPr="00564EE9">
          <w:rPr>
            <w:rStyle w:val="Hyperlink"/>
            <w:rFonts w:eastAsia="Batang"/>
            <w:sz w:val="23"/>
            <w:szCs w:val="23"/>
          </w:rPr>
          <w:t>CHART tool</w:t>
        </w:r>
      </w:hyperlink>
      <w:r>
        <w:t>)</w:t>
      </w:r>
      <w:r w:rsidRPr="00564EE9">
        <w:rPr>
          <w:sz w:val="23"/>
          <w:szCs w:val="23"/>
        </w:rPr>
        <w:t xml:space="preserve"> to access </w:t>
      </w:r>
      <w:r w:rsidR="003C70AB">
        <w:rPr>
          <w:sz w:val="23"/>
          <w:szCs w:val="23"/>
        </w:rPr>
        <w:t>district</w:t>
      </w:r>
      <w:r w:rsidRPr="00564EE9">
        <w:rPr>
          <w:sz w:val="23"/>
          <w:szCs w:val="23"/>
        </w:rPr>
        <w:t xml:space="preserve"> specific demographic data for a sub-set of the categories. </w:t>
      </w:r>
    </w:p>
    <w:p w:rsidR="00C85E56" w:rsidRPr="00564EE9" w:rsidRDefault="00C85E56" w:rsidP="00C85E56">
      <w:pPr>
        <w:rPr>
          <w:b/>
          <w:sz w:val="23"/>
          <w:szCs w:val="23"/>
        </w:rPr>
      </w:pPr>
      <w:r w:rsidRPr="00564EE9">
        <w:rPr>
          <w:b/>
          <w:sz w:val="23"/>
          <w:szCs w:val="23"/>
        </w:rPr>
        <w:t xml:space="preserve">Provide </w:t>
      </w:r>
      <w:r w:rsidR="003C70AB">
        <w:rPr>
          <w:b/>
          <w:sz w:val="23"/>
          <w:szCs w:val="23"/>
        </w:rPr>
        <w:t xml:space="preserve">a draft </w:t>
      </w:r>
      <w:r w:rsidRPr="00564EE9">
        <w:rPr>
          <w:b/>
          <w:sz w:val="23"/>
          <w:szCs w:val="23"/>
        </w:rPr>
        <w:t>plan using the template below. Please follow the directions for each element of the plan.</w:t>
      </w:r>
    </w:p>
    <w:p w:rsidR="00C85E56" w:rsidRDefault="00C85E56" w:rsidP="00C85E56">
      <w:pPr>
        <w:rPr>
          <w:sz w:val="23"/>
          <w:szCs w:val="23"/>
        </w:rPr>
      </w:pPr>
      <w:r w:rsidRPr="00564EE9">
        <w:rPr>
          <w:sz w:val="23"/>
          <w:szCs w:val="23"/>
        </w:rPr>
        <w:br w:type="page"/>
      </w:r>
    </w:p>
    <w:tbl>
      <w:tblPr>
        <w:tblStyle w:val="TableGrid"/>
        <w:tblW w:w="0" w:type="auto"/>
        <w:tblLook w:val="04A0" w:firstRow="1" w:lastRow="0" w:firstColumn="1" w:lastColumn="0" w:noHBand="0" w:noVBand="1"/>
        <w:tblCaption w:val="Draft Recruitment Plan"/>
        <w:tblDescription w:val="Draft Recruitment Plan"/>
      </w:tblPr>
      <w:tblGrid>
        <w:gridCol w:w="9350"/>
      </w:tblGrid>
      <w:tr w:rsidR="00C85E56" w:rsidTr="00185204">
        <w:trPr>
          <w:trHeight w:val="854"/>
          <w:tblHeader/>
        </w:trPr>
        <w:tc>
          <w:tcPr>
            <w:tcW w:w="9576" w:type="dxa"/>
            <w:shd w:val="clear" w:color="auto" w:fill="000000" w:themeFill="text1"/>
            <w:vAlign w:val="center"/>
          </w:tcPr>
          <w:p w:rsidR="00C85E56" w:rsidRPr="005F0148" w:rsidRDefault="005F0148" w:rsidP="00275331">
            <w:pPr>
              <w:jc w:val="center"/>
              <w:rPr>
                <w:b/>
                <w:sz w:val="32"/>
              </w:rPr>
            </w:pPr>
            <w:r>
              <w:rPr>
                <w:b/>
                <w:sz w:val="32"/>
              </w:rPr>
              <w:lastRenderedPageBreak/>
              <w:t xml:space="preserve">Draft </w:t>
            </w:r>
            <w:r w:rsidR="00C85E56" w:rsidRPr="00CE0D5E">
              <w:rPr>
                <w:b/>
                <w:sz w:val="32"/>
              </w:rPr>
              <w:t>Recruitment Plan</w:t>
            </w:r>
            <w:r w:rsidR="00195D6D">
              <w:rPr>
                <w:b/>
                <w:sz w:val="32"/>
              </w:rPr>
              <w:t xml:space="preserve"> </w:t>
            </w:r>
          </w:p>
        </w:tc>
      </w:tr>
    </w:tbl>
    <w:p w:rsidR="00C85E56" w:rsidRPr="00564EE9" w:rsidRDefault="00C85E56" w:rsidP="00C85E56">
      <w:pPr>
        <w:rPr>
          <w:b/>
          <w:sz w:val="23"/>
          <w:szCs w:val="23"/>
        </w:rPr>
      </w:pPr>
    </w:p>
    <w:tbl>
      <w:tblPr>
        <w:tblStyle w:val="TableGrid"/>
        <w:tblW w:w="955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Caption w:val="Proposed School Name:"/>
      </w:tblPr>
      <w:tblGrid>
        <w:gridCol w:w="9558"/>
      </w:tblGrid>
      <w:tr w:rsidR="00C85E56" w:rsidRPr="00B30307" w:rsidTr="00185204">
        <w:trPr>
          <w:trHeight w:val="329"/>
          <w:tblHeader/>
        </w:trPr>
        <w:tc>
          <w:tcPr>
            <w:tcW w:w="9558" w:type="dxa"/>
            <w:vAlign w:val="center"/>
          </w:tcPr>
          <w:p w:rsidR="00C85E56" w:rsidRPr="00B30307" w:rsidRDefault="00A5384F" w:rsidP="003E045E">
            <w:pPr>
              <w:rPr>
                <w:sz w:val="22"/>
                <w:szCs w:val="18"/>
              </w:rPr>
            </w:pPr>
            <w:r>
              <w:rPr>
                <w:sz w:val="22"/>
                <w:szCs w:val="18"/>
              </w:rPr>
              <w:t xml:space="preserve">Proposed </w:t>
            </w:r>
            <w:r w:rsidR="00C85E56" w:rsidRPr="00B30307">
              <w:rPr>
                <w:sz w:val="22"/>
                <w:szCs w:val="18"/>
              </w:rPr>
              <w:t>School Name:</w:t>
            </w:r>
          </w:p>
        </w:tc>
      </w:tr>
    </w:tbl>
    <w:p w:rsidR="00C85E56" w:rsidRDefault="00C85E56" w:rsidP="00C85E56">
      <w:pPr>
        <w:rPr>
          <w:sz w:val="18"/>
          <w:szCs w:val="18"/>
        </w:rPr>
      </w:pPr>
    </w:p>
    <w:p w:rsidR="00C85E56" w:rsidRPr="00457275" w:rsidRDefault="00C85E56" w:rsidP="00C85E56">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Describe the proposed school’s general recruitment activities, i.e. those intended to reach all students."/>
        <w:tblDescription w:val="Describe the proposed school’s general recruitment activities, i.e. those intended to reach all students.&#10;&#10;General Recruitment Activities:&#10;&#10;&#10;&#10;&#10;&#10;&#10;&#10;&#10;"/>
      </w:tblPr>
      <w:tblGrid>
        <w:gridCol w:w="9350"/>
      </w:tblGrid>
      <w:tr w:rsidR="00C85E56" w:rsidRPr="003A7DE2" w:rsidTr="003E045E">
        <w:tc>
          <w:tcPr>
            <w:tcW w:w="9576" w:type="dxa"/>
            <w:shd w:val="clear" w:color="auto" w:fill="E0E0E0"/>
          </w:tcPr>
          <w:p w:rsidR="00C85E56" w:rsidRPr="003A7DE2" w:rsidRDefault="00C85E56" w:rsidP="003E045E">
            <w:pPr>
              <w:rPr>
                <w:b/>
                <w:sz w:val="20"/>
              </w:rPr>
            </w:pPr>
            <w:r w:rsidRPr="003A7DE2">
              <w:rPr>
                <w:b/>
                <w:sz w:val="20"/>
              </w:rPr>
              <w:t xml:space="preserve">Describe the </w:t>
            </w:r>
            <w:r w:rsidR="005F0148">
              <w:rPr>
                <w:b/>
                <w:sz w:val="20"/>
              </w:rPr>
              <w:t xml:space="preserve">proposed </w:t>
            </w:r>
            <w:r w:rsidRPr="003A7DE2">
              <w:rPr>
                <w:b/>
                <w:sz w:val="20"/>
              </w:rPr>
              <w:t>school’s general recruitment activities, i.e. those intended to reach all students.</w:t>
            </w:r>
          </w:p>
        </w:tc>
      </w:tr>
      <w:tr w:rsidR="00C85E56" w:rsidTr="003E045E">
        <w:trPr>
          <w:trHeight w:val="2996"/>
        </w:trPr>
        <w:tc>
          <w:tcPr>
            <w:tcW w:w="9576" w:type="dxa"/>
          </w:tcPr>
          <w:p w:rsidR="00C85E56" w:rsidRDefault="00C85E56" w:rsidP="003E045E">
            <w:pPr>
              <w:rPr>
                <w:b/>
                <w:sz w:val="20"/>
              </w:rPr>
            </w:pPr>
          </w:p>
          <w:p w:rsidR="00C85E56" w:rsidRDefault="00C85E56" w:rsidP="003E045E">
            <w:pPr>
              <w:jc w:val="center"/>
              <w:rPr>
                <w:b/>
                <w:sz w:val="20"/>
              </w:rPr>
            </w:pPr>
            <w:r w:rsidRPr="003A7DE2">
              <w:rPr>
                <w:b/>
                <w:sz w:val="20"/>
              </w:rPr>
              <w:t>General Recruitment Activities</w:t>
            </w:r>
            <w:r>
              <w:rPr>
                <w:b/>
                <w:sz w:val="20"/>
              </w:rPr>
              <w:t>:</w:t>
            </w:r>
          </w:p>
          <w:p w:rsidR="00C85E56" w:rsidRDefault="00C85E56" w:rsidP="003E045E">
            <w:pPr>
              <w:jc w:val="center"/>
              <w:rPr>
                <w:b/>
                <w:sz w:val="20"/>
              </w:rPr>
            </w:pPr>
          </w:p>
          <w:p w:rsidR="00C85E56" w:rsidRDefault="00C85E56" w:rsidP="003E045E">
            <w:pPr>
              <w:jc w:val="center"/>
              <w:rPr>
                <w:b/>
                <w:sz w:val="20"/>
              </w:rPr>
            </w:pPr>
            <w:bookmarkStart w:id="2" w:name="_GoBack"/>
            <w:bookmarkEnd w:id="2"/>
          </w:p>
          <w:p w:rsidR="00C85E56" w:rsidRDefault="00C85E56" w:rsidP="003E045E">
            <w:pPr>
              <w:jc w:val="center"/>
            </w:pPr>
          </w:p>
        </w:tc>
      </w:tr>
    </w:tbl>
    <w:p w:rsidR="00C85E56" w:rsidRPr="003A7DE2" w:rsidRDefault="00C85E56" w:rsidP="00C85E56">
      <w:pPr>
        <w:rPr>
          <w:sz w:val="23"/>
          <w:szCs w:val="23"/>
        </w:rPr>
      </w:pPr>
    </w:p>
    <w:p w:rsidR="00C85E56" w:rsidRPr="003A7DE2" w:rsidRDefault="00C85E56" w:rsidP="00C85E56">
      <w:pPr>
        <w:rPr>
          <w:sz w:val="23"/>
          <w:szCs w:val="23"/>
        </w:rPr>
      </w:pPr>
      <w:r w:rsidRPr="003A7DE2">
        <w:rPr>
          <w:b/>
          <w:sz w:val="23"/>
          <w:szCs w:val="23"/>
          <w:u w:val="single"/>
        </w:rPr>
        <w:t xml:space="preserve">Do not repeat strategies. </w:t>
      </w:r>
      <w:r w:rsidRPr="003A7DE2">
        <w:rPr>
          <w:sz w:val="23"/>
          <w:szCs w:val="23"/>
          <w:u w:val="single"/>
        </w:rPr>
        <w:t>Each group should have its own set of specific and deliberate strategies.</w:t>
      </w:r>
    </w:p>
    <w:p w:rsidR="00C85E56" w:rsidRPr="00B30307" w:rsidRDefault="00C85E56" w:rsidP="00C85E56">
      <w:pPr>
        <w:rPr>
          <w:sz w:val="22"/>
        </w:rPr>
      </w:pPr>
      <w:r w:rsidRPr="00B30307">
        <w:rPr>
          <w:sz w:val="22"/>
        </w:rPr>
        <w:t xml:space="preserve"> </w:t>
      </w:r>
    </w:p>
    <w:tbl>
      <w:tblPr>
        <w:tblW w:w="927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Caption w:val="Recruitment Plan –Strategies "/>
        <w:tblDescription w:val="List strategies for recruitment activities for each demographic group.&#10;Demographic Group:&#10;Special education students&#10;English learners&#10;Economically disadvantaged&#10;Students who are sub-proficient&#10;Students at risk of dropping out of school&#10;Students who have dropped out of school&#10;Other subgroups of students who should be targeted to eliminate the achievement gap&#10;&#10;"/>
      </w:tblPr>
      <w:tblGrid>
        <w:gridCol w:w="2538"/>
        <w:gridCol w:w="6734"/>
      </w:tblGrid>
      <w:tr w:rsidR="00C85E56" w:rsidRPr="003A7DE2" w:rsidTr="003E045E">
        <w:trPr>
          <w:trHeight w:val="456"/>
        </w:trPr>
        <w:tc>
          <w:tcPr>
            <w:tcW w:w="9272" w:type="dxa"/>
            <w:gridSpan w:val="2"/>
            <w:shd w:val="clear" w:color="auto" w:fill="BFBFBF" w:themeFill="background1" w:themeFillShade="BF"/>
            <w:vAlign w:val="center"/>
          </w:tcPr>
          <w:p w:rsidR="00C85E56" w:rsidRPr="003A7DE2" w:rsidRDefault="00C85E56" w:rsidP="003E045E">
            <w:pPr>
              <w:jc w:val="center"/>
              <w:rPr>
                <w:b/>
                <w:sz w:val="23"/>
                <w:szCs w:val="23"/>
              </w:rPr>
            </w:pPr>
            <w:r w:rsidRPr="003A7DE2">
              <w:rPr>
                <w:b/>
                <w:sz w:val="23"/>
                <w:szCs w:val="23"/>
              </w:rPr>
              <w:t xml:space="preserve">Recruitment Plan –Strategies </w:t>
            </w:r>
          </w:p>
          <w:p w:rsidR="00C85E56" w:rsidRPr="003A7DE2" w:rsidRDefault="00C85E56" w:rsidP="003E045E">
            <w:pPr>
              <w:jc w:val="center"/>
              <w:rPr>
                <w:b/>
                <w:sz w:val="23"/>
                <w:szCs w:val="23"/>
              </w:rPr>
            </w:pPr>
            <w:r w:rsidRPr="003A7DE2">
              <w:rPr>
                <w:b/>
                <w:sz w:val="23"/>
                <w:szCs w:val="23"/>
              </w:rPr>
              <w:t xml:space="preserve">List strategies for recruitment activities for </w:t>
            </w:r>
            <w:r w:rsidRPr="003A7DE2">
              <w:rPr>
                <w:b/>
                <w:sz w:val="23"/>
                <w:szCs w:val="23"/>
                <w:u w:val="single"/>
              </w:rPr>
              <w:t>each</w:t>
            </w:r>
            <w:r w:rsidRPr="003A7DE2">
              <w:rPr>
                <w:b/>
                <w:sz w:val="23"/>
                <w:szCs w:val="23"/>
              </w:rPr>
              <w:t xml:space="preserve"> demographic group.</w:t>
            </w:r>
          </w:p>
        </w:tc>
      </w:tr>
      <w:tr w:rsidR="00C85E56" w:rsidRPr="003A7DE2" w:rsidTr="003E045E">
        <w:trPr>
          <w:trHeight w:hRule="exact" w:val="384"/>
        </w:trPr>
        <w:tc>
          <w:tcPr>
            <w:tcW w:w="2538" w:type="dxa"/>
            <w:shd w:val="clear" w:color="auto" w:fill="F2F2F2" w:themeFill="background1" w:themeFillShade="F2"/>
          </w:tcPr>
          <w:p w:rsidR="00C85E56" w:rsidRPr="003A7DE2" w:rsidRDefault="00C85E56" w:rsidP="003E045E">
            <w:pPr>
              <w:jc w:val="center"/>
              <w:rPr>
                <w:b/>
                <w:sz w:val="23"/>
                <w:szCs w:val="23"/>
              </w:rPr>
            </w:pPr>
            <w:r w:rsidRPr="003A7DE2">
              <w:rPr>
                <w:b/>
                <w:sz w:val="23"/>
                <w:szCs w:val="23"/>
              </w:rPr>
              <w:t>Demographic Group</w:t>
            </w:r>
          </w:p>
        </w:tc>
        <w:tc>
          <w:tcPr>
            <w:tcW w:w="6734" w:type="dxa"/>
            <w:shd w:val="clear" w:color="auto" w:fill="F2F2F2" w:themeFill="background1" w:themeFillShade="F2"/>
            <w:vAlign w:val="center"/>
          </w:tcPr>
          <w:p w:rsidR="00C85E56" w:rsidRPr="003A7DE2" w:rsidRDefault="00C85E56" w:rsidP="003E045E">
            <w:pPr>
              <w:jc w:val="center"/>
              <w:rPr>
                <w:b/>
                <w:sz w:val="23"/>
                <w:szCs w:val="23"/>
              </w:rPr>
            </w:pPr>
            <w:r w:rsidRPr="003A7DE2">
              <w:rPr>
                <w:b/>
                <w:sz w:val="23"/>
                <w:szCs w:val="23"/>
              </w:rPr>
              <w:t>Strategies</w:t>
            </w:r>
          </w:p>
        </w:tc>
      </w:tr>
      <w:tr w:rsidR="00C85E56" w:rsidRPr="003A7DE2" w:rsidTr="003E045E">
        <w:trPr>
          <w:trHeight w:hRule="exact" w:val="970"/>
        </w:trPr>
        <w:tc>
          <w:tcPr>
            <w:tcW w:w="2538" w:type="dxa"/>
            <w:vAlign w:val="center"/>
          </w:tcPr>
          <w:p w:rsidR="00C85E56" w:rsidRPr="003A7DE2" w:rsidRDefault="00C85E56" w:rsidP="003E045E">
            <w:pPr>
              <w:jc w:val="center"/>
              <w:rPr>
                <w:sz w:val="20"/>
                <w:szCs w:val="23"/>
              </w:rPr>
            </w:pPr>
            <w:r w:rsidRPr="003A7DE2">
              <w:rPr>
                <w:sz w:val="20"/>
                <w:szCs w:val="23"/>
              </w:rPr>
              <w:t>Special education students</w:t>
            </w:r>
          </w:p>
        </w:tc>
        <w:tc>
          <w:tcPr>
            <w:tcW w:w="6734" w:type="dxa"/>
          </w:tcPr>
          <w:p w:rsidR="00C85E56" w:rsidRPr="003A7DE2" w:rsidRDefault="00C85E56" w:rsidP="003E045E">
            <w:pPr>
              <w:rPr>
                <w:sz w:val="23"/>
                <w:szCs w:val="23"/>
              </w:rPr>
            </w:pPr>
          </w:p>
          <w:p w:rsidR="00C85E56" w:rsidRPr="003A7DE2" w:rsidRDefault="00C85E56" w:rsidP="003E045E">
            <w:pPr>
              <w:rPr>
                <w:b/>
                <w:sz w:val="23"/>
                <w:szCs w:val="23"/>
              </w:rPr>
            </w:pPr>
          </w:p>
        </w:tc>
      </w:tr>
      <w:tr w:rsidR="00C85E56" w:rsidRPr="003A7DE2" w:rsidTr="003E045E">
        <w:trPr>
          <w:trHeight w:hRule="exact" w:val="906"/>
        </w:trPr>
        <w:tc>
          <w:tcPr>
            <w:tcW w:w="2538" w:type="dxa"/>
            <w:vAlign w:val="center"/>
          </w:tcPr>
          <w:p w:rsidR="00C85E56" w:rsidRPr="003A7DE2" w:rsidRDefault="004D27E2" w:rsidP="003E045E">
            <w:pPr>
              <w:jc w:val="center"/>
              <w:rPr>
                <w:sz w:val="20"/>
                <w:szCs w:val="23"/>
              </w:rPr>
            </w:pPr>
            <w:r>
              <w:rPr>
                <w:sz w:val="20"/>
                <w:szCs w:val="23"/>
              </w:rPr>
              <w:t>English learners</w:t>
            </w:r>
          </w:p>
        </w:tc>
        <w:tc>
          <w:tcPr>
            <w:tcW w:w="6734" w:type="dxa"/>
          </w:tcPr>
          <w:p w:rsidR="00C85E56" w:rsidRPr="003A7DE2" w:rsidRDefault="00C85E56" w:rsidP="003E045E">
            <w:pPr>
              <w:rPr>
                <w:sz w:val="23"/>
                <w:szCs w:val="23"/>
              </w:rPr>
            </w:pPr>
          </w:p>
        </w:tc>
      </w:tr>
      <w:tr w:rsidR="00C85E56" w:rsidRPr="003A7DE2" w:rsidTr="003E045E">
        <w:trPr>
          <w:trHeight w:hRule="exact" w:val="906"/>
        </w:trPr>
        <w:tc>
          <w:tcPr>
            <w:tcW w:w="2538" w:type="dxa"/>
            <w:vAlign w:val="center"/>
          </w:tcPr>
          <w:p w:rsidR="00C85E56" w:rsidRPr="003A7DE2" w:rsidRDefault="0028159C" w:rsidP="003E045E">
            <w:pPr>
              <w:jc w:val="center"/>
              <w:rPr>
                <w:sz w:val="20"/>
                <w:szCs w:val="23"/>
              </w:rPr>
            </w:pPr>
            <w:r>
              <w:rPr>
                <w:sz w:val="20"/>
                <w:szCs w:val="23"/>
              </w:rPr>
              <w:t>Economically disadvantaged</w:t>
            </w:r>
          </w:p>
        </w:tc>
        <w:tc>
          <w:tcPr>
            <w:tcW w:w="6734" w:type="dxa"/>
          </w:tcPr>
          <w:p w:rsidR="00C85E56" w:rsidRPr="003A7DE2" w:rsidRDefault="00C85E56" w:rsidP="003E045E">
            <w:pPr>
              <w:rPr>
                <w:sz w:val="23"/>
                <w:szCs w:val="23"/>
              </w:rPr>
            </w:pPr>
          </w:p>
        </w:tc>
      </w:tr>
      <w:tr w:rsidR="00C85E56" w:rsidRPr="003A7DE2" w:rsidTr="003E045E">
        <w:trPr>
          <w:trHeight w:hRule="exact" w:val="924"/>
        </w:trPr>
        <w:tc>
          <w:tcPr>
            <w:tcW w:w="2538" w:type="dxa"/>
            <w:vAlign w:val="center"/>
          </w:tcPr>
          <w:p w:rsidR="00C85E56" w:rsidRPr="003A7DE2" w:rsidRDefault="00C85E56" w:rsidP="003E045E">
            <w:pPr>
              <w:jc w:val="center"/>
              <w:rPr>
                <w:sz w:val="20"/>
                <w:szCs w:val="23"/>
              </w:rPr>
            </w:pPr>
            <w:r w:rsidRPr="003A7DE2">
              <w:rPr>
                <w:sz w:val="20"/>
                <w:szCs w:val="23"/>
              </w:rPr>
              <w:t>Students who are sub-proficient</w:t>
            </w:r>
          </w:p>
        </w:tc>
        <w:tc>
          <w:tcPr>
            <w:tcW w:w="6734" w:type="dxa"/>
          </w:tcPr>
          <w:p w:rsidR="00C85E56" w:rsidRPr="003A7DE2" w:rsidRDefault="00C85E56" w:rsidP="003E045E">
            <w:pPr>
              <w:rPr>
                <w:sz w:val="23"/>
                <w:szCs w:val="23"/>
              </w:rPr>
            </w:pPr>
          </w:p>
        </w:tc>
      </w:tr>
      <w:tr w:rsidR="00C85E56" w:rsidRPr="003A7DE2" w:rsidTr="003E045E">
        <w:trPr>
          <w:trHeight w:hRule="exact" w:val="997"/>
        </w:trPr>
        <w:tc>
          <w:tcPr>
            <w:tcW w:w="2538" w:type="dxa"/>
            <w:vAlign w:val="center"/>
          </w:tcPr>
          <w:p w:rsidR="00C85E56" w:rsidRPr="003A7DE2" w:rsidRDefault="00C85E56" w:rsidP="003E045E">
            <w:pPr>
              <w:jc w:val="center"/>
              <w:rPr>
                <w:sz w:val="20"/>
                <w:szCs w:val="23"/>
              </w:rPr>
            </w:pPr>
            <w:r w:rsidRPr="003A7DE2">
              <w:rPr>
                <w:sz w:val="20"/>
                <w:szCs w:val="23"/>
              </w:rPr>
              <w:t>Students at risk of dropping out of school</w:t>
            </w:r>
          </w:p>
        </w:tc>
        <w:tc>
          <w:tcPr>
            <w:tcW w:w="6734" w:type="dxa"/>
          </w:tcPr>
          <w:p w:rsidR="00C85E56" w:rsidRPr="003A7DE2" w:rsidRDefault="00C85E56" w:rsidP="003E045E">
            <w:pPr>
              <w:rPr>
                <w:sz w:val="23"/>
                <w:szCs w:val="23"/>
              </w:rPr>
            </w:pPr>
          </w:p>
        </w:tc>
      </w:tr>
      <w:tr w:rsidR="00C85E56" w:rsidRPr="003A7DE2" w:rsidTr="003E045E">
        <w:trPr>
          <w:trHeight w:hRule="exact" w:val="1016"/>
        </w:trPr>
        <w:tc>
          <w:tcPr>
            <w:tcW w:w="2538" w:type="dxa"/>
            <w:vAlign w:val="center"/>
          </w:tcPr>
          <w:p w:rsidR="00C85E56" w:rsidRPr="003A7DE2" w:rsidRDefault="00C85E56" w:rsidP="003E045E">
            <w:pPr>
              <w:jc w:val="center"/>
              <w:rPr>
                <w:b/>
                <w:sz w:val="20"/>
                <w:szCs w:val="23"/>
              </w:rPr>
            </w:pPr>
            <w:r w:rsidRPr="003A7DE2">
              <w:rPr>
                <w:sz w:val="20"/>
                <w:szCs w:val="23"/>
              </w:rPr>
              <w:t>Students who have dropped out of school</w:t>
            </w:r>
          </w:p>
        </w:tc>
        <w:tc>
          <w:tcPr>
            <w:tcW w:w="6734" w:type="dxa"/>
          </w:tcPr>
          <w:p w:rsidR="00C85E56" w:rsidRPr="003A7DE2" w:rsidRDefault="00C85E56" w:rsidP="003E045E">
            <w:pPr>
              <w:rPr>
                <w:sz w:val="23"/>
                <w:szCs w:val="23"/>
              </w:rPr>
            </w:pPr>
          </w:p>
        </w:tc>
      </w:tr>
      <w:tr w:rsidR="00C85E56" w:rsidRPr="003A7DE2" w:rsidTr="003E045E">
        <w:trPr>
          <w:trHeight w:hRule="exact" w:val="1369"/>
        </w:trPr>
        <w:tc>
          <w:tcPr>
            <w:tcW w:w="2538" w:type="dxa"/>
            <w:vAlign w:val="center"/>
          </w:tcPr>
          <w:p w:rsidR="00C85E56" w:rsidRPr="003A7DE2" w:rsidRDefault="00C85E56" w:rsidP="003E045E">
            <w:pPr>
              <w:jc w:val="center"/>
              <w:rPr>
                <w:b/>
                <w:sz w:val="20"/>
                <w:szCs w:val="23"/>
              </w:rPr>
            </w:pPr>
            <w:r w:rsidRPr="003A7DE2">
              <w:rPr>
                <w:sz w:val="20"/>
                <w:szCs w:val="23"/>
              </w:rPr>
              <w:lastRenderedPageBreak/>
              <w:t>Other subgroups of students who should be targeted to eliminate the achievement gap</w:t>
            </w:r>
          </w:p>
          <w:p w:rsidR="00C85E56" w:rsidRPr="003A7DE2" w:rsidRDefault="00C85E56" w:rsidP="003E045E">
            <w:pPr>
              <w:jc w:val="center"/>
              <w:rPr>
                <w:b/>
                <w:sz w:val="20"/>
                <w:szCs w:val="23"/>
              </w:rPr>
            </w:pPr>
          </w:p>
        </w:tc>
        <w:tc>
          <w:tcPr>
            <w:tcW w:w="6734" w:type="dxa"/>
          </w:tcPr>
          <w:p w:rsidR="00C85E56" w:rsidRPr="003A7DE2" w:rsidRDefault="00C85E56" w:rsidP="003E045E">
            <w:pPr>
              <w:rPr>
                <w:sz w:val="23"/>
                <w:szCs w:val="23"/>
              </w:rPr>
            </w:pPr>
          </w:p>
        </w:tc>
      </w:tr>
    </w:tbl>
    <w:p w:rsidR="00C85E56" w:rsidRPr="00B30307" w:rsidRDefault="00C85E56" w:rsidP="00C85E56">
      <w:pPr>
        <w:rPr>
          <w:b/>
        </w:rPr>
      </w:pPr>
    </w:p>
    <w:p w:rsidR="00C85E56" w:rsidRPr="00B30307" w:rsidRDefault="00C85E56" w:rsidP="00C85E56">
      <w:pPr>
        <w:jc w:val="center"/>
        <w:rPr>
          <w:b/>
          <w:sz w:val="28"/>
        </w:rPr>
      </w:pPr>
    </w:p>
    <w:tbl>
      <w:tblPr>
        <w:tblStyle w:val="TableGrid"/>
        <w:tblW w:w="0" w:type="auto"/>
        <w:jc w:val="center"/>
        <w:tblLook w:val="04A0" w:firstRow="1" w:lastRow="0" w:firstColumn="1" w:lastColumn="0" w:noHBand="0" w:noVBand="1"/>
        <w:tblCaption w:val="Draft Retention Plan "/>
      </w:tblPr>
      <w:tblGrid>
        <w:gridCol w:w="8554"/>
      </w:tblGrid>
      <w:tr w:rsidR="00C85E56" w:rsidTr="00185204">
        <w:trPr>
          <w:trHeight w:val="881"/>
          <w:tblHeader/>
          <w:jc w:val="center"/>
        </w:trPr>
        <w:tc>
          <w:tcPr>
            <w:tcW w:w="8554" w:type="dxa"/>
            <w:shd w:val="clear" w:color="auto" w:fill="000000" w:themeFill="text1"/>
            <w:vAlign w:val="center"/>
          </w:tcPr>
          <w:p w:rsidR="00C85E56" w:rsidRPr="005F0148" w:rsidRDefault="005F0148" w:rsidP="00275331">
            <w:pPr>
              <w:jc w:val="center"/>
              <w:rPr>
                <w:b/>
                <w:sz w:val="32"/>
              </w:rPr>
            </w:pPr>
            <w:r>
              <w:rPr>
                <w:b/>
                <w:sz w:val="32"/>
              </w:rPr>
              <w:t xml:space="preserve">Draft </w:t>
            </w:r>
            <w:r w:rsidR="00C85E56" w:rsidRPr="00CE0D5E">
              <w:rPr>
                <w:b/>
                <w:sz w:val="32"/>
              </w:rPr>
              <w:t>Retention Plan</w:t>
            </w:r>
            <w:r w:rsidR="00195D6D">
              <w:rPr>
                <w:b/>
                <w:sz w:val="32"/>
              </w:rPr>
              <w:t xml:space="preserve"> </w:t>
            </w:r>
          </w:p>
        </w:tc>
      </w:tr>
    </w:tbl>
    <w:p w:rsidR="00C85E56" w:rsidRDefault="00C85E56" w:rsidP="00C85E56">
      <w:pPr>
        <w:jc w:val="center"/>
        <w:rPr>
          <w:b/>
          <w:sz w:val="23"/>
          <w:szCs w:val="23"/>
        </w:rPr>
      </w:pPr>
    </w:p>
    <w:p w:rsidR="00C85E56" w:rsidRDefault="00C85E56" w:rsidP="00C85E56">
      <w:pPr>
        <w:jc w:val="center"/>
        <w:rPr>
          <w:b/>
          <w:sz w:val="23"/>
          <w:szCs w:val="23"/>
        </w:rPr>
      </w:pPr>
    </w:p>
    <w:p w:rsidR="00C85E56" w:rsidRPr="003A7DE2" w:rsidRDefault="00C85E56" w:rsidP="00C85E56">
      <w:pPr>
        <w:rPr>
          <w:sz w:val="23"/>
          <w:szCs w:val="23"/>
        </w:rPr>
      </w:pPr>
      <w:r w:rsidRPr="003A7DE2">
        <w:rPr>
          <w:color w:val="000000"/>
          <w:sz w:val="23"/>
          <w:szCs w:val="23"/>
          <w:shd w:val="clear" w:color="auto" w:fill="FFFFFF"/>
        </w:rPr>
        <w:t>For the purposes of a Recruitment and Retention plan, retention shall be defined as the charter school's ability to maintain enrollment of its students with low turnover and limited attrition (</w:t>
      </w:r>
      <w:hyperlink r:id="rId14" w:history="1">
        <w:r w:rsidRPr="003A7DE2">
          <w:rPr>
            <w:rStyle w:val="Hyperlink"/>
            <w:sz w:val="23"/>
            <w:szCs w:val="23"/>
            <w:shd w:val="clear" w:color="auto" w:fill="FFFFFF"/>
          </w:rPr>
          <w:t>603 CMR 1.02</w:t>
        </w:r>
      </w:hyperlink>
      <w:r w:rsidRPr="003A7DE2">
        <w:rPr>
          <w:color w:val="000000"/>
          <w:sz w:val="23"/>
          <w:szCs w:val="23"/>
          <w:shd w:val="clear" w:color="auto" w:fill="FFFFFF"/>
        </w:rPr>
        <w:t>).</w:t>
      </w:r>
    </w:p>
    <w:p w:rsidR="00C85E56" w:rsidRPr="003A7DE2" w:rsidRDefault="00C85E56" w:rsidP="00C85E56">
      <w:pPr>
        <w:jc w:val="center"/>
        <w:rPr>
          <w:b/>
          <w:sz w:val="23"/>
          <w:szCs w:val="23"/>
        </w:rPr>
      </w:pPr>
    </w:p>
    <w:tbl>
      <w:tblPr>
        <w:tblW w:w="23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Overall Student Retention Goal&#10;Annual goal for student retention (percentage): &#10;"/>
      </w:tblPr>
      <w:tblGrid>
        <w:gridCol w:w="1814"/>
        <w:gridCol w:w="2637"/>
      </w:tblGrid>
      <w:tr w:rsidR="00C85E56" w:rsidRPr="00CE0D5E" w:rsidTr="003E045E">
        <w:trPr>
          <w:trHeight w:val="224"/>
          <w:jc w:val="center"/>
        </w:trPr>
        <w:tc>
          <w:tcPr>
            <w:tcW w:w="5000" w:type="pct"/>
            <w:gridSpan w:val="2"/>
            <w:shd w:val="clear" w:color="auto" w:fill="E6E6E6"/>
            <w:vAlign w:val="center"/>
          </w:tcPr>
          <w:p w:rsidR="00C85E56" w:rsidRPr="00CE0D5E" w:rsidRDefault="00C85E56" w:rsidP="003E045E">
            <w:pPr>
              <w:pStyle w:val="SOS1"/>
              <w:spacing w:before="80" w:after="80"/>
              <w:rPr>
                <w:rFonts w:ascii="Times New Roman" w:hAnsi="Times New Roman"/>
                <w:color w:val="auto"/>
                <w:sz w:val="23"/>
                <w:szCs w:val="23"/>
              </w:rPr>
            </w:pPr>
            <w:r w:rsidRPr="00CE0D5E">
              <w:rPr>
                <w:rFonts w:ascii="Times New Roman" w:hAnsi="Times New Roman"/>
                <w:color w:val="auto"/>
                <w:sz w:val="23"/>
                <w:szCs w:val="23"/>
              </w:rPr>
              <w:t>Overall Student Retention Goal</w:t>
            </w:r>
          </w:p>
        </w:tc>
      </w:tr>
      <w:tr w:rsidR="00C85E56" w:rsidRPr="00CE0D5E" w:rsidTr="003E045E">
        <w:trPr>
          <w:trHeight w:val="845"/>
          <w:jc w:val="center"/>
        </w:trPr>
        <w:tc>
          <w:tcPr>
            <w:tcW w:w="2038" w:type="pct"/>
            <w:tcBorders>
              <w:bottom w:val="single" w:sz="4" w:space="0" w:color="auto"/>
            </w:tcBorders>
            <w:vAlign w:val="center"/>
          </w:tcPr>
          <w:p w:rsidR="00C85E56" w:rsidRPr="00CE0D5E" w:rsidRDefault="00C85E56" w:rsidP="003E045E">
            <w:pPr>
              <w:jc w:val="center"/>
              <w:rPr>
                <w:sz w:val="23"/>
                <w:szCs w:val="23"/>
              </w:rPr>
            </w:pPr>
            <w:r w:rsidRPr="00CE0D5E">
              <w:rPr>
                <w:b/>
                <w:sz w:val="23"/>
                <w:szCs w:val="23"/>
              </w:rPr>
              <w:t>Annual goal for student retention (percentage):</w:t>
            </w:r>
          </w:p>
        </w:tc>
        <w:tc>
          <w:tcPr>
            <w:tcW w:w="2962" w:type="pct"/>
            <w:tcBorders>
              <w:bottom w:val="single" w:sz="4" w:space="0" w:color="auto"/>
            </w:tcBorders>
          </w:tcPr>
          <w:p w:rsidR="00C85E56" w:rsidRPr="00CE0D5E" w:rsidRDefault="00C85E56" w:rsidP="003E045E">
            <w:pPr>
              <w:rPr>
                <w:sz w:val="23"/>
                <w:szCs w:val="23"/>
              </w:rPr>
            </w:pPr>
          </w:p>
        </w:tc>
      </w:tr>
    </w:tbl>
    <w:p w:rsidR="00C85E56" w:rsidRDefault="00C85E56" w:rsidP="00C85E56">
      <w:pPr>
        <w:rPr>
          <w:sz w:val="20"/>
        </w:rPr>
      </w:pPr>
    </w:p>
    <w:p w:rsidR="00C85E56" w:rsidRDefault="00C85E56" w:rsidP="00C85E56">
      <w:pPr>
        <w:rPr>
          <w:sz w:val="20"/>
        </w:rPr>
      </w:pPr>
    </w:p>
    <w:p w:rsidR="00C85E56" w:rsidRDefault="00C85E56" w:rsidP="00C85E56">
      <w:pPr>
        <w:rPr>
          <w:sz w:val="20"/>
        </w:rPr>
      </w:pPr>
    </w:p>
    <w:tbl>
      <w:tblPr>
        <w:tblW w:w="927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Caption w:val="Retention Plan –Strategies "/>
        <w:tblDescription w:val="List strategies for retention activities for each demographic group.&#10;Demographic Group:&#10;Special education students&#10;English learners&#10;Economically disadvantaged&#10;Students who are sub-proficient&#10;Students at risk of dropping out of school&#10;Students who have dropped out of school&#10;Other subgroups of students who should be targeted to eliminate the achievement gap&#10;&#10;"/>
      </w:tblPr>
      <w:tblGrid>
        <w:gridCol w:w="2538"/>
        <w:gridCol w:w="6734"/>
      </w:tblGrid>
      <w:tr w:rsidR="00C85E56" w:rsidRPr="003A7DE2" w:rsidTr="003E045E">
        <w:trPr>
          <w:trHeight w:val="456"/>
        </w:trPr>
        <w:tc>
          <w:tcPr>
            <w:tcW w:w="9272" w:type="dxa"/>
            <w:gridSpan w:val="2"/>
            <w:shd w:val="clear" w:color="auto" w:fill="BFBFBF" w:themeFill="background1" w:themeFillShade="BF"/>
            <w:vAlign w:val="center"/>
          </w:tcPr>
          <w:p w:rsidR="00C85E56" w:rsidRPr="003A7DE2" w:rsidRDefault="00C85E56" w:rsidP="003E045E">
            <w:pPr>
              <w:jc w:val="center"/>
              <w:rPr>
                <w:b/>
                <w:sz w:val="23"/>
                <w:szCs w:val="23"/>
              </w:rPr>
            </w:pPr>
            <w:r>
              <w:rPr>
                <w:b/>
                <w:sz w:val="23"/>
                <w:szCs w:val="23"/>
              </w:rPr>
              <w:t>Retention</w:t>
            </w:r>
            <w:r w:rsidRPr="003A7DE2">
              <w:rPr>
                <w:b/>
                <w:sz w:val="23"/>
                <w:szCs w:val="23"/>
              </w:rPr>
              <w:t xml:space="preserve"> Plan –Strategies </w:t>
            </w:r>
          </w:p>
          <w:p w:rsidR="00C85E56" w:rsidRPr="003A7DE2" w:rsidRDefault="00C85E56" w:rsidP="003E045E">
            <w:pPr>
              <w:jc w:val="center"/>
              <w:rPr>
                <w:b/>
                <w:sz w:val="23"/>
                <w:szCs w:val="23"/>
              </w:rPr>
            </w:pPr>
            <w:r w:rsidRPr="003A7DE2">
              <w:rPr>
                <w:b/>
                <w:sz w:val="23"/>
                <w:szCs w:val="23"/>
              </w:rPr>
              <w:t xml:space="preserve">List strategies for </w:t>
            </w:r>
            <w:r>
              <w:rPr>
                <w:b/>
                <w:sz w:val="23"/>
                <w:szCs w:val="23"/>
              </w:rPr>
              <w:t>retention</w:t>
            </w:r>
            <w:r w:rsidRPr="003A7DE2">
              <w:rPr>
                <w:b/>
                <w:sz w:val="23"/>
                <w:szCs w:val="23"/>
              </w:rPr>
              <w:t xml:space="preserve"> activities for </w:t>
            </w:r>
            <w:r w:rsidRPr="003A7DE2">
              <w:rPr>
                <w:b/>
                <w:sz w:val="23"/>
                <w:szCs w:val="23"/>
                <w:u w:val="single"/>
              </w:rPr>
              <w:t>each</w:t>
            </w:r>
            <w:r w:rsidRPr="003A7DE2">
              <w:rPr>
                <w:b/>
                <w:sz w:val="23"/>
                <w:szCs w:val="23"/>
              </w:rPr>
              <w:t xml:space="preserve"> demographic group.</w:t>
            </w:r>
          </w:p>
        </w:tc>
      </w:tr>
      <w:tr w:rsidR="00C85E56" w:rsidRPr="003A7DE2" w:rsidTr="003E045E">
        <w:trPr>
          <w:trHeight w:hRule="exact" w:val="384"/>
        </w:trPr>
        <w:tc>
          <w:tcPr>
            <w:tcW w:w="2538" w:type="dxa"/>
            <w:shd w:val="clear" w:color="auto" w:fill="F2F2F2" w:themeFill="background1" w:themeFillShade="F2"/>
          </w:tcPr>
          <w:p w:rsidR="00C85E56" w:rsidRPr="003A7DE2" w:rsidRDefault="00C85E56" w:rsidP="003E045E">
            <w:pPr>
              <w:jc w:val="center"/>
              <w:rPr>
                <w:b/>
                <w:sz w:val="23"/>
                <w:szCs w:val="23"/>
              </w:rPr>
            </w:pPr>
            <w:r w:rsidRPr="003A7DE2">
              <w:rPr>
                <w:b/>
                <w:sz w:val="23"/>
                <w:szCs w:val="23"/>
              </w:rPr>
              <w:t>Demographic Group</w:t>
            </w:r>
          </w:p>
        </w:tc>
        <w:tc>
          <w:tcPr>
            <w:tcW w:w="6734" w:type="dxa"/>
            <w:shd w:val="clear" w:color="auto" w:fill="F2F2F2" w:themeFill="background1" w:themeFillShade="F2"/>
            <w:vAlign w:val="center"/>
          </w:tcPr>
          <w:p w:rsidR="00C85E56" w:rsidRPr="003A7DE2" w:rsidRDefault="00C85E56" w:rsidP="003E045E">
            <w:pPr>
              <w:jc w:val="center"/>
              <w:rPr>
                <w:b/>
                <w:sz w:val="23"/>
                <w:szCs w:val="23"/>
              </w:rPr>
            </w:pPr>
            <w:r w:rsidRPr="003A7DE2">
              <w:rPr>
                <w:b/>
                <w:sz w:val="23"/>
                <w:szCs w:val="23"/>
              </w:rPr>
              <w:t>Strategies</w:t>
            </w:r>
          </w:p>
        </w:tc>
      </w:tr>
      <w:tr w:rsidR="00C85E56" w:rsidRPr="003A7DE2" w:rsidTr="003E045E">
        <w:trPr>
          <w:trHeight w:hRule="exact" w:val="970"/>
        </w:trPr>
        <w:tc>
          <w:tcPr>
            <w:tcW w:w="2538" w:type="dxa"/>
            <w:vAlign w:val="center"/>
          </w:tcPr>
          <w:p w:rsidR="00C85E56" w:rsidRPr="003A7DE2" w:rsidRDefault="00C85E56" w:rsidP="003E045E">
            <w:pPr>
              <w:jc w:val="center"/>
              <w:rPr>
                <w:sz w:val="20"/>
                <w:szCs w:val="23"/>
              </w:rPr>
            </w:pPr>
            <w:r w:rsidRPr="003A7DE2">
              <w:rPr>
                <w:sz w:val="20"/>
                <w:szCs w:val="23"/>
              </w:rPr>
              <w:t>Special education students</w:t>
            </w:r>
          </w:p>
        </w:tc>
        <w:tc>
          <w:tcPr>
            <w:tcW w:w="6734" w:type="dxa"/>
          </w:tcPr>
          <w:p w:rsidR="00C85E56" w:rsidRPr="003A7DE2" w:rsidRDefault="00C85E56" w:rsidP="003E045E">
            <w:pPr>
              <w:rPr>
                <w:sz w:val="23"/>
                <w:szCs w:val="23"/>
              </w:rPr>
            </w:pPr>
          </w:p>
          <w:p w:rsidR="00C85E56" w:rsidRPr="003A7DE2" w:rsidRDefault="00C85E56" w:rsidP="003E045E">
            <w:pPr>
              <w:rPr>
                <w:b/>
                <w:sz w:val="23"/>
                <w:szCs w:val="23"/>
              </w:rPr>
            </w:pPr>
          </w:p>
        </w:tc>
      </w:tr>
      <w:tr w:rsidR="00C85E56" w:rsidRPr="003A7DE2" w:rsidTr="003E045E">
        <w:trPr>
          <w:trHeight w:hRule="exact" w:val="906"/>
        </w:trPr>
        <w:tc>
          <w:tcPr>
            <w:tcW w:w="2538" w:type="dxa"/>
            <w:vAlign w:val="center"/>
          </w:tcPr>
          <w:p w:rsidR="00C85E56" w:rsidRPr="003A7DE2" w:rsidRDefault="004D27E2" w:rsidP="003E045E">
            <w:pPr>
              <w:jc w:val="center"/>
              <w:rPr>
                <w:sz w:val="20"/>
                <w:szCs w:val="23"/>
              </w:rPr>
            </w:pPr>
            <w:r>
              <w:rPr>
                <w:sz w:val="20"/>
                <w:szCs w:val="23"/>
              </w:rPr>
              <w:t>English learners</w:t>
            </w:r>
          </w:p>
        </w:tc>
        <w:tc>
          <w:tcPr>
            <w:tcW w:w="6734" w:type="dxa"/>
          </w:tcPr>
          <w:p w:rsidR="00C85E56" w:rsidRPr="003A7DE2" w:rsidRDefault="00C85E56" w:rsidP="003E045E">
            <w:pPr>
              <w:rPr>
                <w:sz w:val="23"/>
                <w:szCs w:val="23"/>
              </w:rPr>
            </w:pPr>
          </w:p>
        </w:tc>
      </w:tr>
      <w:tr w:rsidR="00C85E56" w:rsidRPr="003A7DE2" w:rsidTr="003E045E">
        <w:trPr>
          <w:trHeight w:hRule="exact" w:val="906"/>
        </w:trPr>
        <w:tc>
          <w:tcPr>
            <w:tcW w:w="2538" w:type="dxa"/>
            <w:vAlign w:val="center"/>
          </w:tcPr>
          <w:p w:rsidR="00C85E56" w:rsidRPr="003A7DE2" w:rsidRDefault="0028159C" w:rsidP="003E045E">
            <w:pPr>
              <w:jc w:val="center"/>
              <w:rPr>
                <w:sz w:val="20"/>
                <w:szCs w:val="23"/>
              </w:rPr>
            </w:pPr>
            <w:r>
              <w:rPr>
                <w:sz w:val="20"/>
                <w:szCs w:val="23"/>
              </w:rPr>
              <w:t>Economically disadvantaged</w:t>
            </w:r>
          </w:p>
        </w:tc>
        <w:tc>
          <w:tcPr>
            <w:tcW w:w="6734" w:type="dxa"/>
          </w:tcPr>
          <w:p w:rsidR="00C85E56" w:rsidRPr="003A7DE2" w:rsidRDefault="00C85E56" w:rsidP="003E045E">
            <w:pPr>
              <w:rPr>
                <w:sz w:val="23"/>
                <w:szCs w:val="23"/>
              </w:rPr>
            </w:pPr>
          </w:p>
        </w:tc>
      </w:tr>
      <w:tr w:rsidR="00C85E56" w:rsidRPr="003A7DE2" w:rsidTr="003E045E">
        <w:trPr>
          <w:trHeight w:hRule="exact" w:val="924"/>
        </w:trPr>
        <w:tc>
          <w:tcPr>
            <w:tcW w:w="2538" w:type="dxa"/>
            <w:vAlign w:val="center"/>
          </w:tcPr>
          <w:p w:rsidR="00C85E56" w:rsidRPr="003A7DE2" w:rsidRDefault="00C85E56" w:rsidP="003E045E">
            <w:pPr>
              <w:jc w:val="center"/>
              <w:rPr>
                <w:sz w:val="20"/>
                <w:szCs w:val="23"/>
              </w:rPr>
            </w:pPr>
            <w:r w:rsidRPr="003A7DE2">
              <w:rPr>
                <w:sz w:val="20"/>
                <w:szCs w:val="23"/>
              </w:rPr>
              <w:t>Students who are sub-proficient</w:t>
            </w:r>
          </w:p>
        </w:tc>
        <w:tc>
          <w:tcPr>
            <w:tcW w:w="6734" w:type="dxa"/>
          </w:tcPr>
          <w:p w:rsidR="00C85E56" w:rsidRPr="003A7DE2" w:rsidRDefault="00C85E56" w:rsidP="003E045E">
            <w:pPr>
              <w:rPr>
                <w:sz w:val="23"/>
                <w:szCs w:val="23"/>
              </w:rPr>
            </w:pPr>
          </w:p>
        </w:tc>
      </w:tr>
      <w:tr w:rsidR="00C85E56" w:rsidRPr="003A7DE2" w:rsidTr="003E045E">
        <w:trPr>
          <w:trHeight w:hRule="exact" w:val="997"/>
        </w:trPr>
        <w:tc>
          <w:tcPr>
            <w:tcW w:w="2538" w:type="dxa"/>
            <w:vAlign w:val="center"/>
          </w:tcPr>
          <w:p w:rsidR="00C85E56" w:rsidRPr="003A7DE2" w:rsidRDefault="00C85E56" w:rsidP="003E045E">
            <w:pPr>
              <w:jc w:val="center"/>
              <w:rPr>
                <w:sz w:val="20"/>
                <w:szCs w:val="23"/>
              </w:rPr>
            </w:pPr>
            <w:r w:rsidRPr="003A7DE2">
              <w:rPr>
                <w:sz w:val="20"/>
                <w:szCs w:val="23"/>
              </w:rPr>
              <w:t>Students at risk of dropping out of school</w:t>
            </w:r>
          </w:p>
        </w:tc>
        <w:tc>
          <w:tcPr>
            <w:tcW w:w="6734" w:type="dxa"/>
          </w:tcPr>
          <w:p w:rsidR="00C85E56" w:rsidRPr="003A7DE2" w:rsidRDefault="00C85E56" w:rsidP="003E045E">
            <w:pPr>
              <w:rPr>
                <w:sz w:val="23"/>
                <w:szCs w:val="23"/>
              </w:rPr>
            </w:pPr>
          </w:p>
        </w:tc>
      </w:tr>
      <w:tr w:rsidR="00C85E56" w:rsidRPr="003A7DE2" w:rsidTr="003E045E">
        <w:trPr>
          <w:trHeight w:hRule="exact" w:val="1016"/>
        </w:trPr>
        <w:tc>
          <w:tcPr>
            <w:tcW w:w="2538" w:type="dxa"/>
            <w:vAlign w:val="center"/>
          </w:tcPr>
          <w:p w:rsidR="00C85E56" w:rsidRPr="003A7DE2" w:rsidRDefault="00C85E56" w:rsidP="003E045E">
            <w:pPr>
              <w:jc w:val="center"/>
              <w:rPr>
                <w:b/>
                <w:sz w:val="20"/>
                <w:szCs w:val="23"/>
              </w:rPr>
            </w:pPr>
            <w:r w:rsidRPr="003A7DE2">
              <w:rPr>
                <w:sz w:val="20"/>
                <w:szCs w:val="23"/>
              </w:rPr>
              <w:lastRenderedPageBreak/>
              <w:t>Students who have dropped out of school</w:t>
            </w:r>
          </w:p>
        </w:tc>
        <w:tc>
          <w:tcPr>
            <w:tcW w:w="6734" w:type="dxa"/>
          </w:tcPr>
          <w:p w:rsidR="00C85E56" w:rsidRPr="003A7DE2" w:rsidRDefault="00C85E56" w:rsidP="003E045E">
            <w:pPr>
              <w:rPr>
                <w:sz w:val="23"/>
                <w:szCs w:val="23"/>
              </w:rPr>
            </w:pPr>
          </w:p>
        </w:tc>
      </w:tr>
      <w:tr w:rsidR="00C85E56" w:rsidRPr="003A7DE2" w:rsidTr="003E045E">
        <w:trPr>
          <w:trHeight w:hRule="exact" w:val="1369"/>
        </w:trPr>
        <w:tc>
          <w:tcPr>
            <w:tcW w:w="2538" w:type="dxa"/>
            <w:vAlign w:val="center"/>
          </w:tcPr>
          <w:p w:rsidR="00C85E56" w:rsidRPr="003A7DE2" w:rsidRDefault="00C85E56" w:rsidP="003E045E">
            <w:pPr>
              <w:jc w:val="center"/>
              <w:rPr>
                <w:b/>
                <w:sz w:val="20"/>
                <w:szCs w:val="23"/>
              </w:rPr>
            </w:pPr>
            <w:r w:rsidRPr="003A7DE2">
              <w:rPr>
                <w:sz w:val="20"/>
                <w:szCs w:val="23"/>
              </w:rPr>
              <w:t>Other subgroups of students who should be targeted to eliminate the achievement gap</w:t>
            </w:r>
          </w:p>
          <w:p w:rsidR="00C85E56" w:rsidRPr="003A7DE2" w:rsidRDefault="00C85E56" w:rsidP="003E045E">
            <w:pPr>
              <w:jc w:val="center"/>
              <w:rPr>
                <w:b/>
                <w:sz w:val="20"/>
                <w:szCs w:val="23"/>
              </w:rPr>
            </w:pPr>
          </w:p>
        </w:tc>
        <w:tc>
          <w:tcPr>
            <w:tcW w:w="6734" w:type="dxa"/>
          </w:tcPr>
          <w:p w:rsidR="00C85E56" w:rsidRPr="003A7DE2" w:rsidRDefault="00C85E56" w:rsidP="003E045E">
            <w:pPr>
              <w:rPr>
                <w:sz w:val="23"/>
                <w:szCs w:val="23"/>
              </w:rPr>
            </w:pPr>
          </w:p>
        </w:tc>
      </w:tr>
    </w:tbl>
    <w:p w:rsidR="002C7817" w:rsidRDefault="002C7817"/>
    <w:sectPr w:rsidR="002C7817" w:rsidSect="006E2C0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246" w:rsidRDefault="00D92246" w:rsidP="00C85E56">
      <w:r>
        <w:separator/>
      </w:r>
    </w:p>
  </w:endnote>
  <w:endnote w:type="continuationSeparator" w:id="0">
    <w:p w:rsidR="00D92246" w:rsidRDefault="00D92246" w:rsidP="00C85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479" w:rsidRDefault="00D164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479" w:rsidRPr="00D16479" w:rsidRDefault="00D16479">
    <w:pPr>
      <w:pStyle w:val="Footer"/>
      <w:pBdr>
        <w:top w:val="thinThickSmallGap" w:sz="24" w:space="1" w:color="622423" w:themeColor="accent2" w:themeShade="7F"/>
      </w:pBdr>
      <w:rPr>
        <w:rFonts w:asciiTheme="majorHAnsi" w:hAnsiTheme="majorHAnsi"/>
        <w:sz w:val="20"/>
      </w:rPr>
    </w:pPr>
    <w:r w:rsidRPr="00D16479">
      <w:rPr>
        <w:rFonts w:asciiTheme="majorHAnsi" w:hAnsiTheme="majorHAnsi"/>
        <w:sz w:val="20"/>
      </w:rPr>
      <w:t>Massachusetts Department of Elementary and Secondary Education</w:t>
    </w:r>
    <w:r w:rsidRPr="00D16479">
      <w:rPr>
        <w:rFonts w:asciiTheme="majorHAnsi" w:hAnsiTheme="majorHAnsi"/>
        <w:sz w:val="20"/>
      </w:rPr>
      <w:ptab w:relativeTo="margin" w:alignment="right" w:leader="none"/>
    </w:r>
    <w:r w:rsidRPr="00D16479">
      <w:rPr>
        <w:rFonts w:asciiTheme="majorHAnsi" w:hAnsiTheme="majorHAnsi"/>
        <w:sz w:val="20"/>
      </w:rPr>
      <w:t xml:space="preserve">Page </w:t>
    </w:r>
    <w:r w:rsidR="00020584" w:rsidRPr="00D16479">
      <w:rPr>
        <w:sz w:val="20"/>
      </w:rPr>
      <w:fldChar w:fldCharType="begin"/>
    </w:r>
    <w:r w:rsidRPr="00D16479">
      <w:rPr>
        <w:sz w:val="20"/>
      </w:rPr>
      <w:instrText xml:space="preserve"> PAGE   \* MERGEFORMAT </w:instrText>
    </w:r>
    <w:r w:rsidR="00020584" w:rsidRPr="00D16479">
      <w:rPr>
        <w:sz w:val="20"/>
      </w:rPr>
      <w:fldChar w:fldCharType="separate"/>
    </w:r>
    <w:r w:rsidR="00185204" w:rsidRPr="00185204">
      <w:rPr>
        <w:rFonts w:asciiTheme="majorHAnsi" w:hAnsiTheme="majorHAnsi"/>
        <w:noProof/>
        <w:sz w:val="20"/>
      </w:rPr>
      <w:t>4</w:t>
    </w:r>
    <w:r w:rsidR="00020584" w:rsidRPr="00D16479">
      <w:rPr>
        <w:sz w:val="20"/>
      </w:rPr>
      <w:fldChar w:fldCharType="end"/>
    </w:r>
  </w:p>
  <w:p w:rsidR="005F0148" w:rsidRDefault="005F01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479" w:rsidRDefault="00D16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246" w:rsidRDefault="00D92246" w:rsidP="00C85E56">
      <w:r>
        <w:separator/>
      </w:r>
    </w:p>
  </w:footnote>
  <w:footnote w:type="continuationSeparator" w:id="0">
    <w:p w:rsidR="00D92246" w:rsidRDefault="00D92246" w:rsidP="00C85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479" w:rsidRDefault="00D164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479" w:rsidRDefault="00D164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479" w:rsidRDefault="00D164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E4ED7"/>
    <w:multiLevelType w:val="hybridMultilevel"/>
    <w:tmpl w:val="BD16AB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A231C9"/>
    <w:multiLevelType w:val="hybridMultilevel"/>
    <w:tmpl w:val="BD16AB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E56"/>
    <w:rsid w:val="00020584"/>
    <w:rsid w:val="00075BEF"/>
    <w:rsid w:val="00093004"/>
    <w:rsid w:val="0013609B"/>
    <w:rsid w:val="00185204"/>
    <w:rsid w:val="00195D6D"/>
    <w:rsid w:val="001B05B5"/>
    <w:rsid w:val="00271867"/>
    <w:rsid w:val="00275331"/>
    <w:rsid w:val="0028159C"/>
    <w:rsid w:val="002C7817"/>
    <w:rsid w:val="003C70AB"/>
    <w:rsid w:val="004A0A0E"/>
    <w:rsid w:val="004A30AE"/>
    <w:rsid w:val="004D27E2"/>
    <w:rsid w:val="005C2D02"/>
    <w:rsid w:val="005C6514"/>
    <w:rsid w:val="005E6D66"/>
    <w:rsid w:val="005F0148"/>
    <w:rsid w:val="00615BCB"/>
    <w:rsid w:val="006D51AC"/>
    <w:rsid w:val="006E2C0F"/>
    <w:rsid w:val="007C5F88"/>
    <w:rsid w:val="00867602"/>
    <w:rsid w:val="00890557"/>
    <w:rsid w:val="008D177E"/>
    <w:rsid w:val="0090169D"/>
    <w:rsid w:val="00903FD1"/>
    <w:rsid w:val="009F799C"/>
    <w:rsid w:val="00A30D65"/>
    <w:rsid w:val="00A5384F"/>
    <w:rsid w:val="00B42FBF"/>
    <w:rsid w:val="00B6452D"/>
    <w:rsid w:val="00C7180D"/>
    <w:rsid w:val="00C85E56"/>
    <w:rsid w:val="00CF2D94"/>
    <w:rsid w:val="00D1388E"/>
    <w:rsid w:val="00D16479"/>
    <w:rsid w:val="00D73DCF"/>
    <w:rsid w:val="00D92246"/>
    <w:rsid w:val="00DB30D6"/>
    <w:rsid w:val="00E0226E"/>
    <w:rsid w:val="00F413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CD5FB"/>
  <w15:docId w15:val="{16F3B124-C14F-4F66-B61B-BCE04FA4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E56"/>
    <w:pPr>
      <w:spacing w:after="0" w:line="240" w:lineRule="auto"/>
    </w:pPr>
    <w:rPr>
      <w:rFonts w:ascii="Times New Roman" w:eastAsia="Batang" w:hAnsi="Times New Roman" w:cs="Times New Roman"/>
      <w:sz w:val="24"/>
      <w:szCs w:val="24"/>
      <w:lang w:eastAsia="ko-KR"/>
    </w:rPr>
  </w:style>
  <w:style w:type="paragraph" w:styleId="Heading2">
    <w:name w:val="heading 2"/>
    <w:basedOn w:val="Normal"/>
    <w:next w:val="Normal"/>
    <w:link w:val="Heading2Char"/>
    <w:qFormat/>
    <w:rsid w:val="00C85E56"/>
    <w:pPr>
      <w:keepNext/>
      <w:ind w:left="720"/>
      <w:outlineLvl w:val="1"/>
    </w:pPr>
    <w:rPr>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85E56"/>
    <w:rPr>
      <w:rFonts w:ascii="Times New Roman" w:eastAsia="Batang" w:hAnsi="Times New Roman" w:cs="Times New Roman"/>
      <w:b/>
      <w:caps/>
      <w:sz w:val="20"/>
      <w:szCs w:val="20"/>
      <w:lang w:eastAsia="ko-KR"/>
    </w:rPr>
  </w:style>
  <w:style w:type="paragraph" w:styleId="FootnoteText">
    <w:name w:val="footnote text"/>
    <w:basedOn w:val="Normal"/>
    <w:link w:val="FootnoteTextChar"/>
    <w:uiPriority w:val="99"/>
    <w:semiHidden/>
    <w:rsid w:val="00C85E56"/>
    <w:rPr>
      <w:sz w:val="20"/>
      <w:szCs w:val="20"/>
    </w:rPr>
  </w:style>
  <w:style w:type="character" w:customStyle="1" w:styleId="FootnoteTextChar">
    <w:name w:val="Footnote Text Char"/>
    <w:basedOn w:val="DefaultParagraphFont"/>
    <w:link w:val="FootnoteText"/>
    <w:uiPriority w:val="99"/>
    <w:semiHidden/>
    <w:rsid w:val="00C85E56"/>
    <w:rPr>
      <w:rFonts w:ascii="Times New Roman" w:eastAsia="Batang" w:hAnsi="Times New Roman" w:cs="Times New Roman"/>
      <w:sz w:val="20"/>
      <w:szCs w:val="20"/>
      <w:lang w:eastAsia="ko-KR"/>
    </w:rPr>
  </w:style>
  <w:style w:type="character" w:styleId="FootnoteReference">
    <w:name w:val="footnote reference"/>
    <w:basedOn w:val="DefaultParagraphFont"/>
    <w:uiPriority w:val="99"/>
    <w:semiHidden/>
    <w:rsid w:val="00C85E56"/>
    <w:rPr>
      <w:vertAlign w:val="superscript"/>
    </w:rPr>
  </w:style>
  <w:style w:type="paragraph" w:styleId="CommentText">
    <w:name w:val="annotation text"/>
    <w:basedOn w:val="Normal"/>
    <w:link w:val="CommentTextChar"/>
    <w:semiHidden/>
    <w:rsid w:val="00C85E56"/>
    <w:rPr>
      <w:sz w:val="20"/>
      <w:szCs w:val="20"/>
    </w:rPr>
  </w:style>
  <w:style w:type="character" w:customStyle="1" w:styleId="CommentTextChar">
    <w:name w:val="Comment Text Char"/>
    <w:basedOn w:val="DefaultParagraphFont"/>
    <w:link w:val="CommentText"/>
    <w:semiHidden/>
    <w:rsid w:val="00C85E56"/>
    <w:rPr>
      <w:rFonts w:ascii="Times New Roman" w:eastAsia="Batang" w:hAnsi="Times New Roman" w:cs="Times New Roman"/>
      <w:sz w:val="20"/>
      <w:szCs w:val="20"/>
      <w:lang w:eastAsia="ko-KR"/>
    </w:rPr>
  </w:style>
  <w:style w:type="character" w:styleId="Hyperlink">
    <w:name w:val="Hyperlink"/>
    <w:basedOn w:val="DefaultParagraphFont"/>
    <w:rsid w:val="00C85E56"/>
    <w:rPr>
      <w:color w:val="0000FF"/>
      <w:u w:val="single"/>
    </w:rPr>
  </w:style>
  <w:style w:type="paragraph" w:styleId="ListParagraph">
    <w:name w:val="List Paragraph"/>
    <w:basedOn w:val="Normal"/>
    <w:uiPriority w:val="34"/>
    <w:qFormat/>
    <w:rsid w:val="00C85E56"/>
    <w:pPr>
      <w:spacing w:after="120"/>
      <w:ind w:left="720"/>
      <w:contextualSpacing/>
      <w:jc w:val="both"/>
    </w:pPr>
    <w:rPr>
      <w:rFonts w:ascii="Cambria" w:eastAsia="Times New Roman" w:hAnsi="Cambria"/>
      <w:lang w:eastAsia="en-US"/>
    </w:rPr>
  </w:style>
  <w:style w:type="table" w:styleId="TableGrid">
    <w:name w:val="Table Grid"/>
    <w:basedOn w:val="TableNormal"/>
    <w:rsid w:val="00C85E56"/>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S1">
    <w:name w:val="SOS 1"/>
    <w:basedOn w:val="Normal"/>
    <w:qFormat/>
    <w:rsid w:val="00C85E56"/>
    <w:pPr>
      <w:spacing w:before="240" w:after="120"/>
      <w:jc w:val="center"/>
      <w:outlineLvl w:val="1"/>
    </w:pPr>
    <w:rPr>
      <w:rFonts w:ascii="Cambria" w:eastAsia="Times New Roman" w:hAnsi="Cambria"/>
      <w:b/>
      <w:color w:val="1F497D"/>
      <w:sz w:val="28"/>
      <w:szCs w:val="28"/>
      <w:lang w:eastAsia="en-US"/>
    </w:rPr>
  </w:style>
  <w:style w:type="paragraph" w:styleId="NormalWeb">
    <w:name w:val="Normal (Web)"/>
    <w:basedOn w:val="Normal"/>
    <w:uiPriority w:val="99"/>
    <w:unhideWhenUsed/>
    <w:rsid w:val="00C85E56"/>
    <w:pPr>
      <w:spacing w:before="100" w:beforeAutospacing="1" w:after="100" w:afterAutospacing="1"/>
    </w:pPr>
    <w:rPr>
      <w:rFonts w:eastAsia="Times New Roman"/>
      <w:lang w:eastAsia="en-US"/>
    </w:rPr>
  </w:style>
  <w:style w:type="paragraph" w:styleId="Header">
    <w:name w:val="header"/>
    <w:basedOn w:val="Normal"/>
    <w:link w:val="HeaderChar"/>
    <w:uiPriority w:val="99"/>
    <w:semiHidden/>
    <w:unhideWhenUsed/>
    <w:rsid w:val="005F0148"/>
    <w:pPr>
      <w:tabs>
        <w:tab w:val="center" w:pos="4680"/>
        <w:tab w:val="right" w:pos="9360"/>
      </w:tabs>
    </w:pPr>
  </w:style>
  <w:style w:type="character" w:customStyle="1" w:styleId="HeaderChar">
    <w:name w:val="Header Char"/>
    <w:basedOn w:val="DefaultParagraphFont"/>
    <w:link w:val="Header"/>
    <w:uiPriority w:val="99"/>
    <w:semiHidden/>
    <w:rsid w:val="005F0148"/>
    <w:rPr>
      <w:rFonts w:ascii="Times New Roman" w:eastAsia="Batang" w:hAnsi="Times New Roman" w:cs="Times New Roman"/>
      <w:sz w:val="24"/>
      <w:szCs w:val="24"/>
      <w:lang w:eastAsia="ko-KR"/>
    </w:rPr>
  </w:style>
  <w:style w:type="paragraph" w:styleId="Footer">
    <w:name w:val="footer"/>
    <w:basedOn w:val="Normal"/>
    <w:link w:val="FooterChar"/>
    <w:uiPriority w:val="99"/>
    <w:unhideWhenUsed/>
    <w:rsid w:val="005F0148"/>
    <w:pPr>
      <w:tabs>
        <w:tab w:val="center" w:pos="4680"/>
        <w:tab w:val="right" w:pos="9360"/>
      </w:tabs>
    </w:pPr>
  </w:style>
  <w:style w:type="character" w:customStyle="1" w:styleId="FooterChar">
    <w:name w:val="Footer Char"/>
    <w:basedOn w:val="DefaultParagraphFont"/>
    <w:link w:val="Footer"/>
    <w:uiPriority w:val="99"/>
    <w:rsid w:val="005F0148"/>
    <w:rPr>
      <w:rFonts w:ascii="Times New Roman" w:eastAsia="Batang" w:hAnsi="Times New Roman" w:cs="Times New Roman"/>
      <w:sz w:val="24"/>
      <w:szCs w:val="24"/>
      <w:lang w:eastAsia="ko-KR"/>
    </w:rPr>
  </w:style>
  <w:style w:type="character" w:styleId="CommentReference">
    <w:name w:val="annotation reference"/>
    <w:basedOn w:val="DefaultParagraphFont"/>
    <w:rsid w:val="005C2D02"/>
    <w:rPr>
      <w:sz w:val="16"/>
      <w:szCs w:val="16"/>
    </w:rPr>
  </w:style>
  <w:style w:type="character" w:styleId="FollowedHyperlink">
    <w:name w:val="FollowedHyperlink"/>
    <w:basedOn w:val="DefaultParagraphFont"/>
    <w:uiPriority w:val="99"/>
    <w:semiHidden/>
    <w:unhideWhenUsed/>
    <w:rsid w:val="00275331"/>
    <w:rPr>
      <w:color w:val="800080" w:themeColor="followedHyperlink"/>
      <w:u w:val="single"/>
    </w:rPr>
  </w:style>
  <w:style w:type="paragraph" w:styleId="BalloonText">
    <w:name w:val="Balloon Text"/>
    <w:basedOn w:val="Normal"/>
    <w:link w:val="BalloonTextChar"/>
    <w:uiPriority w:val="99"/>
    <w:semiHidden/>
    <w:unhideWhenUsed/>
    <w:rsid w:val="00D16479"/>
    <w:rPr>
      <w:rFonts w:ascii="Tahoma" w:hAnsi="Tahoma" w:cs="Tahoma"/>
      <w:sz w:val="16"/>
      <w:szCs w:val="16"/>
    </w:rPr>
  </w:style>
  <w:style w:type="character" w:customStyle="1" w:styleId="BalloonTextChar">
    <w:name w:val="Balloon Text Char"/>
    <w:basedOn w:val="DefaultParagraphFont"/>
    <w:link w:val="BalloonText"/>
    <w:uiPriority w:val="99"/>
    <w:semiHidden/>
    <w:rsid w:val="00D16479"/>
    <w:rPr>
      <w:rFonts w:ascii="Tahoma" w:eastAsia="Batang"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charter/finance/char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doe.mass.edu/lawsregs/603cmr1.html?section=0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lawsregs/603cmr1.html?section=0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DESE-231-42082</_dlc_DocId>
    <_dlc_DocIdUrl xmlns="733efe1c-5bbe-4968-87dc-d400e65c879f">
      <Url>https://sharepoint.doemass.org/ese/webteam/cps/_layouts/DocIdRedir.aspx?ID=DESE-231-42082</Url>
      <Description>DESE-231-42082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32A1DB-AF43-4BE9-86E8-E40486D8BD48}">
  <ds:schemaRefs>
    <ds:schemaRef ds:uri="http://schemas.microsoft.com/sharepoint/v3/contenttype/forms"/>
  </ds:schemaRefs>
</ds:datastoreItem>
</file>

<file path=customXml/itemProps2.xml><?xml version="1.0" encoding="utf-8"?>
<ds:datastoreItem xmlns:ds="http://schemas.openxmlformats.org/officeDocument/2006/customXml" ds:itemID="{605EE55D-BE54-4293-A4C4-B8F00BF2107C}">
  <ds:schemaRefs>
    <ds:schemaRef ds:uri="http://schemas.microsoft.com/sharepoint/events"/>
  </ds:schemaRefs>
</ds:datastoreItem>
</file>

<file path=customXml/itemProps3.xml><?xml version="1.0" encoding="utf-8"?>
<ds:datastoreItem xmlns:ds="http://schemas.openxmlformats.org/officeDocument/2006/customXml" ds:itemID="{B4F00AC4-8C4E-4095-B0EB-B1B66C39E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147DEE-F4F3-4CA3-905C-656D5016117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75FB1832-920A-4FCD-82E3-93DC7B651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Draft Recruitment and Retention Plan for Applicant Use</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Recruitment and Retention Plan for Applicant Use</dc:title>
  <dc:subject/>
  <dc:creator>DESE</dc:creator>
  <cp:lastModifiedBy>Zou, Dong</cp:lastModifiedBy>
  <cp:revision>6</cp:revision>
  <dcterms:created xsi:type="dcterms:W3CDTF">2018-05-18T16:10:00Z</dcterms:created>
  <dcterms:modified xsi:type="dcterms:W3CDTF">2018-05-24T15:58:00Z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24 2018</vt:lpwstr>
  </property>
</Properties>
</file>