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C8A21" w14:textId="77777777" w:rsidR="000C369C" w:rsidRPr="000C369C" w:rsidRDefault="000C369C" w:rsidP="000C369C">
      <w:pPr>
        <w:rPr>
          <w:rFonts w:ascii="Times New Roman" w:eastAsia="Times New Roman" w:hAnsi="Times New Roman" w:cs="Times New Roman"/>
        </w:rPr>
      </w:pPr>
      <w:bookmarkStart w:id="0" w:name="_GoBack"/>
      <w:bookmarkEnd w:id="0"/>
    </w:p>
    <w:tbl>
      <w:tblPr>
        <w:tblW w:w="0" w:type="auto"/>
        <w:tblInd w:w="-728" w:type="dxa"/>
        <w:tblLayout w:type="fixed"/>
        <w:tblCellMar>
          <w:top w:w="15" w:type="dxa"/>
          <w:left w:w="15" w:type="dxa"/>
          <w:bottom w:w="15" w:type="dxa"/>
          <w:right w:w="15" w:type="dxa"/>
        </w:tblCellMar>
        <w:tblLook w:val="04A0" w:firstRow="1" w:lastRow="0" w:firstColumn="1" w:lastColumn="0" w:noHBand="0" w:noVBand="1"/>
      </w:tblPr>
      <w:tblGrid>
        <w:gridCol w:w="2108"/>
        <w:gridCol w:w="7964"/>
      </w:tblGrid>
      <w:tr w:rsidR="000C369C" w:rsidRPr="000C369C" w14:paraId="082C8A24" w14:textId="77777777" w:rsidTr="00214C68">
        <w:tc>
          <w:tcPr>
            <w:tcW w:w="21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22" w14:textId="77777777" w:rsidR="000C369C" w:rsidRPr="000C369C" w:rsidRDefault="000C369C" w:rsidP="000C369C">
            <w:pPr>
              <w:rPr>
                <w:rFonts w:ascii="Times New Roman" w:hAnsi="Times New Roman" w:cs="Times New Roman"/>
              </w:rPr>
            </w:pPr>
            <w:r w:rsidRPr="000C369C">
              <w:rPr>
                <w:rFonts w:ascii="Calibri" w:hAnsi="Calibri" w:cs="Times New Roman"/>
                <w:b/>
                <w:bCs/>
                <w:color w:val="000000"/>
                <w:sz w:val="22"/>
                <w:szCs w:val="22"/>
              </w:rPr>
              <w:t xml:space="preserve">School Name </w:t>
            </w:r>
          </w:p>
        </w:tc>
        <w:tc>
          <w:tcPr>
            <w:tcW w:w="79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23" w14:textId="77777777" w:rsidR="000C369C" w:rsidRPr="000C369C" w:rsidRDefault="000C369C" w:rsidP="000C369C">
            <w:pPr>
              <w:rPr>
                <w:rFonts w:ascii="Times New Roman" w:hAnsi="Times New Roman" w:cs="Times New Roman"/>
              </w:rPr>
            </w:pPr>
            <w:r w:rsidRPr="000C369C">
              <w:rPr>
                <w:rFonts w:ascii="Calibri" w:hAnsi="Calibri" w:cs="Times New Roman"/>
                <w:color w:val="000000"/>
                <w:sz w:val="22"/>
                <w:szCs w:val="22"/>
              </w:rPr>
              <w:t>Conservatory Lab Charter School</w:t>
            </w:r>
          </w:p>
        </w:tc>
      </w:tr>
      <w:tr w:rsidR="000C369C" w:rsidRPr="000C369C" w14:paraId="082C8A27" w14:textId="77777777" w:rsidTr="00214C68">
        <w:trPr>
          <w:trHeight w:val="381"/>
        </w:trPr>
        <w:tc>
          <w:tcPr>
            <w:tcW w:w="21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25" w14:textId="77777777" w:rsidR="000C369C" w:rsidRPr="000C369C" w:rsidRDefault="000C369C" w:rsidP="000C369C">
            <w:pPr>
              <w:rPr>
                <w:rFonts w:ascii="Times New Roman" w:hAnsi="Times New Roman" w:cs="Times New Roman"/>
              </w:rPr>
            </w:pPr>
            <w:r w:rsidRPr="000C369C">
              <w:rPr>
                <w:rFonts w:ascii="Calibri" w:hAnsi="Calibri" w:cs="Times New Roman"/>
                <w:b/>
                <w:bCs/>
                <w:color w:val="000000"/>
                <w:sz w:val="22"/>
                <w:szCs w:val="22"/>
              </w:rPr>
              <w:t>Grade Span Targeted by Best Practice</w:t>
            </w:r>
          </w:p>
        </w:tc>
        <w:tc>
          <w:tcPr>
            <w:tcW w:w="79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26" w14:textId="77777777" w:rsidR="000C369C" w:rsidRPr="000C369C" w:rsidRDefault="000C369C" w:rsidP="000C369C">
            <w:pPr>
              <w:rPr>
                <w:rFonts w:ascii="Times New Roman" w:hAnsi="Times New Roman" w:cs="Times New Roman"/>
              </w:rPr>
            </w:pPr>
            <w:r w:rsidRPr="000C369C">
              <w:rPr>
                <w:rFonts w:ascii="Calibri" w:hAnsi="Calibri" w:cs="Times New Roman"/>
                <w:color w:val="000000"/>
                <w:sz w:val="22"/>
                <w:szCs w:val="22"/>
              </w:rPr>
              <w:t xml:space="preserve">K1 - 8 </w:t>
            </w:r>
          </w:p>
        </w:tc>
      </w:tr>
      <w:tr w:rsidR="00902B5A" w:rsidRPr="000C369C" w14:paraId="082C8A2B" w14:textId="77777777" w:rsidTr="00214C68">
        <w:tc>
          <w:tcPr>
            <w:tcW w:w="21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28" w14:textId="77777777" w:rsidR="00902B5A" w:rsidRPr="000C369C" w:rsidRDefault="00902B5A" w:rsidP="00764A03">
            <w:pPr>
              <w:rPr>
                <w:rFonts w:ascii="Times New Roman" w:hAnsi="Times New Roman" w:cs="Times New Roman"/>
              </w:rPr>
            </w:pPr>
            <w:r w:rsidRPr="000C369C">
              <w:rPr>
                <w:rFonts w:ascii="Calibri" w:hAnsi="Calibri" w:cs="Times New Roman"/>
                <w:b/>
                <w:bCs/>
                <w:color w:val="000000"/>
                <w:sz w:val="22"/>
                <w:szCs w:val="22"/>
              </w:rPr>
              <w:t>Contact</w:t>
            </w:r>
          </w:p>
        </w:tc>
        <w:tc>
          <w:tcPr>
            <w:tcW w:w="79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29" w14:textId="77777777" w:rsidR="00902B5A" w:rsidRPr="000C369C" w:rsidRDefault="00902B5A" w:rsidP="00764A03">
            <w:pPr>
              <w:rPr>
                <w:rFonts w:ascii="Times New Roman" w:hAnsi="Times New Roman" w:cs="Times New Roman"/>
              </w:rPr>
            </w:pPr>
            <w:r w:rsidRPr="000C369C">
              <w:rPr>
                <w:rFonts w:ascii="Calibri" w:hAnsi="Calibri" w:cs="Times New Roman"/>
                <w:color w:val="000000"/>
                <w:sz w:val="22"/>
                <w:szCs w:val="22"/>
              </w:rPr>
              <w:t xml:space="preserve">Nicole Mack, Principal, </w:t>
            </w:r>
            <w:hyperlink r:id="rId11" w:history="1">
              <w:r w:rsidRPr="000C369C">
                <w:rPr>
                  <w:rFonts w:ascii="Calibri" w:hAnsi="Calibri" w:cs="Times New Roman"/>
                  <w:color w:val="1155CC"/>
                  <w:sz w:val="22"/>
                  <w:szCs w:val="22"/>
                  <w:u w:val="single"/>
                </w:rPr>
                <w:t>nmack@conservatorylab.org</w:t>
              </w:r>
            </w:hyperlink>
            <w:r w:rsidRPr="000C369C">
              <w:rPr>
                <w:rFonts w:ascii="Calibri" w:hAnsi="Calibri" w:cs="Times New Roman"/>
                <w:color w:val="000000"/>
                <w:sz w:val="22"/>
                <w:szCs w:val="22"/>
              </w:rPr>
              <w:t xml:space="preserve"> </w:t>
            </w:r>
          </w:p>
          <w:p w14:paraId="082C8A2A" w14:textId="77777777" w:rsidR="00902B5A" w:rsidRPr="000C369C" w:rsidRDefault="00902B5A" w:rsidP="00764A03">
            <w:pPr>
              <w:rPr>
                <w:rFonts w:ascii="Times New Roman" w:hAnsi="Times New Roman" w:cs="Times New Roman"/>
              </w:rPr>
            </w:pPr>
            <w:r w:rsidRPr="000C369C">
              <w:rPr>
                <w:rFonts w:ascii="Calibri" w:hAnsi="Calibri" w:cs="Times New Roman"/>
                <w:color w:val="000000"/>
                <w:sz w:val="22"/>
                <w:szCs w:val="22"/>
              </w:rPr>
              <w:t xml:space="preserve">Rhonda Berkower, Curriculum Specialist, </w:t>
            </w:r>
            <w:hyperlink r:id="rId12" w:history="1">
              <w:r w:rsidRPr="000C369C">
                <w:rPr>
                  <w:rFonts w:ascii="Calibri" w:hAnsi="Calibri" w:cs="Times New Roman"/>
                  <w:color w:val="1155CC"/>
                  <w:sz w:val="22"/>
                  <w:szCs w:val="22"/>
                  <w:u w:val="single"/>
                </w:rPr>
                <w:t>rberkower@conservatorylab.org</w:t>
              </w:r>
            </w:hyperlink>
            <w:r w:rsidRPr="000C369C">
              <w:rPr>
                <w:rFonts w:ascii="Calibri" w:hAnsi="Calibri" w:cs="Times New Roman"/>
                <w:color w:val="000000"/>
                <w:sz w:val="22"/>
                <w:szCs w:val="22"/>
              </w:rPr>
              <w:t xml:space="preserve"> </w:t>
            </w:r>
          </w:p>
        </w:tc>
      </w:tr>
      <w:tr w:rsidR="000C369C" w:rsidRPr="000C369C" w14:paraId="082C8A2E" w14:textId="77777777" w:rsidTr="00214C68">
        <w:tc>
          <w:tcPr>
            <w:tcW w:w="21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2C" w14:textId="77777777" w:rsidR="00902B5A" w:rsidRPr="000C369C" w:rsidRDefault="000C369C" w:rsidP="00214C68">
            <w:pPr>
              <w:rPr>
                <w:rFonts w:ascii="Times New Roman" w:hAnsi="Times New Roman" w:cs="Times New Roman"/>
              </w:rPr>
            </w:pPr>
            <w:r w:rsidRPr="000C369C">
              <w:rPr>
                <w:rFonts w:ascii="Calibri" w:hAnsi="Calibri" w:cs="Times New Roman"/>
                <w:b/>
                <w:bCs/>
                <w:color w:val="000000"/>
                <w:sz w:val="22"/>
                <w:szCs w:val="22"/>
              </w:rPr>
              <w:t xml:space="preserve">Related Charter School Performance Criteria/Conditions for School Effectiveness </w:t>
            </w:r>
          </w:p>
        </w:tc>
        <w:tc>
          <w:tcPr>
            <w:tcW w:w="79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2D" w14:textId="77777777" w:rsidR="000C369C" w:rsidRPr="000C369C" w:rsidRDefault="000C369C" w:rsidP="000C369C">
            <w:pPr>
              <w:rPr>
                <w:rFonts w:ascii="Times New Roman" w:hAnsi="Times New Roman" w:cs="Times New Roman"/>
              </w:rPr>
            </w:pPr>
            <w:r w:rsidRPr="000C369C">
              <w:rPr>
                <w:rFonts w:ascii="Calibri" w:hAnsi="Calibri" w:cs="Times New Roman"/>
                <w:color w:val="000000"/>
                <w:sz w:val="22"/>
                <w:szCs w:val="22"/>
              </w:rPr>
              <w:t>Curriculum and Instruction</w:t>
            </w:r>
          </w:p>
        </w:tc>
      </w:tr>
      <w:tr w:rsidR="000C369C" w:rsidRPr="000C369C" w14:paraId="082C8A32" w14:textId="77777777" w:rsidTr="00214C68">
        <w:tc>
          <w:tcPr>
            <w:tcW w:w="21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2F" w14:textId="77777777" w:rsidR="000C369C" w:rsidRPr="000C369C" w:rsidRDefault="000C369C" w:rsidP="000C369C">
            <w:pPr>
              <w:rPr>
                <w:rFonts w:ascii="Times New Roman" w:hAnsi="Times New Roman" w:cs="Times New Roman"/>
              </w:rPr>
            </w:pPr>
            <w:r w:rsidRPr="000C369C">
              <w:rPr>
                <w:rFonts w:ascii="Calibri" w:hAnsi="Calibri" w:cs="Times New Roman"/>
                <w:b/>
                <w:bCs/>
                <w:color w:val="000000"/>
                <w:sz w:val="22"/>
                <w:szCs w:val="22"/>
              </w:rPr>
              <w:t>Innovation/Best Practice(s)</w:t>
            </w:r>
          </w:p>
          <w:p w14:paraId="082C8A30" w14:textId="77777777" w:rsidR="000C369C" w:rsidRPr="000C369C" w:rsidRDefault="000C369C" w:rsidP="000C369C">
            <w:pPr>
              <w:rPr>
                <w:rFonts w:ascii="Times New Roman" w:hAnsi="Times New Roman" w:cs="Times New Roman"/>
              </w:rPr>
            </w:pPr>
          </w:p>
        </w:tc>
        <w:tc>
          <w:tcPr>
            <w:tcW w:w="79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31" w14:textId="77777777" w:rsidR="000C369C" w:rsidRPr="000C369C" w:rsidRDefault="000C369C" w:rsidP="000C369C">
            <w:pPr>
              <w:rPr>
                <w:rFonts w:ascii="Times New Roman" w:hAnsi="Times New Roman" w:cs="Times New Roman"/>
              </w:rPr>
            </w:pPr>
            <w:r w:rsidRPr="000C369C">
              <w:rPr>
                <w:rFonts w:ascii="Calibri" w:hAnsi="Calibri" w:cs="Times New Roman"/>
                <w:color w:val="000000"/>
                <w:sz w:val="22"/>
                <w:szCs w:val="22"/>
              </w:rPr>
              <w:t>Interdisciplinary Project-Based Learning</w:t>
            </w:r>
          </w:p>
        </w:tc>
      </w:tr>
      <w:tr w:rsidR="000C369C" w:rsidRPr="000C369C" w14:paraId="082C8A37" w14:textId="77777777" w:rsidTr="00214C68">
        <w:tc>
          <w:tcPr>
            <w:tcW w:w="21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33" w14:textId="77777777" w:rsidR="000C369C" w:rsidRPr="000C369C" w:rsidRDefault="000C369C" w:rsidP="000C369C">
            <w:pPr>
              <w:rPr>
                <w:rFonts w:ascii="Times New Roman" w:hAnsi="Times New Roman" w:cs="Times New Roman"/>
              </w:rPr>
            </w:pPr>
            <w:r w:rsidRPr="000C369C">
              <w:rPr>
                <w:rFonts w:ascii="Calibri" w:hAnsi="Calibri" w:cs="Times New Roman"/>
                <w:b/>
                <w:bCs/>
                <w:color w:val="000000"/>
                <w:sz w:val="22"/>
                <w:szCs w:val="22"/>
              </w:rPr>
              <w:t>Rationale Supporting Best Practice</w:t>
            </w:r>
          </w:p>
          <w:p w14:paraId="082C8A34" w14:textId="77777777" w:rsidR="000C369C" w:rsidRPr="000C369C" w:rsidRDefault="000C369C" w:rsidP="000C369C">
            <w:pPr>
              <w:rPr>
                <w:rFonts w:ascii="Times New Roman" w:hAnsi="Times New Roman" w:cs="Times New Roman"/>
              </w:rPr>
            </w:pPr>
          </w:p>
        </w:tc>
        <w:tc>
          <w:tcPr>
            <w:tcW w:w="79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35" w14:textId="77777777" w:rsidR="00EB49AC" w:rsidRPr="00EB49AC" w:rsidRDefault="000C369C" w:rsidP="00EB49AC">
            <w:pPr>
              <w:rPr>
                <w:sz w:val="22"/>
                <w:szCs w:val="22"/>
              </w:rPr>
            </w:pPr>
            <w:r w:rsidRPr="00A93B9C">
              <w:rPr>
                <w:rFonts w:ascii="Calibri" w:hAnsi="Calibri" w:cs="Times New Roman"/>
                <w:color w:val="000000"/>
                <w:sz w:val="22"/>
                <w:szCs w:val="22"/>
              </w:rPr>
              <w:t xml:space="preserve">There is a growing body of research that supports the use of project-based learning as a way to engage students, boost cooperative learning skills, and improve academic </w:t>
            </w:r>
            <w:r w:rsidRPr="00EB49AC">
              <w:rPr>
                <w:rFonts w:ascii="Calibri" w:hAnsi="Calibri" w:cs="Times New Roman"/>
                <w:color w:val="000000"/>
                <w:sz w:val="22"/>
                <w:szCs w:val="22"/>
              </w:rPr>
              <w:t xml:space="preserve">skills. Holm, Margaret. “Project-Based Instruction: A Review of the Literature in Prekindergarten </w:t>
            </w:r>
            <w:r w:rsidR="00C20CF4" w:rsidRPr="00EB49AC">
              <w:rPr>
                <w:rFonts w:ascii="Calibri" w:hAnsi="Calibri" w:cs="Times New Roman"/>
                <w:color w:val="000000"/>
                <w:sz w:val="22"/>
                <w:szCs w:val="22"/>
              </w:rPr>
              <w:t>t</w:t>
            </w:r>
            <w:r w:rsidRPr="00EB49AC">
              <w:rPr>
                <w:rFonts w:ascii="Calibri" w:hAnsi="Calibri" w:cs="Times New Roman"/>
                <w:color w:val="000000"/>
                <w:sz w:val="22"/>
                <w:szCs w:val="22"/>
              </w:rPr>
              <w:t>hrough 12th Grade Classrooms,”</w:t>
            </w:r>
            <w:r w:rsidRPr="00EB49AC">
              <w:rPr>
                <w:rFonts w:ascii="Calibri" w:hAnsi="Calibri" w:cs="Times New Roman"/>
                <w:i/>
                <w:iCs/>
                <w:color w:val="000000"/>
                <w:sz w:val="22"/>
                <w:szCs w:val="22"/>
              </w:rPr>
              <w:t xml:space="preserve"> Insight: </w:t>
            </w:r>
            <w:proofErr w:type="spellStart"/>
            <w:r w:rsidRPr="00EB49AC">
              <w:rPr>
                <w:rFonts w:ascii="Calibri" w:hAnsi="Calibri" w:cs="Times New Roman"/>
                <w:color w:val="000000"/>
                <w:sz w:val="22"/>
                <w:szCs w:val="22"/>
              </w:rPr>
              <w:t>Rivier</w:t>
            </w:r>
            <w:proofErr w:type="spellEnd"/>
            <w:r w:rsidRPr="00EB49AC">
              <w:rPr>
                <w:rFonts w:ascii="Calibri" w:hAnsi="Calibri" w:cs="Times New Roman"/>
                <w:color w:val="000000"/>
                <w:sz w:val="22"/>
                <w:szCs w:val="22"/>
              </w:rPr>
              <w:t xml:space="preserve"> Academic Journal, Vol. 7, No. 2, 2011.</w:t>
            </w:r>
            <w:r w:rsidR="00A93B9C" w:rsidRPr="00EB49AC">
              <w:rPr>
                <w:rFonts w:ascii="Calibri" w:hAnsi="Calibri" w:cs="Times New Roman"/>
                <w:color w:val="000000"/>
                <w:sz w:val="22"/>
                <w:szCs w:val="22"/>
              </w:rPr>
              <w:t xml:space="preserve">  </w:t>
            </w:r>
            <w:hyperlink r:id="rId13" w:history="1">
              <w:r w:rsidR="00EB49AC" w:rsidRPr="00EB49AC">
                <w:rPr>
                  <w:rStyle w:val="Hyperlink"/>
                  <w:sz w:val="22"/>
                  <w:szCs w:val="22"/>
                </w:rPr>
                <w:t>https://www.bie.org/object/document/project_based_learning_a_review_of_the_literature_on_effectiveness</w:t>
              </w:r>
            </w:hyperlink>
          </w:p>
          <w:p w14:paraId="082C8A36" w14:textId="77777777" w:rsidR="00BE2CEA" w:rsidRPr="000C369C" w:rsidRDefault="00BE2CEA" w:rsidP="000C369C">
            <w:pPr>
              <w:rPr>
                <w:rFonts w:ascii="Times New Roman" w:hAnsi="Times New Roman" w:cs="Times New Roman"/>
              </w:rPr>
            </w:pPr>
          </w:p>
        </w:tc>
      </w:tr>
      <w:tr w:rsidR="000C369C" w:rsidRPr="000C369C" w14:paraId="082C8A3C" w14:textId="77777777" w:rsidTr="00214C68">
        <w:tc>
          <w:tcPr>
            <w:tcW w:w="21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38" w14:textId="77777777" w:rsidR="000C369C" w:rsidRPr="000C369C" w:rsidRDefault="000C369C" w:rsidP="000C369C">
            <w:pPr>
              <w:rPr>
                <w:rFonts w:ascii="Times New Roman" w:hAnsi="Times New Roman" w:cs="Times New Roman"/>
              </w:rPr>
            </w:pPr>
            <w:r w:rsidRPr="000C369C">
              <w:rPr>
                <w:rFonts w:ascii="Calibri" w:hAnsi="Calibri" w:cs="Times New Roman"/>
                <w:b/>
                <w:bCs/>
                <w:color w:val="000000"/>
                <w:sz w:val="22"/>
                <w:szCs w:val="22"/>
              </w:rPr>
              <w:t>Partner</w:t>
            </w:r>
          </w:p>
          <w:p w14:paraId="082C8A39" w14:textId="77777777" w:rsidR="000C369C" w:rsidRPr="000C369C" w:rsidRDefault="000C369C" w:rsidP="000C369C">
            <w:pPr>
              <w:rPr>
                <w:rFonts w:ascii="Times New Roman" w:hAnsi="Times New Roman" w:cs="Times New Roman"/>
              </w:rPr>
            </w:pPr>
          </w:p>
        </w:tc>
        <w:tc>
          <w:tcPr>
            <w:tcW w:w="79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3A" w14:textId="77777777" w:rsidR="000C369C" w:rsidRDefault="000C369C" w:rsidP="00764A03">
            <w:pPr>
              <w:rPr>
                <w:rFonts w:ascii="Calibri" w:hAnsi="Calibri" w:cs="Times New Roman"/>
                <w:color w:val="000000"/>
                <w:sz w:val="22"/>
                <w:szCs w:val="22"/>
              </w:rPr>
            </w:pPr>
            <w:r w:rsidRPr="000C369C">
              <w:rPr>
                <w:rFonts w:ascii="Calibri" w:hAnsi="Calibri" w:cs="Times New Roman"/>
                <w:color w:val="000000"/>
                <w:sz w:val="22"/>
                <w:szCs w:val="22"/>
              </w:rPr>
              <w:t>EL Education (formerly Expeditionary Learning)</w:t>
            </w:r>
            <w:r w:rsidR="00764A03">
              <w:rPr>
                <w:rFonts w:ascii="Calibri" w:hAnsi="Calibri" w:cs="Times New Roman"/>
                <w:color w:val="000000"/>
                <w:sz w:val="22"/>
                <w:szCs w:val="22"/>
              </w:rPr>
              <w:t xml:space="preserve"> and </w:t>
            </w:r>
            <w:r w:rsidR="00764A03" w:rsidRPr="000C369C">
              <w:rPr>
                <w:rFonts w:ascii="Calibri" w:hAnsi="Calibri" w:cs="Times New Roman"/>
                <w:color w:val="000000"/>
                <w:sz w:val="22"/>
                <w:szCs w:val="22"/>
              </w:rPr>
              <w:t xml:space="preserve">K2, Grade, 1 and Grade 2 classrooms at several Boston district schools, including the </w:t>
            </w:r>
            <w:r w:rsidR="00764A03">
              <w:rPr>
                <w:rFonts w:ascii="Calibri" w:hAnsi="Calibri" w:cs="Times New Roman"/>
                <w:color w:val="000000"/>
                <w:sz w:val="22"/>
                <w:szCs w:val="22"/>
              </w:rPr>
              <w:t xml:space="preserve">E. Greenwood, Thomas J. </w:t>
            </w:r>
            <w:r w:rsidR="00764A03" w:rsidRPr="000C369C">
              <w:rPr>
                <w:rFonts w:ascii="Calibri" w:hAnsi="Calibri" w:cs="Times New Roman"/>
                <w:color w:val="000000"/>
                <w:sz w:val="22"/>
                <w:szCs w:val="22"/>
              </w:rPr>
              <w:t xml:space="preserve">Kenny School and the P.A. Shaw School </w:t>
            </w:r>
          </w:p>
          <w:p w14:paraId="082C8A3B" w14:textId="77777777" w:rsidR="00764A03" w:rsidRPr="000C369C" w:rsidRDefault="00764A03" w:rsidP="00764A03">
            <w:pPr>
              <w:rPr>
                <w:rFonts w:ascii="Times New Roman" w:hAnsi="Times New Roman" w:cs="Times New Roman"/>
              </w:rPr>
            </w:pPr>
          </w:p>
        </w:tc>
      </w:tr>
      <w:tr w:rsidR="000C369C" w:rsidRPr="000C369C" w14:paraId="082C8A41" w14:textId="77777777" w:rsidTr="00214C68">
        <w:tc>
          <w:tcPr>
            <w:tcW w:w="21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3D" w14:textId="77777777" w:rsidR="000C369C" w:rsidRPr="000C369C" w:rsidRDefault="000C369C" w:rsidP="000C369C">
            <w:pPr>
              <w:rPr>
                <w:rFonts w:ascii="Times New Roman" w:hAnsi="Times New Roman" w:cs="Times New Roman"/>
              </w:rPr>
            </w:pPr>
            <w:r w:rsidRPr="000C369C">
              <w:rPr>
                <w:rFonts w:ascii="Calibri" w:hAnsi="Calibri" w:cs="Times New Roman"/>
                <w:b/>
                <w:bCs/>
                <w:color w:val="000000"/>
                <w:sz w:val="22"/>
                <w:szCs w:val="22"/>
              </w:rPr>
              <w:t>Target Audience for Best Practice</w:t>
            </w:r>
          </w:p>
          <w:p w14:paraId="082C8A3E" w14:textId="77777777" w:rsidR="000C369C" w:rsidRPr="000C369C" w:rsidRDefault="000C369C" w:rsidP="000C369C">
            <w:pPr>
              <w:rPr>
                <w:rFonts w:ascii="Times New Roman" w:hAnsi="Times New Roman" w:cs="Times New Roman"/>
              </w:rPr>
            </w:pPr>
          </w:p>
        </w:tc>
        <w:tc>
          <w:tcPr>
            <w:tcW w:w="79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3F" w14:textId="77777777" w:rsidR="000C369C" w:rsidRDefault="000C369C" w:rsidP="000C369C">
            <w:pPr>
              <w:rPr>
                <w:rFonts w:ascii="Calibri" w:hAnsi="Calibri" w:cs="Times New Roman"/>
                <w:color w:val="000000"/>
                <w:sz w:val="22"/>
                <w:szCs w:val="22"/>
              </w:rPr>
            </w:pPr>
            <w:r w:rsidRPr="000C369C">
              <w:rPr>
                <w:rFonts w:ascii="Calibri" w:hAnsi="Calibri" w:cs="Times New Roman"/>
                <w:color w:val="000000"/>
                <w:sz w:val="22"/>
                <w:szCs w:val="22"/>
              </w:rPr>
              <w:t xml:space="preserve">K-8 schools looking to develop interdisciplinary, project-based teaching and learning. Conservatory Lab has successfully partnered with K2, Grade, 1 and Grade 2 classrooms at several Boston district schools, to introduce and develop these instructional practices and curricular resources. </w:t>
            </w:r>
          </w:p>
          <w:p w14:paraId="082C8A40" w14:textId="77777777" w:rsidR="00902B5A" w:rsidRPr="000C369C" w:rsidRDefault="00902B5A" w:rsidP="000C369C">
            <w:pPr>
              <w:rPr>
                <w:rFonts w:ascii="Times New Roman" w:hAnsi="Times New Roman" w:cs="Times New Roman"/>
              </w:rPr>
            </w:pPr>
          </w:p>
        </w:tc>
      </w:tr>
      <w:tr w:rsidR="000C369C" w:rsidRPr="000C369C" w14:paraId="082C8A45" w14:textId="77777777" w:rsidTr="00214C68">
        <w:tc>
          <w:tcPr>
            <w:tcW w:w="21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42" w14:textId="77777777" w:rsidR="000C369C" w:rsidRPr="000C369C" w:rsidRDefault="000C369C" w:rsidP="000C369C">
            <w:pPr>
              <w:rPr>
                <w:rFonts w:ascii="Times New Roman" w:hAnsi="Times New Roman" w:cs="Times New Roman"/>
              </w:rPr>
            </w:pPr>
            <w:r w:rsidRPr="000C369C">
              <w:rPr>
                <w:rFonts w:ascii="Calibri" w:hAnsi="Calibri" w:cs="Times New Roman"/>
                <w:b/>
                <w:bCs/>
                <w:color w:val="000000"/>
                <w:sz w:val="22"/>
                <w:szCs w:val="22"/>
              </w:rPr>
              <w:t>Objective for Disseminating this Best Practice</w:t>
            </w:r>
          </w:p>
        </w:tc>
        <w:tc>
          <w:tcPr>
            <w:tcW w:w="7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082C8A43" w14:textId="77777777" w:rsidR="000C369C" w:rsidRDefault="000C369C" w:rsidP="000C369C">
            <w:pPr>
              <w:rPr>
                <w:rFonts w:ascii="Calibri" w:hAnsi="Calibri" w:cs="Times New Roman"/>
                <w:color w:val="000000"/>
                <w:sz w:val="22"/>
                <w:szCs w:val="22"/>
              </w:rPr>
            </w:pPr>
            <w:r w:rsidRPr="000C369C">
              <w:rPr>
                <w:rFonts w:ascii="Calibri" w:hAnsi="Calibri" w:cs="Times New Roman"/>
                <w:color w:val="000000"/>
                <w:sz w:val="22"/>
                <w:szCs w:val="22"/>
              </w:rPr>
              <w:t xml:space="preserve">To transform teaching and learning practices in order to enhance student engagement, nurture a growth mindset, boost academic performance in reading and writing, develop critical thinking skills, and build perseverance, collaboration, and other character traits to prepare students for future success. </w:t>
            </w:r>
          </w:p>
          <w:p w14:paraId="082C8A44" w14:textId="77777777" w:rsidR="00902B5A" w:rsidRPr="000C369C" w:rsidRDefault="00902B5A" w:rsidP="000C369C">
            <w:pPr>
              <w:rPr>
                <w:rFonts w:ascii="Times New Roman" w:hAnsi="Times New Roman" w:cs="Times New Roman"/>
              </w:rPr>
            </w:pPr>
          </w:p>
        </w:tc>
      </w:tr>
      <w:tr w:rsidR="000C369C" w:rsidRPr="000C369C" w14:paraId="082C8A52" w14:textId="77777777" w:rsidTr="00214C68">
        <w:tc>
          <w:tcPr>
            <w:tcW w:w="21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46" w14:textId="77777777" w:rsidR="000C369C" w:rsidRPr="000C369C" w:rsidRDefault="000C369C" w:rsidP="000C369C">
            <w:pPr>
              <w:rPr>
                <w:rFonts w:ascii="Times New Roman" w:hAnsi="Times New Roman" w:cs="Times New Roman"/>
              </w:rPr>
            </w:pPr>
            <w:r w:rsidRPr="000C369C">
              <w:rPr>
                <w:rFonts w:ascii="Calibri" w:hAnsi="Calibri" w:cs="Times New Roman"/>
                <w:b/>
                <w:bCs/>
                <w:color w:val="000000"/>
                <w:sz w:val="22"/>
                <w:szCs w:val="22"/>
              </w:rPr>
              <w:t>Summary</w:t>
            </w:r>
            <w:r w:rsidRPr="000C369C">
              <w:rPr>
                <w:rFonts w:ascii="Calibri" w:hAnsi="Calibri" w:cs="Times New Roman"/>
                <w:color w:val="000000"/>
                <w:sz w:val="22"/>
                <w:szCs w:val="22"/>
              </w:rPr>
              <w:t xml:space="preserve"> </w:t>
            </w:r>
          </w:p>
          <w:p w14:paraId="082C8A47" w14:textId="77777777" w:rsidR="000C369C" w:rsidRPr="000C369C" w:rsidRDefault="000C369C" w:rsidP="001B037A">
            <w:pPr>
              <w:rPr>
                <w:rFonts w:ascii="Times New Roman" w:eastAsia="Times New Roman" w:hAnsi="Times New Roman" w:cs="Times New Roman"/>
              </w:rPr>
            </w:pPr>
          </w:p>
        </w:tc>
        <w:tc>
          <w:tcPr>
            <w:tcW w:w="7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082C8A48" w14:textId="77777777" w:rsidR="000C369C" w:rsidRPr="000C369C" w:rsidRDefault="000C369C" w:rsidP="000C369C">
            <w:pPr>
              <w:rPr>
                <w:rFonts w:ascii="Times New Roman" w:hAnsi="Times New Roman" w:cs="Times New Roman"/>
              </w:rPr>
            </w:pPr>
            <w:r w:rsidRPr="000C369C">
              <w:rPr>
                <w:rFonts w:ascii="Calibri" w:hAnsi="Calibri" w:cs="Times New Roman"/>
                <w:color w:val="000000"/>
                <w:sz w:val="22"/>
                <w:szCs w:val="22"/>
              </w:rPr>
              <w:t xml:space="preserve">Since 2009, </w:t>
            </w:r>
            <w:r w:rsidR="00792432" w:rsidRPr="00792432">
              <w:rPr>
                <w:rFonts w:ascii="Calibri" w:hAnsi="Calibri" w:cs="Times New Roman"/>
                <w:b/>
                <w:color w:val="000000"/>
                <w:sz w:val="22"/>
                <w:szCs w:val="22"/>
              </w:rPr>
              <w:t>Conservatory Lab has developed, implemented, and published interdisciplinary curriculum units that integrate evidence-based literacy practices to build knowledge in science and social studies content areas.</w:t>
            </w:r>
            <w:r w:rsidRPr="000C369C">
              <w:rPr>
                <w:rFonts w:ascii="Calibri" w:hAnsi="Calibri" w:cs="Times New Roman"/>
                <w:color w:val="000000"/>
                <w:sz w:val="22"/>
                <w:szCs w:val="22"/>
              </w:rPr>
              <w:t xml:space="preserve"> Each unit consistently generates high-quality student products that demonstrate mastery of Common Core standards in reading informational text, research, and writing. An example of an outstanding 2</w:t>
            </w:r>
            <w:r w:rsidRPr="000C369C">
              <w:rPr>
                <w:rFonts w:ascii="Calibri" w:hAnsi="Calibri" w:cs="Times New Roman"/>
                <w:color w:val="000000"/>
                <w:sz w:val="13"/>
                <w:szCs w:val="13"/>
                <w:vertAlign w:val="superscript"/>
              </w:rPr>
              <w:t>nd</w:t>
            </w:r>
            <w:r w:rsidRPr="000C369C">
              <w:rPr>
                <w:rFonts w:ascii="Calibri" w:hAnsi="Calibri" w:cs="Times New Roman"/>
                <w:color w:val="000000"/>
                <w:sz w:val="22"/>
                <w:szCs w:val="22"/>
              </w:rPr>
              <w:t>-grade product, “Slithering Snake Stories,” can be found at</w:t>
            </w:r>
            <w:hyperlink r:id="rId14" w:history="1">
              <w:r w:rsidRPr="000C369C">
                <w:rPr>
                  <w:rFonts w:ascii="Calibri" w:hAnsi="Calibri" w:cs="Times New Roman"/>
                  <w:color w:val="000000"/>
                  <w:sz w:val="22"/>
                  <w:szCs w:val="22"/>
                </w:rPr>
                <w:t xml:space="preserve"> </w:t>
              </w:r>
              <w:r w:rsidRPr="000C369C">
                <w:rPr>
                  <w:rFonts w:ascii="Calibri" w:hAnsi="Calibri" w:cs="Times New Roman"/>
                  <w:color w:val="1155CC"/>
                  <w:sz w:val="22"/>
                  <w:szCs w:val="22"/>
                  <w:u w:val="single"/>
                </w:rPr>
                <w:t>http://tinyurl.com/snakestories</w:t>
              </w:r>
            </w:hyperlink>
            <w:r w:rsidRPr="000C369C">
              <w:rPr>
                <w:rFonts w:ascii="Calibri" w:hAnsi="Calibri" w:cs="Times New Roman"/>
                <w:color w:val="000000"/>
                <w:sz w:val="22"/>
                <w:szCs w:val="22"/>
              </w:rPr>
              <w:t>.</w:t>
            </w:r>
          </w:p>
          <w:p w14:paraId="082C8A49" w14:textId="77777777" w:rsidR="00902B5A" w:rsidRDefault="00902B5A" w:rsidP="000C369C">
            <w:pPr>
              <w:rPr>
                <w:rFonts w:ascii="Calibri" w:hAnsi="Calibri" w:cs="Times New Roman"/>
                <w:color w:val="000000"/>
                <w:sz w:val="22"/>
                <w:szCs w:val="22"/>
              </w:rPr>
            </w:pPr>
            <w:r>
              <w:rPr>
                <w:rFonts w:ascii="Calibri" w:hAnsi="Calibri" w:cs="Times New Roman"/>
                <w:color w:val="000000"/>
                <w:sz w:val="22"/>
                <w:szCs w:val="22"/>
              </w:rPr>
              <w:t> </w:t>
            </w:r>
          </w:p>
          <w:p w14:paraId="082C8A4A" w14:textId="77777777" w:rsidR="000C369C" w:rsidRPr="000C369C" w:rsidRDefault="000C369C" w:rsidP="000C369C">
            <w:pPr>
              <w:rPr>
                <w:rFonts w:ascii="Times New Roman" w:hAnsi="Times New Roman" w:cs="Times New Roman"/>
              </w:rPr>
            </w:pPr>
            <w:r w:rsidRPr="000C369C">
              <w:rPr>
                <w:rFonts w:ascii="Calibri" w:hAnsi="Calibri" w:cs="Times New Roman"/>
                <w:color w:val="000000"/>
                <w:sz w:val="22"/>
                <w:szCs w:val="22"/>
              </w:rPr>
              <w:t xml:space="preserve">Conservatory Lab is an EL Education (formerly Expeditionary Learning) school and our curriculum and practices were developed with the support of EL school designers and coaches. </w:t>
            </w:r>
            <w:r w:rsidRPr="00764A03">
              <w:rPr>
                <w:rFonts w:ascii="Calibri" w:hAnsi="Calibri" w:cs="Times New Roman"/>
                <w:b/>
                <w:color w:val="000000"/>
                <w:sz w:val="22"/>
                <w:szCs w:val="22"/>
              </w:rPr>
              <w:t>Our interdisciplinary units are anchored in a project-based approach that promotes deep and collaborative learning</w:t>
            </w:r>
            <w:r w:rsidRPr="000C369C">
              <w:rPr>
                <w:rFonts w:ascii="Calibri" w:hAnsi="Calibri" w:cs="Times New Roman"/>
                <w:color w:val="000000"/>
                <w:sz w:val="22"/>
                <w:szCs w:val="22"/>
              </w:rPr>
              <w:t xml:space="preserve"> and incorporates EL core practices: rigorous research, fieldwork and experts, creating and publishing high-quality </w:t>
            </w:r>
            <w:r w:rsidRPr="000C369C">
              <w:rPr>
                <w:rFonts w:ascii="Calibri" w:hAnsi="Calibri" w:cs="Times New Roman"/>
                <w:color w:val="000000"/>
                <w:sz w:val="22"/>
                <w:szCs w:val="22"/>
              </w:rPr>
              <w:lastRenderedPageBreak/>
              <w:t>products for authentic audiences, differentiated instruction, and learning through the arts.</w:t>
            </w:r>
          </w:p>
          <w:p w14:paraId="082C8A4B" w14:textId="77777777" w:rsidR="00902B5A" w:rsidRDefault="00902B5A" w:rsidP="000C369C">
            <w:pPr>
              <w:rPr>
                <w:rFonts w:ascii="Calibri" w:hAnsi="Calibri" w:cs="Times New Roman"/>
                <w:color w:val="000000"/>
                <w:sz w:val="22"/>
                <w:szCs w:val="22"/>
              </w:rPr>
            </w:pPr>
          </w:p>
          <w:p w14:paraId="082C8A4C" w14:textId="77777777" w:rsidR="000C369C" w:rsidRPr="000C369C" w:rsidRDefault="000C369C" w:rsidP="000C369C">
            <w:pPr>
              <w:rPr>
                <w:rFonts w:ascii="Times New Roman" w:hAnsi="Times New Roman" w:cs="Times New Roman"/>
              </w:rPr>
            </w:pPr>
            <w:r w:rsidRPr="000C369C">
              <w:rPr>
                <w:rFonts w:ascii="Calibri" w:hAnsi="Calibri" w:cs="Times New Roman"/>
                <w:color w:val="000000"/>
                <w:sz w:val="22"/>
                <w:szCs w:val="22"/>
              </w:rPr>
              <w:t>Evidence-based literacy practices include small-group guided reading; interactive read-</w:t>
            </w:r>
            <w:proofErr w:type="spellStart"/>
            <w:r w:rsidRPr="000C369C">
              <w:rPr>
                <w:rFonts w:ascii="Calibri" w:hAnsi="Calibri" w:cs="Times New Roman"/>
                <w:color w:val="000000"/>
                <w:sz w:val="22"/>
                <w:szCs w:val="22"/>
              </w:rPr>
              <w:t>alouds</w:t>
            </w:r>
            <w:proofErr w:type="spellEnd"/>
            <w:r w:rsidRPr="000C369C">
              <w:rPr>
                <w:rFonts w:ascii="Calibri" w:hAnsi="Calibri" w:cs="Times New Roman"/>
                <w:color w:val="000000"/>
                <w:sz w:val="22"/>
                <w:szCs w:val="22"/>
              </w:rPr>
              <w:t xml:space="preserve"> with accountable talk; shared reading; fluency practice and readers’ theater; multiple and close reading of informational text; and guided writing with models, exemplars, and a highly-</w:t>
            </w:r>
            <w:proofErr w:type="spellStart"/>
            <w:r w:rsidRPr="000C369C">
              <w:rPr>
                <w:rFonts w:ascii="Calibri" w:hAnsi="Calibri" w:cs="Times New Roman"/>
                <w:color w:val="000000"/>
                <w:sz w:val="22"/>
                <w:szCs w:val="22"/>
              </w:rPr>
              <w:t>scaffolded</w:t>
            </w:r>
            <w:proofErr w:type="spellEnd"/>
            <w:r w:rsidRPr="000C369C">
              <w:rPr>
                <w:rFonts w:ascii="Calibri" w:hAnsi="Calibri" w:cs="Times New Roman"/>
                <w:color w:val="000000"/>
                <w:sz w:val="22"/>
                <w:szCs w:val="22"/>
              </w:rPr>
              <w:t xml:space="preserve"> critique and revision protocol. Units feature hands-on activities, projects, and fieldwork to continually reinforce targeted literacy skills, as well as oral language development and vocabulary acquisition.</w:t>
            </w:r>
          </w:p>
          <w:p w14:paraId="082C8A4D" w14:textId="77777777" w:rsidR="00902B5A" w:rsidRDefault="00902B5A" w:rsidP="000C369C">
            <w:pPr>
              <w:rPr>
                <w:rFonts w:ascii="Calibri" w:hAnsi="Calibri" w:cs="Times New Roman"/>
                <w:color w:val="000000"/>
                <w:sz w:val="22"/>
                <w:szCs w:val="22"/>
              </w:rPr>
            </w:pPr>
          </w:p>
          <w:p w14:paraId="082C8A4E" w14:textId="77777777" w:rsidR="000C369C" w:rsidRPr="000C369C" w:rsidRDefault="000C369C" w:rsidP="000C369C">
            <w:pPr>
              <w:rPr>
                <w:rFonts w:ascii="Times New Roman" w:hAnsi="Times New Roman" w:cs="Times New Roman"/>
              </w:rPr>
            </w:pPr>
            <w:r w:rsidRPr="000C369C">
              <w:rPr>
                <w:rFonts w:ascii="Calibri" w:hAnsi="Calibri" w:cs="Times New Roman"/>
                <w:color w:val="000000"/>
                <w:sz w:val="22"/>
                <w:szCs w:val="22"/>
              </w:rPr>
              <w:t xml:space="preserve">Embedded in the context of engaging, project-based units, these tested literacy practices provide a powerful and effective vehicle for raising the level of students’ reading and writing competencies, as well as listening and speaking skills. </w:t>
            </w:r>
            <w:r w:rsidRPr="00764A03">
              <w:rPr>
                <w:rFonts w:ascii="Calibri" w:hAnsi="Calibri" w:cs="Times New Roman"/>
                <w:b/>
                <w:color w:val="000000"/>
                <w:sz w:val="22"/>
                <w:szCs w:val="22"/>
              </w:rPr>
              <w:t xml:space="preserve">The power of this approach is exemplified in an EL video series </w:t>
            </w:r>
            <w:r w:rsidRPr="000C369C">
              <w:rPr>
                <w:rFonts w:ascii="Calibri" w:hAnsi="Calibri" w:cs="Times New Roman"/>
                <w:color w:val="000000"/>
                <w:sz w:val="22"/>
                <w:szCs w:val="22"/>
              </w:rPr>
              <w:t xml:space="preserve">featuring a Conservatory Lab 2nd-grade classroom entitled </w:t>
            </w:r>
            <w:r w:rsidRPr="000C369C">
              <w:rPr>
                <w:rFonts w:ascii="Calibri" w:hAnsi="Calibri" w:cs="Times New Roman"/>
                <w:i/>
                <w:iCs/>
                <w:color w:val="000000"/>
                <w:sz w:val="22"/>
                <w:szCs w:val="22"/>
              </w:rPr>
              <w:t>Inspiring Excellence: A Classroom of Quality in Reading, in Writing, in Listening, in Speaking, in the Arts, and in Scien</w:t>
            </w:r>
            <w:r w:rsidRPr="000C369C">
              <w:rPr>
                <w:rFonts w:ascii="Calibri" w:hAnsi="Calibri" w:cs="Times New Roman"/>
                <w:color w:val="000000"/>
                <w:sz w:val="22"/>
                <w:szCs w:val="22"/>
              </w:rPr>
              <w:t>ce, available at</w:t>
            </w:r>
            <w:hyperlink r:id="rId15" w:history="1">
              <w:r w:rsidRPr="000C369C">
                <w:rPr>
                  <w:rFonts w:ascii="Calibri" w:hAnsi="Calibri" w:cs="Times New Roman"/>
                  <w:color w:val="000000"/>
                  <w:sz w:val="22"/>
                  <w:szCs w:val="22"/>
                </w:rPr>
                <w:t xml:space="preserve"> </w:t>
              </w:r>
              <w:r w:rsidRPr="000C369C">
                <w:rPr>
                  <w:rFonts w:ascii="Calibri" w:hAnsi="Calibri" w:cs="Times New Roman"/>
                  <w:color w:val="1155CC"/>
                  <w:sz w:val="22"/>
                  <w:szCs w:val="22"/>
                  <w:u w:val="single"/>
                </w:rPr>
                <w:t>http://vimeo.com/channels/inspiringexcellence</w:t>
              </w:r>
            </w:hyperlink>
            <w:r w:rsidRPr="000C369C">
              <w:rPr>
                <w:rFonts w:ascii="Calibri" w:hAnsi="Calibri" w:cs="Times New Roman"/>
                <w:color w:val="000000"/>
                <w:sz w:val="22"/>
                <w:szCs w:val="22"/>
              </w:rPr>
              <w:t>.</w:t>
            </w:r>
          </w:p>
          <w:p w14:paraId="082C8A4F" w14:textId="77777777" w:rsidR="00902B5A" w:rsidRDefault="00902B5A" w:rsidP="000C369C">
            <w:pPr>
              <w:rPr>
                <w:rFonts w:ascii="Calibri" w:hAnsi="Calibri" w:cs="Times New Roman"/>
                <w:color w:val="000000"/>
                <w:sz w:val="22"/>
                <w:szCs w:val="22"/>
              </w:rPr>
            </w:pPr>
            <w:r>
              <w:rPr>
                <w:rFonts w:ascii="Calibri" w:hAnsi="Calibri" w:cs="Times New Roman"/>
                <w:color w:val="000000"/>
                <w:sz w:val="22"/>
                <w:szCs w:val="22"/>
              </w:rPr>
              <w:t> </w:t>
            </w:r>
          </w:p>
          <w:p w14:paraId="082C8A50" w14:textId="77777777" w:rsidR="000C369C" w:rsidRDefault="000C369C" w:rsidP="000C369C">
            <w:pPr>
              <w:rPr>
                <w:rFonts w:ascii="Calibri" w:hAnsi="Calibri" w:cs="Times New Roman"/>
                <w:color w:val="000000"/>
                <w:sz w:val="22"/>
                <w:szCs w:val="22"/>
              </w:rPr>
            </w:pPr>
            <w:r w:rsidRPr="00764A03">
              <w:rPr>
                <w:rFonts w:ascii="Calibri" w:hAnsi="Calibri" w:cs="Times New Roman"/>
                <w:b/>
                <w:color w:val="000000"/>
                <w:sz w:val="22"/>
                <w:szCs w:val="22"/>
              </w:rPr>
              <w:t>A consistent structure for common planning time with teachers, coaches, and administrators, including extended periods of planning time at key points during the year, is critical for the successful development and implementation of interdisciplinary, project-based learning</w:t>
            </w:r>
            <w:r w:rsidRPr="000C369C">
              <w:rPr>
                <w:rFonts w:ascii="Calibri" w:hAnsi="Calibri" w:cs="Times New Roman"/>
                <w:color w:val="000000"/>
                <w:sz w:val="22"/>
                <w:szCs w:val="22"/>
              </w:rPr>
              <w:t>.</w:t>
            </w:r>
          </w:p>
          <w:p w14:paraId="082C8A51" w14:textId="77777777" w:rsidR="00F4104E" w:rsidRPr="000C369C" w:rsidRDefault="00F4104E" w:rsidP="000C369C">
            <w:pPr>
              <w:rPr>
                <w:rFonts w:ascii="Times New Roman" w:hAnsi="Times New Roman" w:cs="Times New Roman"/>
              </w:rPr>
            </w:pPr>
          </w:p>
        </w:tc>
      </w:tr>
      <w:tr w:rsidR="000C369C" w:rsidRPr="000C369C" w14:paraId="082C8A57" w14:textId="77777777" w:rsidTr="00214C68">
        <w:tc>
          <w:tcPr>
            <w:tcW w:w="21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53" w14:textId="77777777" w:rsidR="000C369C" w:rsidRPr="000C369C" w:rsidRDefault="000C369C" w:rsidP="000C369C">
            <w:pPr>
              <w:rPr>
                <w:rFonts w:ascii="Times New Roman" w:hAnsi="Times New Roman" w:cs="Times New Roman"/>
              </w:rPr>
            </w:pPr>
            <w:r w:rsidRPr="000C369C">
              <w:rPr>
                <w:rFonts w:ascii="Calibri" w:hAnsi="Calibri" w:cs="Times New Roman"/>
                <w:b/>
                <w:bCs/>
                <w:color w:val="000000"/>
                <w:sz w:val="22"/>
                <w:szCs w:val="22"/>
              </w:rPr>
              <w:lastRenderedPageBreak/>
              <w:t>Reflection</w:t>
            </w:r>
          </w:p>
          <w:p w14:paraId="082C8A54" w14:textId="77777777" w:rsidR="000C369C" w:rsidRPr="000C369C" w:rsidRDefault="000C369C" w:rsidP="000C369C">
            <w:pPr>
              <w:rPr>
                <w:rFonts w:ascii="Times New Roman" w:hAnsi="Times New Roman" w:cs="Times New Roman"/>
              </w:rPr>
            </w:pPr>
          </w:p>
        </w:tc>
        <w:tc>
          <w:tcPr>
            <w:tcW w:w="79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55" w14:textId="77777777" w:rsidR="000C369C" w:rsidRDefault="000C369C" w:rsidP="000C369C">
            <w:pPr>
              <w:rPr>
                <w:rFonts w:ascii="Calibri" w:hAnsi="Calibri" w:cs="Times New Roman"/>
                <w:color w:val="000000"/>
                <w:sz w:val="22"/>
                <w:szCs w:val="22"/>
              </w:rPr>
            </w:pPr>
            <w:r w:rsidRPr="000C369C">
              <w:rPr>
                <w:rFonts w:ascii="Calibri" w:hAnsi="Calibri" w:cs="Times New Roman"/>
                <w:color w:val="000000"/>
                <w:sz w:val="22"/>
                <w:szCs w:val="22"/>
              </w:rPr>
              <w:t xml:space="preserve">Partnering with the E. Greenwood, </w:t>
            </w:r>
            <w:r w:rsidR="00FC04F0">
              <w:rPr>
                <w:rFonts w:ascii="Calibri" w:hAnsi="Calibri" w:cs="Times New Roman"/>
                <w:color w:val="000000"/>
                <w:sz w:val="22"/>
                <w:szCs w:val="22"/>
              </w:rPr>
              <w:t>Thomas J</w:t>
            </w:r>
            <w:r w:rsidR="00764A03">
              <w:rPr>
                <w:rFonts w:ascii="Calibri" w:hAnsi="Calibri" w:cs="Times New Roman"/>
                <w:color w:val="000000"/>
                <w:sz w:val="22"/>
                <w:szCs w:val="22"/>
              </w:rPr>
              <w:t>.</w:t>
            </w:r>
            <w:r w:rsidR="00FC04F0">
              <w:rPr>
                <w:rFonts w:ascii="Calibri" w:hAnsi="Calibri" w:cs="Times New Roman"/>
                <w:color w:val="000000"/>
                <w:sz w:val="22"/>
                <w:szCs w:val="22"/>
              </w:rPr>
              <w:t xml:space="preserve"> </w:t>
            </w:r>
            <w:r w:rsidRPr="000C369C">
              <w:rPr>
                <w:rFonts w:ascii="Calibri" w:hAnsi="Calibri" w:cs="Times New Roman"/>
                <w:color w:val="000000"/>
                <w:sz w:val="22"/>
                <w:szCs w:val="22"/>
              </w:rPr>
              <w:t>Kenny, and the P.A. Shaw schools underscored the importance of pacing and curriculum modifications to meet individual student and classroom needs, as well as videotaped and/or live models for celebrations of learning at the end of units that feature students showcasing and sharing their work in interactive ways with families and the school community.  </w:t>
            </w:r>
          </w:p>
          <w:p w14:paraId="082C8A56" w14:textId="77777777" w:rsidR="00902B5A" w:rsidRPr="000C369C" w:rsidRDefault="00902B5A" w:rsidP="000C369C">
            <w:pPr>
              <w:rPr>
                <w:rFonts w:ascii="Times New Roman" w:hAnsi="Times New Roman" w:cs="Times New Roman"/>
              </w:rPr>
            </w:pPr>
          </w:p>
        </w:tc>
      </w:tr>
      <w:tr w:rsidR="000C369C" w:rsidRPr="000C369C" w14:paraId="082C8A5D" w14:textId="77777777" w:rsidTr="00214C68">
        <w:tc>
          <w:tcPr>
            <w:tcW w:w="21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58" w14:textId="77777777" w:rsidR="000C369C" w:rsidRPr="000C369C" w:rsidRDefault="000C369C" w:rsidP="000C369C">
            <w:pPr>
              <w:rPr>
                <w:rFonts w:ascii="Times New Roman" w:hAnsi="Times New Roman" w:cs="Times New Roman"/>
              </w:rPr>
            </w:pPr>
            <w:r w:rsidRPr="000C369C">
              <w:rPr>
                <w:rFonts w:ascii="Calibri" w:hAnsi="Calibri" w:cs="Times New Roman"/>
                <w:b/>
                <w:bCs/>
                <w:color w:val="000000"/>
                <w:sz w:val="22"/>
                <w:szCs w:val="22"/>
              </w:rPr>
              <w:t>Resources</w:t>
            </w:r>
          </w:p>
          <w:p w14:paraId="082C8A59" w14:textId="77777777" w:rsidR="000C369C" w:rsidRPr="000C369C" w:rsidRDefault="000C369C" w:rsidP="000C369C">
            <w:pPr>
              <w:rPr>
                <w:rFonts w:ascii="Times New Roman" w:hAnsi="Times New Roman" w:cs="Times New Roman"/>
              </w:rPr>
            </w:pPr>
          </w:p>
        </w:tc>
        <w:tc>
          <w:tcPr>
            <w:tcW w:w="79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5A" w14:textId="77777777" w:rsidR="000C369C" w:rsidRPr="000C369C" w:rsidRDefault="000C369C" w:rsidP="000C369C">
            <w:pPr>
              <w:rPr>
                <w:rFonts w:ascii="Times New Roman" w:hAnsi="Times New Roman" w:cs="Times New Roman"/>
              </w:rPr>
            </w:pPr>
            <w:r w:rsidRPr="000C369C">
              <w:rPr>
                <w:rFonts w:ascii="Calibri" w:hAnsi="Calibri" w:cs="Times New Roman"/>
                <w:color w:val="000000"/>
                <w:sz w:val="22"/>
                <w:szCs w:val="22"/>
              </w:rPr>
              <w:t>The Curriculum section of the Con</w:t>
            </w:r>
            <w:r w:rsidR="00FC04F0">
              <w:rPr>
                <w:rFonts w:ascii="Calibri" w:hAnsi="Calibri" w:cs="Times New Roman"/>
                <w:color w:val="000000"/>
                <w:sz w:val="22"/>
                <w:szCs w:val="22"/>
              </w:rPr>
              <w:t>servatory Lab website features i</w:t>
            </w:r>
            <w:r w:rsidRPr="000C369C">
              <w:rPr>
                <w:rFonts w:ascii="Calibri" w:hAnsi="Calibri" w:cs="Times New Roman"/>
                <w:color w:val="000000"/>
                <w:sz w:val="22"/>
                <w:szCs w:val="22"/>
              </w:rPr>
              <w:t xml:space="preserve">nterdisciplinary project and student product descriptions, including bibliographies, videos, and other resources. </w:t>
            </w:r>
          </w:p>
          <w:p w14:paraId="082C8A5B" w14:textId="77777777" w:rsidR="000C369C" w:rsidRDefault="00BB405F" w:rsidP="000C369C">
            <w:pPr>
              <w:rPr>
                <w:rFonts w:ascii="Calibri" w:hAnsi="Calibri" w:cs="Times New Roman"/>
                <w:color w:val="000000"/>
                <w:sz w:val="22"/>
                <w:szCs w:val="22"/>
              </w:rPr>
            </w:pPr>
            <w:hyperlink r:id="rId16" w:history="1">
              <w:r w:rsidR="000C369C" w:rsidRPr="000C369C">
                <w:rPr>
                  <w:rFonts w:ascii="Calibri" w:hAnsi="Calibri" w:cs="Times New Roman"/>
                  <w:color w:val="1155CC"/>
                  <w:sz w:val="22"/>
                  <w:szCs w:val="22"/>
                  <w:u w:val="single"/>
                </w:rPr>
                <w:t>http://www.conservatorylab.org/projects/</w:t>
              </w:r>
            </w:hyperlink>
            <w:r w:rsidR="000C369C" w:rsidRPr="000C369C">
              <w:rPr>
                <w:rFonts w:ascii="Calibri" w:hAnsi="Calibri" w:cs="Times New Roman"/>
                <w:color w:val="000000"/>
                <w:sz w:val="22"/>
                <w:szCs w:val="22"/>
              </w:rPr>
              <w:t xml:space="preserve">. </w:t>
            </w:r>
          </w:p>
          <w:p w14:paraId="082C8A5C" w14:textId="77777777" w:rsidR="007E039E" w:rsidRPr="000C369C" w:rsidRDefault="007E039E" w:rsidP="000C369C">
            <w:pPr>
              <w:rPr>
                <w:rFonts w:ascii="Times New Roman" w:hAnsi="Times New Roman" w:cs="Times New Roman"/>
              </w:rPr>
            </w:pPr>
          </w:p>
        </w:tc>
      </w:tr>
      <w:tr w:rsidR="00472C48" w:rsidRPr="000C369C" w14:paraId="082C8A60" w14:textId="77777777" w:rsidTr="00214C68">
        <w:tc>
          <w:tcPr>
            <w:tcW w:w="21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5E" w14:textId="77777777" w:rsidR="00472C48" w:rsidRPr="000C369C" w:rsidRDefault="00472C48" w:rsidP="000C369C">
            <w:pPr>
              <w:rPr>
                <w:rFonts w:ascii="Calibri" w:hAnsi="Calibri" w:cs="Times New Roman"/>
                <w:b/>
                <w:bCs/>
                <w:color w:val="000000"/>
                <w:sz w:val="22"/>
                <w:szCs w:val="22"/>
              </w:rPr>
            </w:pPr>
          </w:p>
        </w:tc>
        <w:tc>
          <w:tcPr>
            <w:tcW w:w="79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2C8A5F" w14:textId="77777777" w:rsidR="00472C48" w:rsidRPr="000C369C" w:rsidRDefault="00472C48" w:rsidP="000C369C">
            <w:pPr>
              <w:rPr>
                <w:rFonts w:ascii="Calibri" w:hAnsi="Calibri" w:cs="Times New Roman"/>
                <w:color w:val="000000"/>
                <w:sz w:val="22"/>
                <w:szCs w:val="22"/>
              </w:rPr>
            </w:pPr>
          </w:p>
        </w:tc>
      </w:tr>
    </w:tbl>
    <w:p w14:paraId="082C8A61" w14:textId="77777777" w:rsidR="007609E1" w:rsidRDefault="007609E1"/>
    <w:sectPr w:rsidR="007609E1" w:rsidSect="00FA1BF8">
      <w:headerReference w:type="even" r:id="rId17"/>
      <w:headerReference w:type="default" r:id="rId18"/>
      <w:footerReference w:type="even" r:id="rId19"/>
      <w:footerReference w:type="default" r:id="rId20"/>
      <w:headerReference w:type="first" r:id="rId21"/>
      <w:footerReference w:type="first" r:id="rId2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C8A64" w14:textId="77777777" w:rsidR="00764A03" w:rsidRDefault="00764A03" w:rsidP="007E039E">
      <w:r>
        <w:separator/>
      </w:r>
    </w:p>
  </w:endnote>
  <w:endnote w:type="continuationSeparator" w:id="0">
    <w:p w14:paraId="082C8A65" w14:textId="77777777" w:rsidR="00764A03" w:rsidRDefault="00764A03" w:rsidP="007E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8A68" w14:textId="77777777" w:rsidR="00764A03" w:rsidRDefault="00764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8A69" w14:textId="77777777" w:rsidR="00764A03" w:rsidRDefault="00764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8A6B" w14:textId="77777777" w:rsidR="00764A03" w:rsidRDefault="00764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C8A62" w14:textId="77777777" w:rsidR="00764A03" w:rsidRDefault="00764A03" w:rsidP="007E039E">
      <w:r>
        <w:separator/>
      </w:r>
    </w:p>
  </w:footnote>
  <w:footnote w:type="continuationSeparator" w:id="0">
    <w:p w14:paraId="082C8A63" w14:textId="77777777" w:rsidR="00764A03" w:rsidRDefault="00764A03" w:rsidP="007E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8A66" w14:textId="77777777" w:rsidR="00764A03" w:rsidRDefault="00764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8A67" w14:textId="77777777" w:rsidR="00764A03" w:rsidRDefault="00764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8A6A" w14:textId="77777777" w:rsidR="00764A03" w:rsidRDefault="00764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7F3B"/>
    <w:multiLevelType w:val="hybridMultilevel"/>
    <w:tmpl w:val="9F98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830FA"/>
    <w:multiLevelType w:val="hybridMultilevel"/>
    <w:tmpl w:val="67361634"/>
    <w:lvl w:ilvl="0" w:tplc="0409000F">
      <w:start w:val="1"/>
      <w:numFmt w:val="decimal"/>
      <w:lvlText w:val="%1."/>
      <w:lvlJc w:val="left"/>
      <w:pPr>
        <w:ind w:left="420" w:hanging="360"/>
      </w:pPr>
    </w:lvl>
    <w:lvl w:ilvl="1" w:tplc="04090003">
      <w:start w:val="1"/>
      <w:numFmt w:val="decimal"/>
      <w:lvlText w:val="%2."/>
      <w:lvlJc w:val="left"/>
      <w:pPr>
        <w:tabs>
          <w:tab w:val="num" w:pos="1140"/>
        </w:tabs>
        <w:ind w:left="1140" w:hanging="360"/>
      </w:pPr>
    </w:lvl>
    <w:lvl w:ilvl="2" w:tplc="04090005">
      <w:start w:val="1"/>
      <w:numFmt w:val="decimal"/>
      <w:lvlText w:val="%3."/>
      <w:lvlJc w:val="left"/>
      <w:pPr>
        <w:tabs>
          <w:tab w:val="num" w:pos="1860"/>
        </w:tabs>
        <w:ind w:left="1860" w:hanging="360"/>
      </w:pPr>
    </w:lvl>
    <w:lvl w:ilvl="3" w:tplc="04090001">
      <w:start w:val="1"/>
      <w:numFmt w:val="decimal"/>
      <w:lvlText w:val="%4."/>
      <w:lvlJc w:val="left"/>
      <w:pPr>
        <w:tabs>
          <w:tab w:val="num" w:pos="2580"/>
        </w:tabs>
        <w:ind w:left="2580" w:hanging="360"/>
      </w:pPr>
    </w:lvl>
    <w:lvl w:ilvl="4" w:tplc="04090003">
      <w:start w:val="1"/>
      <w:numFmt w:val="decimal"/>
      <w:lvlText w:val="%5."/>
      <w:lvlJc w:val="left"/>
      <w:pPr>
        <w:tabs>
          <w:tab w:val="num" w:pos="3300"/>
        </w:tabs>
        <w:ind w:left="3300" w:hanging="360"/>
      </w:pPr>
    </w:lvl>
    <w:lvl w:ilvl="5" w:tplc="04090005">
      <w:start w:val="1"/>
      <w:numFmt w:val="decimal"/>
      <w:lvlText w:val="%6."/>
      <w:lvlJc w:val="left"/>
      <w:pPr>
        <w:tabs>
          <w:tab w:val="num" w:pos="4020"/>
        </w:tabs>
        <w:ind w:left="4020" w:hanging="360"/>
      </w:pPr>
    </w:lvl>
    <w:lvl w:ilvl="6" w:tplc="04090001">
      <w:start w:val="1"/>
      <w:numFmt w:val="decimal"/>
      <w:lvlText w:val="%7."/>
      <w:lvlJc w:val="left"/>
      <w:pPr>
        <w:tabs>
          <w:tab w:val="num" w:pos="4740"/>
        </w:tabs>
        <w:ind w:left="4740" w:hanging="360"/>
      </w:pPr>
    </w:lvl>
    <w:lvl w:ilvl="7" w:tplc="04090003">
      <w:start w:val="1"/>
      <w:numFmt w:val="decimal"/>
      <w:lvlText w:val="%8."/>
      <w:lvlJc w:val="left"/>
      <w:pPr>
        <w:tabs>
          <w:tab w:val="num" w:pos="5460"/>
        </w:tabs>
        <w:ind w:left="5460" w:hanging="360"/>
      </w:pPr>
    </w:lvl>
    <w:lvl w:ilvl="8" w:tplc="04090005">
      <w:start w:val="1"/>
      <w:numFmt w:val="decimal"/>
      <w:lvlText w:val="%9."/>
      <w:lvlJc w:val="left"/>
      <w:pPr>
        <w:tabs>
          <w:tab w:val="num" w:pos="6180"/>
        </w:tabs>
        <w:ind w:left="61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F8"/>
    <w:rsid w:val="000C369C"/>
    <w:rsid w:val="001813A6"/>
    <w:rsid w:val="00195A4B"/>
    <w:rsid w:val="001B037A"/>
    <w:rsid w:val="00214C68"/>
    <w:rsid w:val="002E778B"/>
    <w:rsid w:val="003270D0"/>
    <w:rsid w:val="004631C2"/>
    <w:rsid w:val="00472C48"/>
    <w:rsid w:val="005A2AEF"/>
    <w:rsid w:val="00621D02"/>
    <w:rsid w:val="00667278"/>
    <w:rsid w:val="006A7736"/>
    <w:rsid w:val="007609E1"/>
    <w:rsid w:val="00764A03"/>
    <w:rsid w:val="007746F0"/>
    <w:rsid w:val="00792432"/>
    <w:rsid w:val="007A4C19"/>
    <w:rsid w:val="007E039E"/>
    <w:rsid w:val="007E53B1"/>
    <w:rsid w:val="00812C67"/>
    <w:rsid w:val="00887901"/>
    <w:rsid w:val="008E436D"/>
    <w:rsid w:val="00902B5A"/>
    <w:rsid w:val="009308AD"/>
    <w:rsid w:val="00940BDC"/>
    <w:rsid w:val="0094707A"/>
    <w:rsid w:val="00A14B92"/>
    <w:rsid w:val="00A214AB"/>
    <w:rsid w:val="00A845EA"/>
    <w:rsid w:val="00A93B9C"/>
    <w:rsid w:val="00AC0676"/>
    <w:rsid w:val="00BB405F"/>
    <w:rsid w:val="00BE2CEA"/>
    <w:rsid w:val="00C20CF4"/>
    <w:rsid w:val="00C55461"/>
    <w:rsid w:val="00D222D9"/>
    <w:rsid w:val="00DC2716"/>
    <w:rsid w:val="00DE6F4B"/>
    <w:rsid w:val="00E9687B"/>
    <w:rsid w:val="00EB49AC"/>
    <w:rsid w:val="00EF6005"/>
    <w:rsid w:val="00F4104E"/>
    <w:rsid w:val="00FA1BF8"/>
    <w:rsid w:val="00FB39BA"/>
    <w:rsid w:val="00FC0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2C8A21"/>
  <w15:docId w15:val="{313C2220-A7DF-4C50-9694-FBC6B9ED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A1BF8"/>
    <w:rPr>
      <w:rFonts w:ascii="Arial" w:hAnsi="Arial" w:cs="Arial"/>
      <w:color w:val="232323"/>
      <w:sz w:val="20"/>
      <w:szCs w:val="20"/>
    </w:rPr>
  </w:style>
  <w:style w:type="paragraph" w:customStyle="1" w:styleId="p2">
    <w:name w:val="p2"/>
    <w:basedOn w:val="Normal"/>
    <w:rsid w:val="00FA1BF8"/>
    <w:rPr>
      <w:rFonts w:ascii="Arial" w:hAnsi="Arial" w:cs="Arial"/>
      <w:color w:val="1255CC"/>
      <w:sz w:val="20"/>
      <w:szCs w:val="20"/>
    </w:rPr>
  </w:style>
  <w:style w:type="character" w:customStyle="1" w:styleId="s2">
    <w:name w:val="s2"/>
    <w:basedOn w:val="DefaultParagraphFont"/>
    <w:rsid w:val="00FA1BF8"/>
    <w:rPr>
      <w:u w:val="single"/>
    </w:rPr>
  </w:style>
  <w:style w:type="character" w:customStyle="1" w:styleId="s1">
    <w:name w:val="s1"/>
    <w:basedOn w:val="DefaultParagraphFont"/>
    <w:rsid w:val="00FA1BF8"/>
  </w:style>
  <w:style w:type="character" w:styleId="Hyperlink">
    <w:name w:val="Hyperlink"/>
    <w:basedOn w:val="DefaultParagraphFont"/>
    <w:uiPriority w:val="99"/>
    <w:unhideWhenUsed/>
    <w:rsid w:val="00FA1BF8"/>
    <w:rPr>
      <w:color w:val="0000FF"/>
      <w:u w:val="single"/>
    </w:rPr>
  </w:style>
  <w:style w:type="paragraph" w:styleId="NormalWeb">
    <w:name w:val="Normal (Web)"/>
    <w:basedOn w:val="Normal"/>
    <w:uiPriority w:val="99"/>
    <w:semiHidden/>
    <w:unhideWhenUsed/>
    <w:rsid w:val="000C369C"/>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A93B9C"/>
    <w:pPr>
      <w:ind w:left="720"/>
      <w:contextualSpacing/>
    </w:pPr>
  </w:style>
  <w:style w:type="paragraph" w:styleId="Header">
    <w:name w:val="header"/>
    <w:basedOn w:val="Normal"/>
    <w:link w:val="HeaderChar"/>
    <w:uiPriority w:val="99"/>
    <w:semiHidden/>
    <w:unhideWhenUsed/>
    <w:rsid w:val="007E039E"/>
    <w:pPr>
      <w:tabs>
        <w:tab w:val="center" w:pos="4680"/>
        <w:tab w:val="right" w:pos="9360"/>
      </w:tabs>
    </w:pPr>
  </w:style>
  <w:style w:type="character" w:customStyle="1" w:styleId="HeaderChar">
    <w:name w:val="Header Char"/>
    <w:basedOn w:val="DefaultParagraphFont"/>
    <w:link w:val="Header"/>
    <w:uiPriority w:val="99"/>
    <w:semiHidden/>
    <w:rsid w:val="007E039E"/>
  </w:style>
  <w:style w:type="paragraph" w:styleId="Footer">
    <w:name w:val="footer"/>
    <w:basedOn w:val="Normal"/>
    <w:link w:val="FooterChar"/>
    <w:uiPriority w:val="99"/>
    <w:semiHidden/>
    <w:unhideWhenUsed/>
    <w:rsid w:val="007E039E"/>
    <w:pPr>
      <w:tabs>
        <w:tab w:val="center" w:pos="4680"/>
        <w:tab w:val="right" w:pos="9360"/>
      </w:tabs>
    </w:pPr>
  </w:style>
  <w:style w:type="character" w:customStyle="1" w:styleId="FooterChar">
    <w:name w:val="Footer Char"/>
    <w:basedOn w:val="DefaultParagraphFont"/>
    <w:link w:val="Footer"/>
    <w:uiPriority w:val="99"/>
    <w:semiHidden/>
    <w:rsid w:val="007E039E"/>
  </w:style>
  <w:style w:type="paragraph" w:styleId="BalloonText">
    <w:name w:val="Balloon Text"/>
    <w:basedOn w:val="Normal"/>
    <w:link w:val="BalloonTextChar"/>
    <w:uiPriority w:val="99"/>
    <w:semiHidden/>
    <w:unhideWhenUsed/>
    <w:rsid w:val="00764A03"/>
    <w:rPr>
      <w:rFonts w:ascii="Tahoma" w:hAnsi="Tahoma" w:cs="Tahoma"/>
      <w:sz w:val="16"/>
      <w:szCs w:val="16"/>
    </w:rPr>
  </w:style>
  <w:style w:type="character" w:customStyle="1" w:styleId="BalloonTextChar">
    <w:name w:val="Balloon Text Char"/>
    <w:basedOn w:val="DefaultParagraphFont"/>
    <w:link w:val="BalloonText"/>
    <w:uiPriority w:val="99"/>
    <w:semiHidden/>
    <w:rsid w:val="00764A03"/>
    <w:rPr>
      <w:rFonts w:ascii="Tahoma" w:hAnsi="Tahoma" w:cs="Tahoma"/>
      <w:sz w:val="16"/>
      <w:szCs w:val="16"/>
    </w:rPr>
  </w:style>
  <w:style w:type="character" w:styleId="FollowedHyperlink">
    <w:name w:val="FollowedHyperlink"/>
    <w:basedOn w:val="DefaultParagraphFont"/>
    <w:uiPriority w:val="99"/>
    <w:semiHidden/>
    <w:unhideWhenUsed/>
    <w:rsid w:val="00EB49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75024">
      <w:bodyDiv w:val="1"/>
      <w:marLeft w:val="0"/>
      <w:marRight w:val="0"/>
      <w:marTop w:val="0"/>
      <w:marBottom w:val="0"/>
      <w:divBdr>
        <w:top w:val="none" w:sz="0" w:space="0" w:color="auto"/>
        <w:left w:val="none" w:sz="0" w:space="0" w:color="auto"/>
        <w:bottom w:val="none" w:sz="0" w:space="0" w:color="auto"/>
        <w:right w:val="none" w:sz="0" w:space="0" w:color="auto"/>
      </w:divBdr>
    </w:div>
    <w:div w:id="1007829906">
      <w:bodyDiv w:val="1"/>
      <w:marLeft w:val="0"/>
      <w:marRight w:val="0"/>
      <w:marTop w:val="0"/>
      <w:marBottom w:val="0"/>
      <w:divBdr>
        <w:top w:val="none" w:sz="0" w:space="0" w:color="auto"/>
        <w:left w:val="none" w:sz="0" w:space="0" w:color="auto"/>
        <w:bottom w:val="none" w:sz="0" w:space="0" w:color="auto"/>
        <w:right w:val="none" w:sz="0" w:space="0" w:color="auto"/>
      </w:divBdr>
    </w:div>
    <w:div w:id="1103842458">
      <w:bodyDiv w:val="1"/>
      <w:marLeft w:val="0"/>
      <w:marRight w:val="0"/>
      <w:marTop w:val="0"/>
      <w:marBottom w:val="0"/>
      <w:divBdr>
        <w:top w:val="none" w:sz="0" w:space="0" w:color="auto"/>
        <w:left w:val="none" w:sz="0" w:space="0" w:color="auto"/>
        <w:bottom w:val="none" w:sz="0" w:space="0" w:color="auto"/>
        <w:right w:val="none" w:sz="0" w:space="0" w:color="auto"/>
      </w:divBdr>
    </w:div>
    <w:div w:id="1155025907">
      <w:bodyDiv w:val="1"/>
      <w:marLeft w:val="0"/>
      <w:marRight w:val="0"/>
      <w:marTop w:val="0"/>
      <w:marBottom w:val="0"/>
      <w:divBdr>
        <w:top w:val="none" w:sz="0" w:space="0" w:color="auto"/>
        <w:left w:val="none" w:sz="0" w:space="0" w:color="auto"/>
        <w:bottom w:val="none" w:sz="0" w:space="0" w:color="auto"/>
        <w:right w:val="none" w:sz="0" w:space="0" w:color="auto"/>
      </w:divBdr>
      <w:divsChild>
        <w:div w:id="1845701381">
          <w:marLeft w:val="0"/>
          <w:marRight w:val="0"/>
          <w:marTop w:val="0"/>
          <w:marBottom w:val="0"/>
          <w:divBdr>
            <w:top w:val="none" w:sz="0" w:space="0" w:color="auto"/>
            <w:left w:val="none" w:sz="0" w:space="0" w:color="auto"/>
            <w:bottom w:val="none" w:sz="0" w:space="0" w:color="auto"/>
            <w:right w:val="none" w:sz="0" w:space="0" w:color="auto"/>
          </w:divBdr>
        </w:div>
        <w:div w:id="401566069">
          <w:marLeft w:val="-115"/>
          <w:marRight w:val="0"/>
          <w:marTop w:val="0"/>
          <w:marBottom w:val="0"/>
          <w:divBdr>
            <w:top w:val="none" w:sz="0" w:space="0" w:color="auto"/>
            <w:left w:val="none" w:sz="0" w:space="0" w:color="auto"/>
            <w:bottom w:val="none" w:sz="0" w:space="0" w:color="auto"/>
            <w:right w:val="none" w:sz="0" w:space="0" w:color="auto"/>
          </w:divBdr>
          <w:divsChild>
            <w:div w:id="2107114593">
              <w:marLeft w:val="0"/>
              <w:marRight w:val="0"/>
              <w:marTop w:val="0"/>
              <w:marBottom w:val="0"/>
              <w:divBdr>
                <w:top w:val="none" w:sz="0" w:space="0" w:color="auto"/>
                <w:left w:val="none" w:sz="0" w:space="0" w:color="auto"/>
                <w:bottom w:val="none" w:sz="0" w:space="0" w:color="auto"/>
                <w:right w:val="none" w:sz="0" w:space="0" w:color="auto"/>
              </w:divBdr>
            </w:div>
            <w:div w:id="496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1662">
      <w:bodyDiv w:val="1"/>
      <w:marLeft w:val="0"/>
      <w:marRight w:val="0"/>
      <w:marTop w:val="0"/>
      <w:marBottom w:val="0"/>
      <w:divBdr>
        <w:top w:val="none" w:sz="0" w:space="0" w:color="auto"/>
        <w:left w:val="none" w:sz="0" w:space="0" w:color="auto"/>
        <w:bottom w:val="none" w:sz="0" w:space="0" w:color="auto"/>
        <w:right w:val="none" w:sz="0" w:space="0" w:color="auto"/>
      </w:divBdr>
      <w:divsChild>
        <w:div w:id="79718690">
          <w:marLeft w:val="0"/>
          <w:marRight w:val="0"/>
          <w:marTop w:val="0"/>
          <w:marBottom w:val="0"/>
          <w:divBdr>
            <w:top w:val="none" w:sz="0" w:space="0" w:color="auto"/>
            <w:left w:val="none" w:sz="0" w:space="0" w:color="auto"/>
            <w:bottom w:val="none" w:sz="0" w:space="0" w:color="auto"/>
            <w:right w:val="none" w:sz="0" w:space="0" w:color="auto"/>
          </w:divBdr>
        </w:div>
        <w:div w:id="1192843273">
          <w:marLeft w:val="-115"/>
          <w:marRight w:val="0"/>
          <w:marTop w:val="0"/>
          <w:marBottom w:val="0"/>
          <w:divBdr>
            <w:top w:val="none" w:sz="0" w:space="0" w:color="auto"/>
            <w:left w:val="none" w:sz="0" w:space="0" w:color="auto"/>
            <w:bottom w:val="none" w:sz="0" w:space="0" w:color="auto"/>
            <w:right w:val="none" w:sz="0" w:space="0" w:color="auto"/>
          </w:divBdr>
          <w:divsChild>
            <w:div w:id="1573659594">
              <w:marLeft w:val="0"/>
              <w:marRight w:val="0"/>
              <w:marTop w:val="0"/>
              <w:marBottom w:val="0"/>
              <w:divBdr>
                <w:top w:val="none" w:sz="0" w:space="0" w:color="auto"/>
                <w:left w:val="none" w:sz="0" w:space="0" w:color="auto"/>
                <w:bottom w:val="none" w:sz="0" w:space="0" w:color="auto"/>
                <w:right w:val="none" w:sz="0" w:space="0" w:color="auto"/>
              </w:divBdr>
            </w:div>
            <w:div w:id="206836427">
              <w:marLeft w:val="0"/>
              <w:marRight w:val="0"/>
              <w:marTop w:val="0"/>
              <w:marBottom w:val="0"/>
              <w:divBdr>
                <w:top w:val="none" w:sz="0" w:space="0" w:color="auto"/>
                <w:left w:val="none" w:sz="0" w:space="0" w:color="auto"/>
                <w:bottom w:val="none" w:sz="0" w:space="0" w:color="auto"/>
                <w:right w:val="none" w:sz="0" w:space="0" w:color="auto"/>
              </w:divBdr>
            </w:div>
          </w:divsChild>
        </w:div>
        <w:div w:id="1731264595">
          <w:marLeft w:val="0"/>
          <w:marRight w:val="0"/>
          <w:marTop w:val="0"/>
          <w:marBottom w:val="200"/>
          <w:divBdr>
            <w:top w:val="none" w:sz="0" w:space="0" w:color="auto"/>
            <w:left w:val="none" w:sz="0" w:space="0" w:color="auto"/>
            <w:bottom w:val="none" w:sz="0" w:space="0" w:color="auto"/>
            <w:right w:val="none" w:sz="0" w:space="0" w:color="auto"/>
          </w:divBdr>
        </w:div>
      </w:divsChild>
    </w:div>
  </w:divs>
  <w:allowPNG/>
  <w:pixelsPerInch w:val="23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e.org/object/document/project_based_learning_a_review_of_the_literature_on_effectivenes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rberkower@conservatorylab.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nservatorylab.org/projec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mack@conservatorylab.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vimeo.com/channels/inspiringexcellen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inyurl.com/snakestori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DESE-231-31648</_dlc_DocId>
    <_dlc_DocIdUrl xmlns="733efe1c-5bbe-4968-87dc-d400e65c879f">
      <Url>https://sharepoint.doemass.org/ese/webteam/cps/_layouts/DocIdRedir.aspx?ID=DESE-231-31648</Url>
      <Description>DESE-231-31648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718C1-D696-4A95-A70C-BD08D16631B9}">
  <ds:schemaRefs>
    <ds:schemaRef ds:uri="http://schemas.microsoft.com/sharepoint/v3/contenttype/forms"/>
  </ds:schemaRefs>
</ds:datastoreItem>
</file>

<file path=customXml/itemProps2.xml><?xml version="1.0" encoding="utf-8"?>
<ds:datastoreItem xmlns:ds="http://schemas.openxmlformats.org/officeDocument/2006/customXml" ds:itemID="{E76F4AAB-1B0B-46E2-A56A-E4C8BFB69F4E}">
  <ds:schemaRefs>
    <ds:schemaRef ds:uri="http://schemas.microsoft.com/sharepoint/events"/>
  </ds:schemaRefs>
</ds:datastoreItem>
</file>

<file path=customXml/itemProps3.xml><?xml version="1.0" encoding="utf-8"?>
<ds:datastoreItem xmlns:ds="http://schemas.openxmlformats.org/officeDocument/2006/customXml" ds:itemID="{8CFD0592-6D66-4536-AAB5-6EA55BFE44AB}">
  <ds:schemaRefs>
    <ds:schemaRef ds:uri="http://purl.org/dc/elements/1.1/"/>
    <ds:schemaRef ds:uri="http://schemas.microsoft.com/office/infopath/2007/PartnerControls"/>
    <ds:schemaRef ds:uri="http://www.w3.org/XML/1998/namespace"/>
    <ds:schemaRef ds:uri="http://purl.org/dc/dcmitype/"/>
    <ds:schemaRef ds:uri="0a4e05da-b9bc-4326-ad73-01ef31b95567"/>
    <ds:schemaRef ds:uri="http://schemas.openxmlformats.org/package/2006/metadata/core-properties"/>
    <ds:schemaRef ds:uri="http://schemas.microsoft.com/office/2006/documentManagement/types"/>
    <ds:schemaRef ds:uri="http://purl.org/dc/terms/"/>
    <ds:schemaRef ds:uri="733efe1c-5bbe-4968-87dc-d400e65c879f"/>
    <ds:schemaRef ds:uri="http://schemas.microsoft.com/office/2006/metadata/properties"/>
  </ds:schemaRefs>
</ds:datastoreItem>
</file>

<file path=customXml/itemProps4.xml><?xml version="1.0" encoding="utf-8"?>
<ds:datastoreItem xmlns:ds="http://schemas.openxmlformats.org/officeDocument/2006/customXml" ds:itemID="{E992071F-1BF5-4939-A26D-FF686675B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Charter School Dissemination Profiles: Conservatory Lab Charter School</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Dissemination Profiles: Conservatory Lab Charter School</dc:title>
  <dc:subject/>
  <dc:creator>DESE</dc:creator>
  <cp:lastModifiedBy>Zou, Dong (EOE)</cp:lastModifiedBy>
  <cp:revision>3</cp:revision>
  <dcterms:created xsi:type="dcterms:W3CDTF">2017-03-24T03:03:00Z</dcterms:created>
  <dcterms:modified xsi:type="dcterms:W3CDTF">2018-11-27T22:17:00Z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metadate">
    <vt:lpwstr>Mar 23 2017</vt:lpwstr>
  </property>
</Properties>
</file>