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78"/>
      </w:tblGrid>
      <w:tr w:rsidR="0079594E" w14:paraId="2DACC660" w14:textId="77777777" w:rsidTr="00B764C1">
        <w:trPr>
          <w:trHeight w:val="980"/>
        </w:trPr>
        <w:tc>
          <w:tcPr>
            <w:tcW w:w="10878" w:type="dxa"/>
            <w:shd w:val="clear" w:color="auto" w:fill="000000" w:themeFill="text1"/>
            <w:vAlign w:val="center"/>
          </w:tcPr>
          <w:p w14:paraId="2DACC65D" w14:textId="77777777" w:rsidR="00501436" w:rsidRPr="006E7028" w:rsidRDefault="00501436" w:rsidP="0079594E">
            <w:pPr>
              <w:jc w:val="center"/>
              <w:rPr>
                <w:b/>
                <w:color w:val="FF0000"/>
                <w:sz w:val="32"/>
              </w:rPr>
            </w:pPr>
            <w:r w:rsidRPr="006E7028">
              <w:rPr>
                <w:b/>
                <w:color w:val="FF0000"/>
                <w:sz w:val="32"/>
              </w:rPr>
              <w:t>[School Name]</w:t>
            </w:r>
          </w:p>
          <w:p w14:paraId="2DACC65E" w14:textId="77777777" w:rsidR="0079594E" w:rsidRPr="0079594E" w:rsidRDefault="0079594E" w:rsidP="0079594E">
            <w:pPr>
              <w:jc w:val="center"/>
              <w:rPr>
                <w:b/>
                <w:sz w:val="32"/>
              </w:rPr>
            </w:pPr>
            <w:r w:rsidRPr="0079594E">
              <w:rPr>
                <w:b/>
                <w:sz w:val="32"/>
              </w:rPr>
              <w:t>Board of Trustees Bylaws Checklist</w:t>
            </w:r>
          </w:p>
          <w:p w14:paraId="2DACC65F" w14:textId="77777777" w:rsidR="0079594E" w:rsidRDefault="0079594E" w:rsidP="0079594E">
            <w:pPr>
              <w:jc w:val="center"/>
            </w:pPr>
            <w:r w:rsidRPr="0079594E">
              <w:rPr>
                <w:sz w:val="28"/>
              </w:rPr>
              <w:t>Fall 2014</w:t>
            </w:r>
          </w:p>
        </w:tc>
      </w:tr>
    </w:tbl>
    <w:p w14:paraId="2DACC661" w14:textId="77777777" w:rsidR="0079594E" w:rsidRDefault="0079594E"/>
    <w:p w14:paraId="2DACC662" w14:textId="77777777" w:rsidR="00B4144D" w:rsidRPr="00BC70BA" w:rsidRDefault="00B4144D" w:rsidP="00B4144D">
      <w:pPr>
        <w:jc w:val="center"/>
      </w:pPr>
      <w:r w:rsidRPr="00B4144D">
        <w:rPr>
          <w:sz w:val="22"/>
          <w:szCs w:val="22"/>
        </w:rPr>
        <w:t>The bylaws of every board of trustees must comply with state and federal laws and contain certain provisions. Please use the following checklist to guide the creation of your charter school bylaws</w:t>
      </w:r>
      <w:r w:rsidRPr="00BC70BA">
        <w:t>.</w:t>
      </w:r>
    </w:p>
    <w:p w14:paraId="2DACC663" w14:textId="77777777" w:rsidR="001A7210" w:rsidRPr="00E22EED" w:rsidRDefault="001A7210" w:rsidP="001A7210">
      <w:pPr>
        <w:rPr>
          <w:b/>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DD9C3" w:themeFill="background2" w:themeFillShade="E6"/>
        <w:tblLook w:val="04A0" w:firstRow="1" w:lastRow="0" w:firstColumn="1" w:lastColumn="0" w:noHBand="0" w:noVBand="1"/>
      </w:tblPr>
      <w:tblGrid>
        <w:gridCol w:w="8991"/>
        <w:gridCol w:w="1739"/>
      </w:tblGrid>
      <w:tr w:rsidR="0079594E" w:rsidRPr="0079594E" w14:paraId="2DACC667" w14:textId="77777777" w:rsidTr="00E22EED">
        <w:trPr>
          <w:trHeight w:val="766"/>
          <w:jc w:val="center"/>
        </w:trPr>
        <w:tc>
          <w:tcPr>
            <w:tcW w:w="8991" w:type="dxa"/>
            <w:shd w:val="clear" w:color="auto" w:fill="DDD9C3" w:themeFill="background2" w:themeFillShade="E6"/>
            <w:vAlign w:val="center"/>
          </w:tcPr>
          <w:p w14:paraId="2DACC664" w14:textId="77777777" w:rsidR="0079594E" w:rsidRPr="0079594E" w:rsidRDefault="000F2BBA" w:rsidP="000F2BBA">
            <w:pPr>
              <w:jc w:val="center"/>
              <w:rPr>
                <w:b/>
              </w:rPr>
            </w:pPr>
            <w:r>
              <w:rPr>
                <w:b/>
              </w:rPr>
              <w:t>The Bylaws must:</w:t>
            </w:r>
          </w:p>
        </w:tc>
        <w:tc>
          <w:tcPr>
            <w:tcW w:w="1739" w:type="dxa"/>
            <w:shd w:val="clear" w:color="auto" w:fill="DDD9C3" w:themeFill="background2" w:themeFillShade="E6"/>
            <w:vAlign w:val="center"/>
          </w:tcPr>
          <w:p w14:paraId="2DACC665" w14:textId="77777777" w:rsidR="0079594E" w:rsidRPr="00B764C1" w:rsidRDefault="0079594E" w:rsidP="0079594E">
            <w:pPr>
              <w:jc w:val="center"/>
              <w:rPr>
                <w:b/>
                <w:sz w:val="22"/>
              </w:rPr>
            </w:pPr>
            <w:r w:rsidRPr="00B764C1">
              <w:rPr>
                <w:b/>
                <w:sz w:val="22"/>
              </w:rPr>
              <w:t>Location in Bylaws</w:t>
            </w:r>
          </w:p>
          <w:p w14:paraId="2DACC666" w14:textId="77777777" w:rsidR="0079594E" w:rsidRPr="0079594E" w:rsidRDefault="0079594E" w:rsidP="0079594E">
            <w:pPr>
              <w:jc w:val="center"/>
              <w:rPr>
                <w:b/>
              </w:rPr>
            </w:pPr>
            <w:r w:rsidRPr="00B764C1">
              <w:rPr>
                <w:b/>
                <w:sz w:val="16"/>
              </w:rPr>
              <w:t>(page and section number)</w:t>
            </w:r>
          </w:p>
        </w:tc>
      </w:tr>
      <w:tr w:rsidR="0079594E" w:rsidRPr="004673EB" w14:paraId="2DACC66B" w14:textId="77777777" w:rsidTr="00E22EED">
        <w:trPr>
          <w:trHeight w:val="706"/>
          <w:jc w:val="center"/>
        </w:trPr>
        <w:tc>
          <w:tcPr>
            <w:tcW w:w="8991" w:type="dxa"/>
            <w:shd w:val="clear" w:color="auto" w:fill="auto"/>
            <w:vAlign w:val="center"/>
          </w:tcPr>
          <w:p w14:paraId="2DACC668" w14:textId="77777777" w:rsidR="0079594E" w:rsidRPr="004673EB" w:rsidRDefault="0079594E" w:rsidP="0079594E">
            <w:pPr>
              <w:numPr>
                <w:ilvl w:val="0"/>
                <w:numId w:val="5"/>
              </w:numPr>
              <w:rPr>
                <w:bCs/>
                <w:sz w:val="22"/>
              </w:rPr>
            </w:pPr>
            <w:r w:rsidRPr="004673EB">
              <w:rPr>
                <w:bCs/>
                <w:sz w:val="22"/>
              </w:rPr>
              <w:t>State the name and purpose of the school and that the school is a public school.</w:t>
            </w:r>
            <w:r w:rsidR="000F2BBA">
              <w:rPr>
                <w:bCs/>
                <w:sz w:val="22"/>
              </w:rPr>
              <w:t xml:space="preserve"> The name of the school must include the words </w:t>
            </w:r>
            <w:r w:rsidR="001F78E3">
              <w:rPr>
                <w:bCs/>
                <w:sz w:val="22"/>
              </w:rPr>
              <w:t>“</w:t>
            </w:r>
            <w:r w:rsidR="000F2BBA">
              <w:rPr>
                <w:bCs/>
                <w:sz w:val="22"/>
              </w:rPr>
              <w:t>charter school</w:t>
            </w:r>
            <w:r w:rsidR="001F78E3">
              <w:rPr>
                <w:bCs/>
                <w:sz w:val="22"/>
              </w:rPr>
              <w:t>”</w:t>
            </w:r>
            <w:r w:rsidR="000F2BBA">
              <w:rPr>
                <w:bCs/>
                <w:sz w:val="22"/>
              </w:rPr>
              <w:t>.</w:t>
            </w:r>
          </w:p>
          <w:p w14:paraId="2DACC669" w14:textId="07C3F3EE" w:rsidR="00155AAB" w:rsidRDefault="0079594E" w:rsidP="005E7C7A">
            <w:pPr>
              <w:ind w:left="363"/>
              <w:rPr>
                <w:sz w:val="22"/>
              </w:rPr>
            </w:pPr>
            <w:r w:rsidRPr="004673EB">
              <w:rPr>
                <w:color w:val="632423" w:themeColor="accent2" w:themeShade="80"/>
                <w:sz w:val="22"/>
              </w:rPr>
              <w:t>Citation</w:t>
            </w:r>
            <w:r w:rsidRPr="004673EB">
              <w:rPr>
                <w:sz w:val="22"/>
              </w:rPr>
              <w:t xml:space="preserve">: </w:t>
            </w:r>
            <w:r w:rsidRPr="004673EB">
              <w:rPr>
                <w:bCs/>
                <w:sz w:val="22"/>
              </w:rPr>
              <w:t>G</w:t>
            </w:r>
            <w:bookmarkStart w:id="0" w:name="_GoBack"/>
            <w:bookmarkEnd w:id="0"/>
            <w:r w:rsidRPr="004673EB">
              <w:rPr>
                <w:bCs/>
                <w:sz w:val="22"/>
              </w:rPr>
              <w:t>.L.</w:t>
            </w:r>
            <w:r w:rsidRPr="004673EB" w:rsidDel="00143F0B">
              <w:rPr>
                <w:bCs/>
                <w:sz w:val="22"/>
              </w:rPr>
              <w:t xml:space="preserve"> </w:t>
            </w:r>
            <w:r w:rsidR="001F78E3">
              <w:rPr>
                <w:bCs/>
                <w:sz w:val="22"/>
              </w:rPr>
              <w:t>c.</w:t>
            </w:r>
            <w:r w:rsidR="001F78E3" w:rsidRPr="004673EB">
              <w:rPr>
                <w:bCs/>
                <w:sz w:val="22"/>
              </w:rPr>
              <w:t xml:space="preserve"> </w:t>
            </w:r>
            <w:r w:rsidRPr="004673EB">
              <w:rPr>
                <w:bCs/>
                <w:sz w:val="22"/>
              </w:rPr>
              <w:t xml:space="preserve">71, </w:t>
            </w:r>
            <w:r w:rsidR="001F78E3">
              <w:rPr>
                <w:bCs/>
                <w:sz w:val="22"/>
              </w:rPr>
              <w:t xml:space="preserve">§ </w:t>
            </w:r>
            <w:r w:rsidRPr="004673EB">
              <w:rPr>
                <w:bCs/>
                <w:sz w:val="22"/>
              </w:rPr>
              <w:t>89(c)</w:t>
            </w:r>
            <w:r w:rsidR="001F78E3">
              <w:rPr>
                <w:bCs/>
                <w:sz w:val="22"/>
              </w:rPr>
              <w:t xml:space="preserve"> and 89</w:t>
            </w:r>
            <w:r w:rsidR="000F2BBA">
              <w:rPr>
                <w:bCs/>
                <w:sz w:val="22"/>
              </w:rPr>
              <w:t>(k</w:t>
            </w:r>
            <w:r w:rsidR="001F78E3">
              <w:rPr>
                <w:bCs/>
                <w:sz w:val="22"/>
              </w:rPr>
              <w:t>)(</w:t>
            </w:r>
            <w:r w:rsidR="000F2BBA">
              <w:rPr>
                <w:bCs/>
                <w:sz w:val="22"/>
              </w:rPr>
              <w:t>1)</w:t>
            </w:r>
          </w:p>
        </w:tc>
        <w:tc>
          <w:tcPr>
            <w:tcW w:w="1739" w:type="dxa"/>
            <w:shd w:val="clear" w:color="auto" w:fill="auto"/>
            <w:vAlign w:val="center"/>
          </w:tcPr>
          <w:p w14:paraId="2DACC66A" w14:textId="77777777" w:rsidR="0079594E" w:rsidRPr="004673EB" w:rsidRDefault="0079594E" w:rsidP="0079594E">
            <w:pPr>
              <w:jc w:val="center"/>
              <w:rPr>
                <w:b/>
                <w:sz w:val="22"/>
              </w:rPr>
            </w:pPr>
          </w:p>
        </w:tc>
      </w:tr>
      <w:tr w:rsidR="0079594E" w:rsidRPr="004673EB" w14:paraId="2DACC66E" w14:textId="77777777" w:rsidTr="00E22EED">
        <w:trPr>
          <w:trHeight w:val="706"/>
          <w:jc w:val="center"/>
        </w:trPr>
        <w:tc>
          <w:tcPr>
            <w:tcW w:w="8991" w:type="dxa"/>
            <w:shd w:val="clear" w:color="auto" w:fill="auto"/>
            <w:vAlign w:val="center"/>
          </w:tcPr>
          <w:p w14:paraId="2DACC66C" w14:textId="77777777" w:rsidR="0079594E" w:rsidRPr="004673EB" w:rsidRDefault="008C1814" w:rsidP="001F78E3">
            <w:pPr>
              <w:numPr>
                <w:ilvl w:val="0"/>
                <w:numId w:val="5"/>
              </w:numPr>
              <w:rPr>
                <w:sz w:val="22"/>
              </w:rPr>
            </w:pPr>
            <w:r>
              <w:rPr>
                <w:sz w:val="22"/>
                <w:szCs w:val="22"/>
              </w:rPr>
              <w:t>Specify</w:t>
            </w:r>
            <w:r w:rsidRPr="00B4144D">
              <w:rPr>
                <w:sz w:val="22"/>
                <w:szCs w:val="22"/>
              </w:rPr>
              <w:t xml:space="preserve"> </w:t>
            </w:r>
            <w:r w:rsidR="0079594E" w:rsidRPr="004673EB">
              <w:rPr>
                <w:sz w:val="22"/>
              </w:rPr>
              <w:t xml:space="preserve">that the board of trustees </w:t>
            </w:r>
            <w:r w:rsidR="00CE4EAF">
              <w:rPr>
                <w:sz w:val="22"/>
              </w:rPr>
              <w:t>hold</w:t>
            </w:r>
            <w:r w:rsidR="001F78E3">
              <w:rPr>
                <w:sz w:val="22"/>
              </w:rPr>
              <w:t>s</w:t>
            </w:r>
            <w:r w:rsidR="0079594E" w:rsidRPr="004673EB">
              <w:rPr>
                <w:sz w:val="22"/>
              </w:rPr>
              <w:t xml:space="preserve"> the charter granted by the Commonwealth of Massachusetts.</w:t>
            </w:r>
            <w:r w:rsidR="0079594E" w:rsidRPr="004673EB">
              <w:rPr>
                <w:sz w:val="22"/>
              </w:rPr>
              <w:br/>
            </w:r>
            <w:r w:rsidR="0079594E" w:rsidRPr="004673EB">
              <w:rPr>
                <w:color w:val="632423" w:themeColor="accent2" w:themeShade="80"/>
                <w:sz w:val="22"/>
              </w:rPr>
              <w:t>Citation</w:t>
            </w:r>
            <w:r w:rsidR="0079594E" w:rsidRPr="004673EB">
              <w:rPr>
                <w:sz w:val="22"/>
              </w:rPr>
              <w:t xml:space="preserve">: </w:t>
            </w:r>
            <w:r w:rsidR="0079594E" w:rsidRPr="004673EB">
              <w:rPr>
                <w:bCs/>
                <w:sz w:val="22"/>
              </w:rPr>
              <w:t>G.L.</w:t>
            </w:r>
            <w:r w:rsidR="0079594E" w:rsidRPr="004673EB" w:rsidDel="00143F0B">
              <w:rPr>
                <w:bCs/>
                <w:sz w:val="22"/>
              </w:rPr>
              <w:t xml:space="preserve"> </w:t>
            </w:r>
            <w:r w:rsidR="001F78E3">
              <w:rPr>
                <w:bCs/>
                <w:sz w:val="22"/>
              </w:rPr>
              <w:t xml:space="preserve">c. </w:t>
            </w:r>
            <w:r w:rsidR="00CE4EAF">
              <w:rPr>
                <w:bCs/>
                <w:sz w:val="22"/>
              </w:rPr>
              <w:t xml:space="preserve">71, </w:t>
            </w:r>
            <w:r w:rsidR="001F78E3">
              <w:rPr>
                <w:bCs/>
                <w:sz w:val="22"/>
              </w:rPr>
              <w:t xml:space="preserve">§ </w:t>
            </w:r>
            <w:r w:rsidR="0079594E" w:rsidRPr="004673EB">
              <w:rPr>
                <w:bCs/>
                <w:sz w:val="22"/>
              </w:rPr>
              <w:t>89(c)</w:t>
            </w:r>
          </w:p>
        </w:tc>
        <w:tc>
          <w:tcPr>
            <w:tcW w:w="1739" w:type="dxa"/>
            <w:shd w:val="clear" w:color="auto" w:fill="auto"/>
            <w:vAlign w:val="center"/>
          </w:tcPr>
          <w:p w14:paraId="2DACC66D" w14:textId="77777777" w:rsidR="0079594E" w:rsidRPr="004673EB" w:rsidRDefault="0079594E" w:rsidP="0079594E">
            <w:pPr>
              <w:jc w:val="center"/>
              <w:rPr>
                <w:b/>
                <w:sz w:val="22"/>
              </w:rPr>
            </w:pPr>
          </w:p>
        </w:tc>
      </w:tr>
      <w:tr w:rsidR="00BA0E80" w:rsidRPr="004673EB" w14:paraId="2DACC671" w14:textId="77777777" w:rsidTr="00E22EED">
        <w:trPr>
          <w:trHeight w:val="706"/>
          <w:jc w:val="center"/>
        </w:trPr>
        <w:tc>
          <w:tcPr>
            <w:tcW w:w="8991" w:type="dxa"/>
            <w:shd w:val="clear" w:color="auto" w:fill="auto"/>
            <w:vAlign w:val="center"/>
          </w:tcPr>
          <w:p w14:paraId="2DACC66F" w14:textId="77777777" w:rsidR="00BA0E80" w:rsidRDefault="00BA0E80">
            <w:pPr>
              <w:numPr>
                <w:ilvl w:val="0"/>
                <w:numId w:val="5"/>
              </w:numPr>
              <w:rPr>
                <w:sz w:val="22"/>
                <w:szCs w:val="22"/>
              </w:rPr>
            </w:pPr>
            <w:r w:rsidRPr="00283CF7">
              <w:rPr>
                <w:sz w:val="22"/>
              </w:rPr>
              <w:t>Specify that the school’s fiscal year begins on July 1 and ends on June 30 of the following calendar year.</w:t>
            </w:r>
          </w:p>
        </w:tc>
        <w:tc>
          <w:tcPr>
            <w:tcW w:w="1739" w:type="dxa"/>
            <w:shd w:val="clear" w:color="auto" w:fill="auto"/>
            <w:vAlign w:val="center"/>
          </w:tcPr>
          <w:p w14:paraId="2DACC670" w14:textId="77777777" w:rsidR="00BA0E80" w:rsidRPr="004673EB" w:rsidRDefault="00BA0E80" w:rsidP="0079594E">
            <w:pPr>
              <w:jc w:val="center"/>
              <w:rPr>
                <w:b/>
                <w:sz w:val="22"/>
              </w:rPr>
            </w:pPr>
          </w:p>
        </w:tc>
      </w:tr>
      <w:tr w:rsidR="0079594E" w:rsidRPr="004673EB" w14:paraId="2DACC674" w14:textId="77777777" w:rsidTr="00E22EED">
        <w:trPr>
          <w:trHeight w:val="706"/>
          <w:jc w:val="center"/>
        </w:trPr>
        <w:tc>
          <w:tcPr>
            <w:tcW w:w="8991" w:type="dxa"/>
            <w:shd w:val="clear" w:color="auto" w:fill="auto"/>
            <w:vAlign w:val="center"/>
          </w:tcPr>
          <w:p w14:paraId="2DACC672" w14:textId="77777777" w:rsidR="00155AAB" w:rsidRDefault="008C1814">
            <w:pPr>
              <w:numPr>
                <w:ilvl w:val="0"/>
                <w:numId w:val="5"/>
              </w:numPr>
              <w:rPr>
                <w:sz w:val="22"/>
              </w:rPr>
            </w:pPr>
            <w:r>
              <w:rPr>
                <w:sz w:val="22"/>
                <w:szCs w:val="22"/>
              </w:rPr>
              <w:t>Specify</w:t>
            </w:r>
            <w:r w:rsidRPr="00B4144D">
              <w:rPr>
                <w:sz w:val="22"/>
                <w:szCs w:val="22"/>
              </w:rPr>
              <w:t xml:space="preserve"> </w:t>
            </w:r>
            <w:r w:rsidR="0079594E" w:rsidRPr="004673EB">
              <w:rPr>
                <w:sz w:val="22"/>
              </w:rPr>
              <w:t>that the board of trustees of a charter school is a public entity, which operates independently of a</w:t>
            </w:r>
            <w:r w:rsidR="00352740">
              <w:rPr>
                <w:sz w:val="22"/>
              </w:rPr>
              <w:t>ny</w:t>
            </w:r>
            <w:r w:rsidR="0079594E" w:rsidRPr="004673EB">
              <w:rPr>
                <w:sz w:val="22"/>
              </w:rPr>
              <w:t xml:space="preserve"> school committee.</w:t>
            </w:r>
            <w:r w:rsidR="0079594E" w:rsidRPr="004673EB">
              <w:rPr>
                <w:sz w:val="22"/>
              </w:rPr>
              <w:br/>
            </w:r>
            <w:r w:rsidR="0079594E" w:rsidRPr="004673EB">
              <w:rPr>
                <w:color w:val="632423" w:themeColor="accent2" w:themeShade="80"/>
                <w:sz w:val="22"/>
              </w:rPr>
              <w:t>Citation</w:t>
            </w:r>
            <w:r w:rsidR="0079594E" w:rsidRPr="004673EB">
              <w:rPr>
                <w:sz w:val="22"/>
              </w:rPr>
              <w:t>:</w:t>
            </w:r>
            <w:r w:rsidR="00352740">
              <w:rPr>
                <w:sz w:val="22"/>
              </w:rPr>
              <w:t xml:space="preserve"> </w:t>
            </w:r>
            <w:r w:rsidR="0079594E" w:rsidRPr="004673EB">
              <w:rPr>
                <w:bCs/>
                <w:sz w:val="22"/>
              </w:rPr>
              <w:t>G.L.</w:t>
            </w:r>
            <w:r w:rsidR="0079594E" w:rsidRPr="004673EB" w:rsidDel="00143F0B">
              <w:rPr>
                <w:bCs/>
                <w:sz w:val="22"/>
              </w:rPr>
              <w:t xml:space="preserve"> </w:t>
            </w:r>
            <w:r w:rsidR="00352740">
              <w:rPr>
                <w:bCs/>
                <w:sz w:val="22"/>
              </w:rPr>
              <w:t>c.</w:t>
            </w:r>
            <w:r w:rsidR="00352740" w:rsidRPr="004673EB">
              <w:rPr>
                <w:bCs/>
                <w:sz w:val="22"/>
              </w:rPr>
              <w:t xml:space="preserve"> </w:t>
            </w:r>
            <w:r w:rsidR="0079594E" w:rsidRPr="004673EB">
              <w:rPr>
                <w:bCs/>
                <w:sz w:val="22"/>
              </w:rPr>
              <w:t xml:space="preserve">71, </w:t>
            </w:r>
            <w:r w:rsidR="00352740">
              <w:rPr>
                <w:bCs/>
                <w:sz w:val="22"/>
              </w:rPr>
              <w:t xml:space="preserve">§ </w:t>
            </w:r>
            <w:r w:rsidR="0079594E" w:rsidRPr="004673EB">
              <w:rPr>
                <w:bCs/>
                <w:sz w:val="22"/>
              </w:rPr>
              <w:t>89(c)</w:t>
            </w:r>
          </w:p>
        </w:tc>
        <w:tc>
          <w:tcPr>
            <w:tcW w:w="1739" w:type="dxa"/>
            <w:shd w:val="clear" w:color="auto" w:fill="auto"/>
            <w:vAlign w:val="center"/>
          </w:tcPr>
          <w:p w14:paraId="2DACC673" w14:textId="77777777" w:rsidR="0079594E" w:rsidRPr="004673EB" w:rsidRDefault="0079594E" w:rsidP="0079594E">
            <w:pPr>
              <w:jc w:val="center"/>
              <w:rPr>
                <w:b/>
                <w:sz w:val="22"/>
              </w:rPr>
            </w:pPr>
          </w:p>
        </w:tc>
      </w:tr>
      <w:tr w:rsidR="0079594E" w:rsidRPr="004673EB" w14:paraId="2DACC677" w14:textId="77777777" w:rsidTr="00E22EED">
        <w:trPr>
          <w:trHeight w:val="706"/>
          <w:jc w:val="center"/>
        </w:trPr>
        <w:tc>
          <w:tcPr>
            <w:tcW w:w="8991" w:type="dxa"/>
            <w:shd w:val="clear" w:color="auto" w:fill="auto"/>
            <w:vAlign w:val="center"/>
          </w:tcPr>
          <w:p w14:paraId="2DACC675" w14:textId="77777777" w:rsidR="00155AAB" w:rsidRDefault="008C1814" w:rsidP="009347D5">
            <w:pPr>
              <w:numPr>
                <w:ilvl w:val="0"/>
                <w:numId w:val="5"/>
              </w:numPr>
              <w:rPr>
                <w:sz w:val="22"/>
              </w:rPr>
            </w:pPr>
            <w:r>
              <w:rPr>
                <w:sz w:val="22"/>
                <w:szCs w:val="22"/>
              </w:rPr>
              <w:t>Specify</w:t>
            </w:r>
            <w:r w:rsidRPr="00B4144D">
              <w:rPr>
                <w:sz w:val="22"/>
                <w:szCs w:val="22"/>
              </w:rPr>
              <w:t xml:space="preserve"> </w:t>
            </w:r>
            <w:r w:rsidR="0079594E" w:rsidRPr="004673EB">
              <w:rPr>
                <w:sz w:val="22"/>
              </w:rPr>
              <w:t>that individual board members are considered special state employees.</w:t>
            </w:r>
            <w:r w:rsidR="0079594E" w:rsidRPr="004673EB">
              <w:rPr>
                <w:sz w:val="22"/>
              </w:rPr>
              <w:br/>
            </w:r>
            <w:r w:rsidR="0079594E" w:rsidRPr="004673EB">
              <w:rPr>
                <w:color w:val="632423" w:themeColor="accent2" w:themeShade="80"/>
                <w:sz w:val="22"/>
              </w:rPr>
              <w:t>Citation</w:t>
            </w:r>
            <w:r w:rsidR="0079594E" w:rsidRPr="004673EB">
              <w:rPr>
                <w:sz w:val="22"/>
              </w:rPr>
              <w:t>:</w:t>
            </w:r>
            <w:r w:rsidR="00352740">
              <w:rPr>
                <w:sz w:val="22"/>
              </w:rPr>
              <w:t xml:space="preserve"> </w:t>
            </w:r>
            <w:r w:rsidR="0079594E" w:rsidRPr="004673EB">
              <w:rPr>
                <w:sz w:val="22"/>
              </w:rPr>
              <w:t xml:space="preserve">G.L. </w:t>
            </w:r>
            <w:r w:rsidR="00352740">
              <w:rPr>
                <w:sz w:val="22"/>
              </w:rPr>
              <w:t>c.</w:t>
            </w:r>
            <w:r w:rsidR="00352740" w:rsidRPr="004673EB">
              <w:rPr>
                <w:sz w:val="22"/>
              </w:rPr>
              <w:t xml:space="preserve"> </w:t>
            </w:r>
            <w:r w:rsidR="0079594E" w:rsidRPr="004673EB">
              <w:rPr>
                <w:sz w:val="22"/>
              </w:rPr>
              <w:t xml:space="preserve">71, </w:t>
            </w:r>
            <w:r w:rsidR="00352740">
              <w:rPr>
                <w:sz w:val="22"/>
              </w:rPr>
              <w:t xml:space="preserve">§ </w:t>
            </w:r>
            <w:r w:rsidR="0079594E" w:rsidRPr="004673EB">
              <w:rPr>
                <w:sz w:val="22"/>
              </w:rPr>
              <w:t>89(c)</w:t>
            </w:r>
          </w:p>
        </w:tc>
        <w:tc>
          <w:tcPr>
            <w:tcW w:w="1739" w:type="dxa"/>
            <w:shd w:val="clear" w:color="auto" w:fill="auto"/>
            <w:vAlign w:val="center"/>
          </w:tcPr>
          <w:p w14:paraId="2DACC676" w14:textId="77777777" w:rsidR="0079594E" w:rsidRPr="004673EB" w:rsidRDefault="0079594E" w:rsidP="0079594E">
            <w:pPr>
              <w:jc w:val="center"/>
              <w:rPr>
                <w:b/>
                <w:sz w:val="22"/>
              </w:rPr>
            </w:pPr>
          </w:p>
        </w:tc>
      </w:tr>
      <w:tr w:rsidR="00256E98" w:rsidRPr="004673EB" w14:paraId="2DACC67A" w14:textId="77777777" w:rsidTr="00E22EED">
        <w:trPr>
          <w:trHeight w:val="706"/>
          <w:jc w:val="center"/>
        </w:trPr>
        <w:tc>
          <w:tcPr>
            <w:tcW w:w="8991" w:type="dxa"/>
            <w:shd w:val="clear" w:color="auto" w:fill="auto"/>
            <w:vAlign w:val="center"/>
          </w:tcPr>
          <w:p w14:paraId="2DACC678" w14:textId="77777777" w:rsidR="00256E98" w:rsidRDefault="00256E98" w:rsidP="009347D5">
            <w:pPr>
              <w:numPr>
                <w:ilvl w:val="0"/>
                <w:numId w:val="5"/>
              </w:numPr>
              <w:rPr>
                <w:sz w:val="22"/>
                <w:szCs w:val="22"/>
              </w:rPr>
            </w:pPr>
            <w:r>
              <w:rPr>
                <w:sz w:val="22"/>
                <w:szCs w:val="22"/>
              </w:rPr>
              <w:t>Specify</w:t>
            </w:r>
            <w:r w:rsidRPr="00B4144D">
              <w:rPr>
                <w:sz w:val="22"/>
                <w:szCs w:val="22"/>
              </w:rPr>
              <w:t xml:space="preserve"> </w:t>
            </w:r>
            <w:r w:rsidRPr="00A0769E">
              <w:rPr>
                <w:sz w:val="22"/>
                <w:szCs w:val="22"/>
              </w:rPr>
              <w:t xml:space="preserve">that members of the board of trustees </w:t>
            </w:r>
            <w:r>
              <w:rPr>
                <w:sz w:val="22"/>
                <w:szCs w:val="22"/>
              </w:rPr>
              <w:t xml:space="preserve">will comply </w:t>
            </w:r>
            <w:r w:rsidRPr="00A0769E">
              <w:rPr>
                <w:sz w:val="22"/>
                <w:szCs w:val="22"/>
              </w:rPr>
              <w:t>with the Commonwealth's state ethics requirements including</w:t>
            </w:r>
            <w:r>
              <w:rPr>
                <w:sz w:val="22"/>
                <w:szCs w:val="22"/>
              </w:rPr>
              <w:t>, but not limited to,</w:t>
            </w:r>
            <w:r w:rsidRPr="00A0769E">
              <w:rPr>
                <w:sz w:val="22"/>
                <w:szCs w:val="22"/>
              </w:rPr>
              <w:t xml:space="preserve"> meeting all training requirements</w:t>
            </w:r>
            <w:r>
              <w:rPr>
                <w:sz w:val="22"/>
                <w:szCs w:val="22"/>
              </w:rPr>
              <w:t>;</w:t>
            </w:r>
            <w:r w:rsidRPr="00A0769E">
              <w:rPr>
                <w:sz w:val="22"/>
                <w:szCs w:val="22"/>
              </w:rPr>
              <w:t xml:space="preserve"> </w:t>
            </w:r>
            <w:r>
              <w:rPr>
                <w:sz w:val="22"/>
                <w:szCs w:val="22"/>
              </w:rPr>
              <w:t xml:space="preserve">complying with G.L. c. 268A, the conflict of interest law; </w:t>
            </w:r>
            <w:r w:rsidRPr="00A0769E">
              <w:rPr>
                <w:sz w:val="22"/>
                <w:szCs w:val="22"/>
              </w:rPr>
              <w:t>filing all required disclosures under G.L. c. 268A</w:t>
            </w:r>
            <w:r>
              <w:rPr>
                <w:sz w:val="22"/>
                <w:szCs w:val="22"/>
              </w:rPr>
              <w:t>;</w:t>
            </w:r>
            <w:r w:rsidRPr="00A0769E">
              <w:rPr>
                <w:sz w:val="22"/>
                <w:szCs w:val="22"/>
              </w:rPr>
              <w:t xml:space="preserve"> and filing </w:t>
            </w:r>
            <w:r>
              <w:rPr>
                <w:sz w:val="22"/>
                <w:szCs w:val="22"/>
              </w:rPr>
              <w:t>all</w:t>
            </w:r>
            <w:r w:rsidRPr="00A0769E">
              <w:rPr>
                <w:sz w:val="22"/>
                <w:szCs w:val="22"/>
              </w:rPr>
              <w:t xml:space="preserve"> statements of financial interest </w:t>
            </w:r>
            <w:r>
              <w:rPr>
                <w:sz w:val="22"/>
                <w:szCs w:val="22"/>
              </w:rPr>
              <w:t xml:space="preserve">in a timely fashion as required by </w:t>
            </w:r>
            <w:r w:rsidRPr="00A0769E">
              <w:rPr>
                <w:sz w:val="22"/>
                <w:szCs w:val="22"/>
              </w:rPr>
              <w:t>G.L. c. 71, § 89(u)</w:t>
            </w:r>
            <w:r>
              <w:rPr>
                <w:sz w:val="22"/>
                <w:szCs w:val="22"/>
              </w:rPr>
              <w:t>. Failure to comply with state ethics requirements may result in removal of individual board members by the board of trustees or by the Commissioner.</w:t>
            </w:r>
            <w:r w:rsidRPr="00A0769E">
              <w:rPr>
                <w:sz w:val="22"/>
                <w:szCs w:val="22"/>
              </w:rPr>
              <w:br/>
            </w:r>
            <w:r w:rsidRPr="00A0769E">
              <w:rPr>
                <w:color w:val="632423" w:themeColor="accent2" w:themeShade="80"/>
                <w:sz w:val="22"/>
                <w:szCs w:val="22"/>
              </w:rPr>
              <w:t>Citation</w:t>
            </w:r>
            <w:r w:rsidRPr="00A0769E">
              <w:rPr>
                <w:sz w:val="22"/>
                <w:szCs w:val="22"/>
              </w:rPr>
              <w:t xml:space="preserve">: </w:t>
            </w:r>
            <w:r>
              <w:rPr>
                <w:sz w:val="22"/>
                <w:szCs w:val="22"/>
              </w:rPr>
              <w:t xml:space="preserve">G.L. c. 71, § 89(u); </w:t>
            </w:r>
            <w:r w:rsidRPr="00A0769E">
              <w:rPr>
                <w:sz w:val="22"/>
                <w:szCs w:val="22"/>
              </w:rPr>
              <w:t>603 CMR 1.06(2)</w:t>
            </w:r>
            <w:r>
              <w:rPr>
                <w:sz w:val="22"/>
                <w:szCs w:val="22"/>
              </w:rPr>
              <w:t>(e)</w:t>
            </w:r>
          </w:p>
        </w:tc>
        <w:tc>
          <w:tcPr>
            <w:tcW w:w="1739" w:type="dxa"/>
            <w:shd w:val="clear" w:color="auto" w:fill="auto"/>
            <w:vAlign w:val="center"/>
          </w:tcPr>
          <w:p w14:paraId="2DACC679" w14:textId="77777777" w:rsidR="00256E98" w:rsidRPr="004673EB" w:rsidRDefault="00256E98" w:rsidP="0079594E">
            <w:pPr>
              <w:jc w:val="center"/>
              <w:rPr>
                <w:b/>
                <w:sz w:val="22"/>
              </w:rPr>
            </w:pPr>
          </w:p>
        </w:tc>
      </w:tr>
      <w:tr w:rsidR="00AD39B8" w:rsidRPr="004673EB" w14:paraId="2DACC67D" w14:textId="77777777" w:rsidTr="00E22EED">
        <w:trPr>
          <w:trHeight w:val="778"/>
          <w:jc w:val="center"/>
        </w:trPr>
        <w:tc>
          <w:tcPr>
            <w:tcW w:w="8991" w:type="dxa"/>
            <w:shd w:val="clear" w:color="auto" w:fill="auto"/>
            <w:vAlign w:val="center"/>
          </w:tcPr>
          <w:p w14:paraId="2DACC67B" w14:textId="77777777" w:rsidR="00AD39B8" w:rsidRPr="004673EB" w:rsidRDefault="00AD39B8">
            <w:pPr>
              <w:numPr>
                <w:ilvl w:val="0"/>
                <w:numId w:val="5"/>
              </w:numPr>
              <w:rPr>
                <w:sz w:val="22"/>
              </w:rPr>
            </w:pPr>
            <w:r>
              <w:rPr>
                <w:sz w:val="22"/>
                <w:szCs w:val="22"/>
              </w:rPr>
              <w:t>Specify</w:t>
            </w:r>
            <w:r w:rsidRPr="00B4144D">
              <w:rPr>
                <w:sz w:val="22"/>
                <w:szCs w:val="22"/>
              </w:rPr>
              <w:t xml:space="preserve"> </w:t>
            </w:r>
            <w:r w:rsidRPr="00A0769E">
              <w:rPr>
                <w:sz w:val="22"/>
                <w:szCs w:val="22"/>
              </w:rPr>
              <w:t>the frequency of board meetings, which must be held in Massachusetts, and occur at least quarterly</w:t>
            </w:r>
            <w:r>
              <w:rPr>
                <w:sz w:val="22"/>
                <w:szCs w:val="22"/>
              </w:rPr>
              <w:t>.</w:t>
            </w:r>
            <w:r w:rsidRPr="00A0769E">
              <w:rPr>
                <w:sz w:val="22"/>
                <w:szCs w:val="22"/>
              </w:rPr>
              <w:br/>
            </w:r>
            <w:r w:rsidRPr="00A0769E">
              <w:rPr>
                <w:color w:val="632423" w:themeColor="accent2" w:themeShade="80"/>
                <w:sz w:val="22"/>
                <w:szCs w:val="22"/>
              </w:rPr>
              <w:t>Citation</w:t>
            </w:r>
            <w:r w:rsidRPr="00A0769E">
              <w:rPr>
                <w:sz w:val="22"/>
                <w:szCs w:val="22"/>
              </w:rPr>
              <w:t>: 603 CMR 1.06(2)</w:t>
            </w:r>
            <w:r>
              <w:rPr>
                <w:sz w:val="22"/>
                <w:szCs w:val="22"/>
              </w:rPr>
              <w:t>(c)</w:t>
            </w:r>
          </w:p>
        </w:tc>
        <w:tc>
          <w:tcPr>
            <w:tcW w:w="1739" w:type="dxa"/>
            <w:shd w:val="clear" w:color="auto" w:fill="auto"/>
            <w:vAlign w:val="center"/>
          </w:tcPr>
          <w:p w14:paraId="2DACC67C" w14:textId="77777777" w:rsidR="00AD39B8" w:rsidRPr="004673EB" w:rsidRDefault="00AD39B8" w:rsidP="0079594E">
            <w:pPr>
              <w:jc w:val="center"/>
              <w:rPr>
                <w:b/>
                <w:sz w:val="22"/>
              </w:rPr>
            </w:pPr>
          </w:p>
        </w:tc>
      </w:tr>
      <w:tr w:rsidR="004673EB" w:rsidRPr="004673EB" w14:paraId="2DACC680" w14:textId="77777777" w:rsidTr="00E22EED">
        <w:trPr>
          <w:trHeight w:val="778"/>
          <w:jc w:val="center"/>
        </w:trPr>
        <w:tc>
          <w:tcPr>
            <w:tcW w:w="8991" w:type="dxa"/>
            <w:shd w:val="clear" w:color="auto" w:fill="auto"/>
            <w:vAlign w:val="center"/>
          </w:tcPr>
          <w:p w14:paraId="2DACC67E" w14:textId="77777777" w:rsidR="00155AAB" w:rsidRDefault="004673EB">
            <w:pPr>
              <w:numPr>
                <w:ilvl w:val="0"/>
                <w:numId w:val="5"/>
              </w:numPr>
              <w:rPr>
                <w:sz w:val="22"/>
              </w:rPr>
            </w:pPr>
            <w:r w:rsidRPr="004673EB">
              <w:rPr>
                <w:sz w:val="22"/>
              </w:rPr>
              <w:t xml:space="preserve">Specify that </w:t>
            </w:r>
            <w:r w:rsidR="00153C51">
              <w:rPr>
                <w:sz w:val="22"/>
              </w:rPr>
              <w:t xml:space="preserve">the board of trustees </w:t>
            </w:r>
            <w:r w:rsidR="0081677A">
              <w:rPr>
                <w:sz w:val="22"/>
              </w:rPr>
              <w:t xml:space="preserve">and its committees, irrespective of what the title may be, </w:t>
            </w:r>
            <w:r w:rsidR="00153C51">
              <w:rPr>
                <w:sz w:val="22"/>
              </w:rPr>
              <w:t xml:space="preserve">will comply </w:t>
            </w:r>
            <w:r w:rsidR="00280FA7">
              <w:rPr>
                <w:sz w:val="22"/>
              </w:rPr>
              <w:t>in all respect</w:t>
            </w:r>
            <w:r w:rsidR="00206F55">
              <w:rPr>
                <w:sz w:val="22"/>
              </w:rPr>
              <w:t>s</w:t>
            </w:r>
            <w:r w:rsidR="00280FA7">
              <w:rPr>
                <w:sz w:val="22"/>
              </w:rPr>
              <w:t xml:space="preserve"> </w:t>
            </w:r>
            <w:r w:rsidR="00153C51">
              <w:rPr>
                <w:sz w:val="22"/>
              </w:rPr>
              <w:t>with the open meeting law, G.L. c. 30A, §§ 18-25, and the regulations, guidance, and directives of the Office of the Attorney General</w:t>
            </w:r>
            <w:r w:rsidR="00280FA7">
              <w:rPr>
                <w:sz w:val="22"/>
              </w:rPr>
              <w:t>.</w:t>
            </w:r>
            <w:r w:rsidR="00153C51">
              <w:rPr>
                <w:sz w:val="22"/>
              </w:rPr>
              <w:t xml:space="preserve"> </w:t>
            </w:r>
            <w:r w:rsidR="00280FA7">
              <w:rPr>
                <w:sz w:val="22"/>
              </w:rPr>
              <w:t xml:space="preserve">This includes, </w:t>
            </w:r>
            <w:r w:rsidR="00153C51">
              <w:rPr>
                <w:sz w:val="22"/>
              </w:rPr>
              <w:t xml:space="preserve">but </w:t>
            </w:r>
            <w:r w:rsidR="00280FA7">
              <w:rPr>
                <w:sz w:val="22"/>
              </w:rPr>
              <w:t xml:space="preserve">is </w:t>
            </w:r>
            <w:r w:rsidR="00153C51">
              <w:rPr>
                <w:sz w:val="22"/>
              </w:rPr>
              <w:t>not limited to, training</w:t>
            </w:r>
            <w:r w:rsidR="00280FA7">
              <w:rPr>
                <w:sz w:val="22"/>
              </w:rPr>
              <w:t>,</w:t>
            </w:r>
            <w:r w:rsidR="00153C51">
              <w:rPr>
                <w:sz w:val="22"/>
              </w:rPr>
              <w:t xml:space="preserve"> </w:t>
            </w:r>
            <w:r w:rsidRPr="004673EB">
              <w:rPr>
                <w:sz w:val="22"/>
              </w:rPr>
              <w:t>notice</w:t>
            </w:r>
            <w:r w:rsidR="00280FA7">
              <w:rPr>
                <w:sz w:val="22"/>
              </w:rPr>
              <w:t xml:space="preserve"> of meetings, records of meetings, and executive sessions.</w:t>
            </w:r>
            <w:r w:rsidRPr="004673EB">
              <w:rPr>
                <w:sz w:val="22"/>
              </w:rPr>
              <w:br/>
            </w:r>
            <w:r w:rsidRPr="004673EB">
              <w:rPr>
                <w:color w:val="632423" w:themeColor="accent2" w:themeShade="80"/>
                <w:sz w:val="22"/>
              </w:rPr>
              <w:t>Citation</w:t>
            </w:r>
            <w:r w:rsidRPr="004673EB">
              <w:rPr>
                <w:sz w:val="22"/>
              </w:rPr>
              <w:t xml:space="preserve">: </w:t>
            </w:r>
            <w:r w:rsidRPr="004673EB">
              <w:rPr>
                <w:iCs/>
                <w:sz w:val="22"/>
              </w:rPr>
              <w:t xml:space="preserve">G.L. </w:t>
            </w:r>
            <w:r w:rsidR="00280FA7">
              <w:rPr>
                <w:iCs/>
                <w:sz w:val="22"/>
              </w:rPr>
              <w:t>c.</w:t>
            </w:r>
            <w:r w:rsidR="00280FA7" w:rsidRPr="004673EB">
              <w:rPr>
                <w:iCs/>
                <w:sz w:val="22"/>
              </w:rPr>
              <w:t xml:space="preserve"> </w:t>
            </w:r>
            <w:r w:rsidRPr="004673EB">
              <w:rPr>
                <w:iCs/>
                <w:sz w:val="22"/>
              </w:rPr>
              <w:t xml:space="preserve">30A, </w:t>
            </w:r>
            <w:r w:rsidR="00280FA7">
              <w:rPr>
                <w:iCs/>
                <w:sz w:val="22"/>
              </w:rPr>
              <w:t xml:space="preserve">§ </w:t>
            </w:r>
            <w:r w:rsidRPr="004673EB">
              <w:rPr>
                <w:iCs/>
                <w:sz w:val="22"/>
              </w:rPr>
              <w:t>18-25</w:t>
            </w:r>
          </w:p>
        </w:tc>
        <w:tc>
          <w:tcPr>
            <w:tcW w:w="1739" w:type="dxa"/>
            <w:shd w:val="clear" w:color="auto" w:fill="auto"/>
            <w:vAlign w:val="center"/>
          </w:tcPr>
          <w:p w14:paraId="2DACC67F" w14:textId="77777777" w:rsidR="004673EB" w:rsidRPr="004673EB" w:rsidRDefault="004673EB" w:rsidP="0079594E">
            <w:pPr>
              <w:jc w:val="center"/>
              <w:rPr>
                <w:b/>
                <w:sz w:val="22"/>
              </w:rPr>
            </w:pPr>
          </w:p>
        </w:tc>
      </w:tr>
      <w:tr w:rsidR="00256E98" w:rsidRPr="004673EB" w14:paraId="2DACC683" w14:textId="77777777" w:rsidTr="00AE1601">
        <w:trPr>
          <w:trHeight w:val="706"/>
          <w:jc w:val="center"/>
        </w:trPr>
        <w:tc>
          <w:tcPr>
            <w:tcW w:w="8991" w:type="dxa"/>
            <w:shd w:val="clear" w:color="auto" w:fill="auto"/>
            <w:vAlign w:val="center"/>
          </w:tcPr>
          <w:p w14:paraId="2DACC681" w14:textId="77777777" w:rsidR="00256E98" w:rsidRDefault="00256E98">
            <w:pPr>
              <w:numPr>
                <w:ilvl w:val="0"/>
                <w:numId w:val="5"/>
              </w:numPr>
              <w:rPr>
                <w:sz w:val="22"/>
                <w:szCs w:val="22"/>
              </w:rPr>
            </w:pPr>
            <w:r>
              <w:rPr>
                <w:sz w:val="22"/>
              </w:rPr>
              <w:t>Specify that a member of the board of trustees may participate remotely in a meeting provided that such participation complies with the requirements of 940 CMR 29.10 including, but not limited to, meeting the permissible reasons for remote participation.</w:t>
            </w:r>
          </w:p>
        </w:tc>
        <w:tc>
          <w:tcPr>
            <w:tcW w:w="1739" w:type="dxa"/>
            <w:shd w:val="clear" w:color="auto" w:fill="auto"/>
            <w:vAlign w:val="center"/>
          </w:tcPr>
          <w:p w14:paraId="2DACC682" w14:textId="77777777" w:rsidR="00256E98" w:rsidRPr="004673EB" w:rsidRDefault="00256E98" w:rsidP="00AE1601">
            <w:pPr>
              <w:jc w:val="center"/>
              <w:rPr>
                <w:b/>
                <w:sz w:val="22"/>
              </w:rPr>
            </w:pPr>
          </w:p>
        </w:tc>
      </w:tr>
      <w:tr w:rsidR="00256E98" w:rsidRPr="005E7C7A" w14:paraId="2DACC688" w14:textId="77777777" w:rsidTr="00E22EED">
        <w:trPr>
          <w:trHeight w:val="706"/>
          <w:jc w:val="center"/>
        </w:trPr>
        <w:tc>
          <w:tcPr>
            <w:tcW w:w="8991" w:type="dxa"/>
            <w:shd w:val="clear" w:color="auto" w:fill="auto"/>
            <w:vAlign w:val="center"/>
          </w:tcPr>
          <w:p w14:paraId="2DACC684" w14:textId="77777777" w:rsidR="00256E98" w:rsidRDefault="00256E98" w:rsidP="00256E98">
            <w:pPr>
              <w:numPr>
                <w:ilvl w:val="0"/>
                <w:numId w:val="5"/>
              </w:numPr>
              <w:rPr>
                <w:sz w:val="22"/>
              </w:rPr>
            </w:pPr>
            <w:r>
              <w:rPr>
                <w:sz w:val="22"/>
                <w:szCs w:val="22"/>
              </w:rPr>
              <w:t>Specify</w:t>
            </w:r>
            <w:r w:rsidRPr="00B4144D">
              <w:rPr>
                <w:sz w:val="22"/>
                <w:szCs w:val="22"/>
              </w:rPr>
              <w:t xml:space="preserve"> </w:t>
            </w:r>
            <w:r w:rsidRPr="004673EB">
              <w:rPr>
                <w:sz w:val="22"/>
              </w:rPr>
              <w:t xml:space="preserve">that the board </w:t>
            </w:r>
            <w:r>
              <w:rPr>
                <w:sz w:val="22"/>
              </w:rPr>
              <w:t xml:space="preserve">of trustees </w:t>
            </w:r>
            <w:r w:rsidRPr="004673EB">
              <w:rPr>
                <w:sz w:val="22"/>
              </w:rPr>
              <w:t>is a public employer for the purposes of tort liability</w:t>
            </w:r>
            <w:r>
              <w:rPr>
                <w:sz w:val="22"/>
              </w:rPr>
              <w:t xml:space="preserve"> under</w:t>
            </w:r>
            <w:r w:rsidRPr="004673EB">
              <w:rPr>
                <w:sz w:val="22"/>
              </w:rPr>
              <w:t xml:space="preserve"> </w:t>
            </w:r>
            <w:r>
              <w:rPr>
                <w:sz w:val="22"/>
              </w:rPr>
              <w:t>Chapter</w:t>
            </w:r>
            <w:r w:rsidRPr="004673EB">
              <w:rPr>
                <w:sz w:val="22"/>
              </w:rPr>
              <w:t xml:space="preserve"> 258 </w:t>
            </w:r>
            <w:r>
              <w:rPr>
                <w:sz w:val="22"/>
              </w:rPr>
              <w:t xml:space="preserve">of the General Laws </w:t>
            </w:r>
            <w:r w:rsidRPr="004673EB">
              <w:rPr>
                <w:sz w:val="22"/>
              </w:rPr>
              <w:t xml:space="preserve">and for collective bargaining purposes </w:t>
            </w:r>
            <w:r>
              <w:rPr>
                <w:sz w:val="22"/>
              </w:rPr>
              <w:t>under Chapter</w:t>
            </w:r>
            <w:r w:rsidRPr="004673EB">
              <w:rPr>
                <w:sz w:val="22"/>
              </w:rPr>
              <w:t xml:space="preserve"> 150E</w:t>
            </w:r>
            <w:r>
              <w:rPr>
                <w:sz w:val="22"/>
              </w:rPr>
              <w:t xml:space="preserve"> of the General Laws</w:t>
            </w:r>
            <w:r w:rsidRPr="004673EB">
              <w:rPr>
                <w:sz w:val="22"/>
              </w:rPr>
              <w:t>.</w:t>
            </w:r>
          </w:p>
          <w:p w14:paraId="2DACC685" w14:textId="77777777" w:rsidR="00256E98" w:rsidRDefault="00256E98" w:rsidP="00256E98">
            <w:pPr>
              <w:ind w:left="360"/>
              <w:rPr>
                <w:color w:val="632423" w:themeColor="accent2" w:themeShade="80"/>
                <w:sz w:val="22"/>
              </w:rPr>
            </w:pPr>
            <w:r w:rsidRPr="004673EB">
              <w:rPr>
                <w:sz w:val="22"/>
              </w:rPr>
              <w:br/>
            </w:r>
            <w:r w:rsidRPr="00920B98">
              <w:rPr>
                <w:sz w:val="22"/>
              </w:rPr>
              <w:t xml:space="preserve">In </w:t>
            </w:r>
            <w:r w:rsidRPr="00920B98">
              <w:rPr>
                <w:sz w:val="22"/>
                <w:u w:val="single"/>
              </w:rPr>
              <w:t>Horace Mann</w:t>
            </w:r>
            <w:r w:rsidRPr="00920B98">
              <w:rPr>
                <w:sz w:val="22"/>
              </w:rPr>
              <w:t xml:space="preserve"> charter schools, state that the school committee is the public employer for collective bargaining purposes under Chapter 150E of the General Laws.</w:t>
            </w:r>
            <w:r w:rsidRPr="004673EB">
              <w:rPr>
                <w:i/>
                <w:sz w:val="22"/>
              </w:rPr>
              <w:br/>
            </w:r>
          </w:p>
          <w:p w14:paraId="2DACC686" w14:textId="77777777" w:rsidR="00256E98" w:rsidRPr="005E7C7A" w:rsidRDefault="00256E98" w:rsidP="00AD39B8">
            <w:pPr>
              <w:ind w:left="360"/>
              <w:rPr>
                <w:sz w:val="22"/>
                <w:szCs w:val="22"/>
                <w:lang w:val="es-ES"/>
              </w:rPr>
            </w:pPr>
            <w:proofErr w:type="spellStart"/>
            <w:r w:rsidRPr="005E7C7A">
              <w:rPr>
                <w:color w:val="632423" w:themeColor="accent2" w:themeShade="80"/>
                <w:sz w:val="22"/>
                <w:lang w:val="es-ES"/>
              </w:rPr>
              <w:t>Citation</w:t>
            </w:r>
            <w:proofErr w:type="spellEnd"/>
            <w:r w:rsidRPr="005E7C7A">
              <w:rPr>
                <w:sz w:val="22"/>
                <w:lang w:val="es-ES"/>
              </w:rPr>
              <w:t xml:space="preserve">: G.L. c. </w:t>
            </w:r>
            <w:proofErr w:type="gramStart"/>
            <w:r w:rsidRPr="005E7C7A">
              <w:rPr>
                <w:sz w:val="22"/>
                <w:lang w:val="es-ES"/>
              </w:rPr>
              <w:t>71,  §</w:t>
            </w:r>
            <w:proofErr w:type="gramEnd"/>
            <w:r w:rsidRPr="005E7C7A">
              <w:rPr>
                <w:sz w:val="22"/>
                <w:lang w:val="es-ES"/>
              </w:rPr>
              <w:t xml:space="preserve"> 89(y)</w:t>
            </w:r>
          </w:p>
        </w:tc>
        <w:tc>
          <w:tcPr>
            <w:tcW w:w="1739" w:type="dxa"/>
            <w:shd w:val="clear" w:color="auto" w:fill="auto"/>
            <w:vAlign w:val="center"/>
          </w:tcPr>
          <w:p w14:paraId="2DACC687" w14:textId="77777777" w:rsidR="00256E98" w:rsidRPr="005E7C7A" w:rsidRDefault="00256E98" w:rsidP="0079594E">
            <w:pPr>
              <w:jc w:val="center"/>
              <w:rPr>
                <w:b/>
                <w:sz w:val="22"/>
                <w:lang w:val="es-ES"/>
              </w:rPr>
            </w:pPr>
          </w:p>
        </w:tc>
      </w:tr>
      <w:tr w:rsidR="001A7210" w:rsidRPr="004673EB" w14:paraId="2DACC68B" w14:textId="77777777" w:rsidTr="00E22EED">
        <w:trPr>
          <w:trHeight w:val="706"/>
          <w:jc w:val="center"/>
        </w:trPr>
        <w:tc>
          <w:tcPr>
            <w:tcW w:w="8991" w:type="dxa"/>
            <w:shd w:val="clear" w:color="auto" w:fill="auto"/>
            <w:vAlign w:val="center"/>
          </w:tcPr>
          <w:p w14:paraId="2DACC689" w14:textId="77777777" w:rsidR="00206F55" w:rsidRDefault="00152238">
            <w:pPr>
              <w:numPr>
                <w:ilvl w:val="0"/>
                <w:numId w:val="5"/>
              </w:numPr>
              <w:rPr>
                <w:sz w:val="22"/>
                <w:szCs w:val="22"/>
              </w:rPr>
            </w:pPr>
            <w:r>
              <w:rPr>
                <w:sz w:val="22"/>
                <w:szCs w:val="22"/>
              </w:rPr>
              <w:lastRenderedPageBreak/>
              <w:t>Specify</w:t>
            </w:r>
            <w:r w:rsidRPr="00B4144D">
              <w:rPr>
                <w:sz w:val="22"/>
                <w:szCs w:val="22"/>
              </w:rPr>
              <w:t xml:space="preserve"> </w:t>
            </w:r>
            <w:r w:rsidR="001A7210" w:rsidRPr="00283CF7">
              <w:rPr>
                <w:sz w:val="22"/>
                <w:szCs w:val="22"/>
              </w:rPr>
              <w:t xml:space="preserve">that </w:t>
            </w:r>
            <w:r w:rsidR="00283CF7">
              <w:rPr>
                <w:sz w:val="22"/>
                <w:szCs w:val="22"/>
              </w:rPr>
              <w:t>board</w:t>
            </w:r>
            <w:r w:rsidR="00283CF7" w:rsidRPr="00283CF7">
              <w:rPr>
                <w:sz w:val="22"/>
                <w:szCs w:val="22"/>
              </w:rPr>
              <w:t xml:space="preserve"> of trustees will not exercise managerial powers over the day-to-day operations of the school.</w:t>
            </w:r>
            <w:r w:rsidR="00283CF7" w:rsidRPr="00283CF7">
              <w:rPr>
                <w:sz w:val="22"/>
                <w:szCs w:val="22"/>
              </w:rPr>
              <w:br/>
            </w:r>
            <w:r w:rsidR="00283CF7" w:rsidRPr="00283CF7">
              <w:rPr>
                <w:color w:val="632423" w:themeColor="accent2" w:themeShade="80"/>
                <w:sz w:val="22"/>
                <w:szCs w:val="22"/>
              </w:rPr>
              <w:t>Citation</w:t>
            </w:r>
            <w:r w:rsidR="00283CF7" w:rsidRPr="00283CF7">
              <w:rPr>
                <w:sz w:val="22"/>
                <w:szCs w:val="22"/>
              </w:rPr>
              <w:t>: 603 CMR 1.06(1)</w:t>
            </w:r>
          </w:p>
        </w:tc>
        <w:tc>
          <w:tcPr>
            <w:tcW w:w="1739" w:type="dxa"/>
            <w:shd w:val="clear" w:color="auto" w:fill="auto"/>
            <w:vAlign w:val="center"/>
          </w:tcPr>
          <w:p w14:paraId="2DACC68A" w14:textId="77777777" w:rsidR="001A7210" w:rsidRPr="004673EB" w:rsidRDefault="001A7210" w:rsidP="0079594E">
            <w:pPr>
              <w:jc w:val="center"/>
              <w:rPr>
                <w:b/>
                <w:sz w:val="22"/>
              </w:rPr>
            </w:pPr>
          </w:p>
        </w:tc>
      </w:tr>
      <w:tr w:rsidR="00283CF7" w:rsidRPr="004673EB" w14:paraId="2DACC68E" w14:textId="77777777" w:rsidTr="00E22EED">
        <w:trPr>
          <w:trHeight w:val="706"/>
          <w:jc w:val="center"/>
        </w:trPr>
        <w:tc>
          <w:tcPr>
            <w:tcW w:w="8991" w:type="dxa"/>
            <w:shd w:val="clear" w:color="auto" w:fill="auto"/>
            <w:vAlign w:val="center"/>
          </w:tcPr>
          <w:p w14:paraId="2DACC68C" w14:textId="77777777" w:rsidR="00206F55" w:rsidRDefault="00152238">
            <w:pPr>
              <w:numPr>
                <w:ilvl w:val="0"/>
                <w:numId w:val="5"/>
              </w:numPr>
              <w:rPr>
                <w:sz w:val="22"/>
                <w:szCs w:val="22"/>
              </w:rPr>
            </w:pPr>
            <w:r>
              <w:rPr>
                <w:sz w:val="22"/>
                <w:szCs w:val="22"/>
              </w:rPr>
              <w:t>Specify</w:t>
            </w:r>
            <w:r w:rsidRPr="00B4144D">
              <w:rPr>
                <w:sz w:val="22"/>
                <w:szCs w:val="22"/>
              </w:rPr>
              <w:t xml:space="preserve"> </w:t>
            </w:r>
            <w:r w:rsidR="00283CF7">
              <w:rPr>
                <w:sz w:val="22"/>
                <w:szCs w:val="22"/>
              </w:rPr>
              <w:t>that the board of trustees will fulfill their fiduciary responsibilities, including but not limited to, the duty of loyalty and duty of care, as well as the obligation to oversee the school's budget.</w:t>
            </w:r>
            <w:r w:rsidR="00283CF7">
              <w:rPr>
                <w:sz w:val="22"/>
                <w:szCs w:val="22"/>
              </w:rPr>
              <w:br/>
            </w:r>
            <w:r w:rsidR="00283CF7" w:rsidRPr="00283CF7">
              <w:rPr>
                <w:color w:val="632423" w:themeColor="accent2" w:themeShade="80"/>
                <w:sz w:val="22"/>
                <w:szCs w:val="22"/>
              </w:rPr>
              <w:t>Citation</w:t>
            </w:r>
            <w:r w:rsidR="00283CF7" w:rsidRPr="00283CF7">
              <w:rPr>
                <w:sz w:val="22"/>
                <w:szCs w:val="22"/>
              </w:rPr>
              <w:t>: 603 CMR 1.06(1)</w:t>
            </w:r>
          </w:p>
        </w:tc>
        <w:tc>
          <w:tcPr>
            <w:tcW w:w="1739" w:type="dxa"/>
            <w:shd w:val="clear" w:color="auto" w:fill="auto"/>
            <w:vAlign w:val="center"/>
          </w:tcPr>
          <w:p w14:paraId="2DACC68D" w14:textId="77777777" w:rsidR="00283CF7" w:rsidRPr="004673EB" w:rsidRDefault="00283CF7" w:rsidP="0079594E">
            <w:pPr>
              <w:jc w:val="center"/>
              <w:rPr>
                <w:b/>
                <w:sz w:val="22"/>
              </w:rPr>
            </w:pPr>
          </w:p>
        </w:tc>
      </w:tr>
      <w:tr w:rsidR="00283CF7" w:rsidRPr="004673EB" w14:paraId="2DACC69B" w14:textId="77777777" w:rsidTr="00E22EED">
        <w:trPr>
          <w:trHeight w:val="706"/>
          <w:jc w:val="center"/>
        </w:trPr>
        <w:tc>
          <w:tcPr>
            <w:tcW w:w="8991" w:type="dxa"/>
            <w:shd w:val="clear" w:color="auto" w:fill="auto"/>
            <w:vAlign w:val="center"/>
          </w:tcPr>
          <w:p w14:paraId="2DACC68F" w14:textId="77777777" w:rsidR="00283CF7" w:rsidRPr="00283CF7" w:rsidRDefault="00152238" w:rsidP="00283CF7">
            <w:pPr>
              <w:numPr>
                <w:ilvl w:val="0"/>
                <w:numId w:val="5"/>
              </w:numPr>
              <w:rPr>
                <w:sz w:val="22"/>
                <w:szCs w:val="22"/>
              </w:rPr>
            </w:pPr>
            <w:r>
              <w:rPr>
                <w:sz w:val="22"/>
                <w:szCs w:val="22"/>
              </w:rPr>
              <w:t>Specify</w:t>
            </w:r>
            <w:r w:rsidRPr="00B4144D">
              <w:rPr>
                <w:sz w:val="22"/>
                <w:szCs w:val="22"/>
              </w:rPr>
              <w:t xml:space="preserve"> </w:t>
            </w:r>
            <w:r w:rsidR="00283CF7" w:rsidRPr="00283CF7">
              <w:rPr>
                <w:sz w:val="22"/>
                <w:szCs w:val="22"/>
              </w:rPr>
              <w:t>that the boards of trustees must ensure that school operates in compliance with all applicable state and federal laws including, but not limited to</w:t>
            </w:r>
            <w:r w:rsidR="00C5058C">
              <w:rPr>
                <w:sz w:val="22"/>
                <w:szCs w:val="22"/>
              </w:rPr>
              <w:t xml:space="preserve"> (</w:t>
            </w:r>
            <w:r w:rsidR="00C5058C">
              <w:rPr>
                <w:i/>
                <w:sz w:val="22"/>
                <w:szCs w:val="22"/>
              </w:rPr>
              <w:t>please include each component in the school’s bylaws)</w:t>
            </w:r>
            <w:r w:rsidR="00283CF7" w:rsidRPr="00283CF7">
              <w:rPr>
                <w:sz w:val="22"/>
                <w:szCs w:val="22"/>
              </w:rPr>
              <w:t xml:space="preserve">: </w:t>
            </w:r>
          </w:p>
          <w:p w14:paraId="2DACC690"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Successfully completing the opening procedures process in accordance with G.L. c. 70, § 89; 603 CMR 1.00; and any guidelines issued by the Department;</w:t>
            </w:r>
          </w:p>
          <w:p w14:paraId="2DACC691"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Requesting the Commissioner's appointment of any new trustees</w:t>
            </w:r>
            <w:r w:rsidR="00134AF3">
              <w:rPr>
                <w:sz w:val="22"/>
                <w:szCs w:val="22"/>
              </w:rPr>
              <w:t xml:space="preserve"> and receiving that approval prior to any new trustees beginning their service as members</w:t>
            </w:r>
            <w:r w:rsidRPr="00283CF7">
              <w:rPr>
                <w:sz w:val="22"/>
                <w:szCs w:val="22"/>
              </w:rPr>
              <w:t xml:space="preserve">; </w:t>
            </w:r>
          </w:p>
          <w:p w14:paraId="2DACC692"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Submitting timely annual report</w:t>
            </w:r>
            <w:r w:rsidR="00134AF3">
              <w:rPr>
                <w:sz w:val="22"/>
                <w:szCs w:val="22"/>
              </w:rPr>
              <w:t>s</w:t>
            </w:r>
            <w:r w:rsidRPr="00283CF7">
              <w:rPr>
                <w:sz w:val="22"/>
                <w:szCs w:val="22"/>
              </w:rPr>
              <w:t xml:space="preserve">; </w:t>
            </w:r>
          </w:p>
          <w:p w14:paraId="2DACC693"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Submitting timely annual independent audit</w:t>
            </w:r>
            <w:r w:rsidR="00134AF3">
              <w:rPr>
                <w:sz w:val="22"/>
                <w:szCs w:val="22"/>
              </w:rPr>
              <w:t>s</w:t>
            </w:r>
            <w:r w:rsidRPr="00283CF7">
              <w:rPr>
                <w:sz w:val="22"/>
                <w:szCs w:val="22"/>
              </w:rPr>
              <w:t xml:space="preserve">; </w:t>
            </w:r>
          </w:p>
          <w:p w14:paraId="2DACC694"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 xml:space="preserve">Hiring, evaluating, and removing, if necessary, qualified personnel to manage the charter school's day-to-day operations and holding these administrators accountable for meeting specified goals; </w:t>
            </w:r>
          </w:p>
          <w:p w14:paraId="2DACC695"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 xml:space="preserve">Approving and monitoring progress towards meeting the goals of the school's Accountability Plan; </w:t>
            </w:r>
          </w:p>
          <w:p w14:paraId="2DACC696"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 xml:space="preserve">Adopting and revising school policies, including plans for student recruitment and retention; </w:t>
            </w:r>
          </w:p>
          <w:p w14:paraId="2DACC697" w14:textId="77777777" w:rsidR="00283CF7" w:rsidRPr="00283CF7" w:rsidRDefault="00283CF7" w:rsidP="00283CF7">
            <w:pPr>
              <w:pStyle w:val="ListParagraph"/>
              <w:numPr>
                <w:ilvl w:val="0"/>
                <w:numId w:val="8"/>
              </w:numPr>
              <w:spacing w:after="120"/>
              <w:ind w:left="1170"/>
              <w:jc w:val="both"/>
              <w:rPr>
                <w:sz w:val="22"/>
                <w:szCs w:val="22"/>
              </w:rPr>
            </w:pPr>
            <w:r w:rsidRPr="00283CF7">
              <w:rPr>
                <w:sz w:val="22"/>
                <w:szCs w:val="22"/>
              </w:rPr>
              <w:t xml:space="preserve">Responding to complaints in writing as required by 603 CMR 1.09; and </w:t>
            </w:r>
          </w:p>
          <w:p w14:paraId="2DACC698" w14:textId="77777777" w:rsidR="00283CF7" w:rsidRDefault="00283CF7" w:rsidP="00283CF7">
            <w:pPr>
              <w:pStyle w:val="ListParagraph"/>
              <w:numPr>
                <w:ilvl w:val="0"/>
                <w:numId w:val="8"/>
              </w:numPr>
              <w:spacing w:after="120"/>
              <w:ind w:left="1170"/>
              <w:jc w:val="both"/>
              <w:rPr>
                <w:sz w:val="22"/>
                <w:szCs w:val="22"/>
              </w:rPr>
            </w:pPr>
            <w:r w:rsidRPr="00283CF7">
              <w:rPr>
                <w:sz w:val="22"/>
                <w:szCs w:val="22"/>
              </w:rPr>
              <w:t xml:space="preserve">Ensuring that members of the board receive an orientation and training regarding their duties and obligations as members of a board of trustees. </w:t>
            </w:r>
          </w:p>
          <w:p w14:paraId="2DACC699" w14:textId="77777777" w:rsidR="00283CF7" w:rsidRPr="00283CF7" w:rsidRDefault="00283CF7" w:rsidP="00283CF7">
            <w:pPr>
              <w:spacing w:after="120"/>
              <w:ind w:left="360"/>
              <w:jc w:val="both"/>
              <w:rPr>
                <w:sz w:val="22"/>
                <w:szCs w:val="22"/>
              </w:rPr>
            </w:pPr>
            <w:r w:rsidRPr="00283CF7">
              <w:rPr>
                <w:color w:val="632423" w:themeColor="accent2" w:themeShade="80"/>
                <w:sz w:val="22"/>
                <w:szCs w:val="22"/>
              </w:rPr>
              <w:t>Citation</w:t>
            </w:r>
            <w:r w:rsidRPr="00283CF7">
              <w:rPr>
                <w:sz w:val="22"/>
                <w:szCs w:val="22"/>
              </w:rPr>
              <w:t>: 603 CMR 1.06(</w:t>
            </w:r>
            <w:proofErr w:type="gramStart"/>
            <w:r w:rsidRPr="00283CF7">
              <w:rPr>
                <w:sz w:val="22"/>
                <w:szCs w:val="22"/>
              </w:rPr>
              <w:t>1)</w:t>
            </w:r>
            <w:r w:rsidR="006E7028">
              <w:rPr>
                <w:sz w:val="22"/>
                <w:szCs w:val="22"/>
              </w:rPr>
              <w:t>(</w:t>
            </w:r>
            <w:proofErr w:type="gramEnd"/>
            <w:r w:rsidR="006E7028">
              <w:rPr>
                <w:sz w:val="22"/>
                <w:szCs w:val="22"/>
              </w:rPr>
              <w:t>a-</w:t>
            </w:r>
            <w:proofErr w:type="spellStart"/>
            <w:r w:rsidR="006E7028">
              <w:rPr>
                <w:sz w:val="22"/>
                <w:szCs w:val="22"/>
              </w:rPr>
              <w:t>i</w:t>
            </w:r>
            <w:proofErr w:type="spellEnd"/>
            <w:r w:rsidR="006E7028">
              <w:rPr>
                <w:sz w:val="22"/>
                <w:szCs w:val="22"/>
              </w:rPr>
              <w:t>)</w:t>
            </w:r>
          </w:p>
        </w:tc>
        <w:tc>
          <w:tcPr>
            <w:tcW w:w="1739" w:type="dxa"/>
            <w:shd w:val="clear" w:color="auto" w:fill="auto"/>
            <w:vAlign w:val="center"/>
          </w:tcPr>
          <w:p w14:paraId="2DACC69A" w14:textId="77777777" w:rsidR="00283CF7" w:rsidRPr="004673EB" w:rsidRDefault="00283CF7" w:rsidP="0079594E">
            <w:pPr>
              <w:jc w:val="center"/>
              <w:rPr>
                <w:b/>
                <w:sz w:val="22"/>
              </w:rPr>
            </w:pPr>
          </w:p>
        </w:tc>
      </w:tr>
      <w:tr w:rsidR="00256E98" w:rsidRPr="004673EB" w14:paraId="2DACC69E" w14:textId="77777777" w:rsidTr="00E22EED">
        <w:trPr>
          <w:trHeight w:val="706"/>
          <w:jc w:val="center"/>
        </w:trPr>
        <w:tc>
          <w:tcPr>
            <w:tcW w:w="8991" w:type="dxa"/>
            <w:shd w:val="clear" w:color="auto" w:fill="auto"/>
            <w:vAlign w:val="center"/>
          </w:tcPr>
          <w:p w14:paraId="2DACC69C" w14:textId="77777777" w:rsidR="00256E98" w:rsidRDefault="00256E98">
            <w:pPr>
              <w:numPr>
                <w:ilvl w:val="0"/>
                <w:numId w:val="5"/>
              </w:numPr>
              <w:rPr>
                <w:sz w:val="22"/>
                <w:szCs w:val="22"/>
              </w:rPr>
            </w:pPr>
            <w:r>
              <w:rPr>
                <w:sz w:val="22"/>
                <w:szCs w:val="22"/>
              </w:rPr>
              <w:t>Specify</w:t>
            </w:r>
            <w:r w:rsidRPr="00B4144D">
              <w:rPr>
                <w:sz w:val="22"/>
                <w:szCs w:val="22"/>
              </w:rPr>
              <w:t xml:space="preserve"> </w:t>
            </w:r>
            <w:r>
              <w:rPr>
                <w:sz w:val="22"/>
                <w:szCs w:val="22"/>
              </w:rPr>
              <w:t>the number of members of the board of trustees; the board of trustees must have a minimum of five members.</w:t>
            </w:r>
            <w:r>
              <w:rPr>
                <w:sz w:val="22"/>
                <w:szCs w:val="22"/>
              </w:rPr>
              <w:br/>
            </w:r>
            <w:r w:rsidRPr="004D3486">
              <w:rPr>
                <w:color w:val="632423" w:themeColor="accent2" w:themeShade="80"/>
                <w:sz w:val="22"/>
                <w:szCs w:val="22"/>
              </w:rPr>
              <w:t>Citation</w:t>
            </w:r>
            <w:r w:rsidRPr="004D3486">
              <w:rPr>
                <w:sz w:val="22"/>
                <w:szCs w:val="22"/>
              </w:rPr>
              <w:t>: 603 CMR 1.06(</w:t>
            </w:r>
            <w:r>
              <w:rPr>
                <w:sz w:val="22"/>
                <w:szCs w:val="22"/>
              </w:rPr>
              <w:t>1)</w:t>
            </w:r>
          </w:p>
        </w:tc>
        <w:tc>
          <w:tcPr>
            <w:tcW w:w="1739" w:type="dxa"/>
            <w:shd w:val="clear" w:color="auto" w:fill="auto"/>
            <w:vAlign w:val="center"/>
          </w:tcPr>
          <w:p w14:paraId="2DACC69D" w14:textId="77777777" w:rsidR="00256E98" w:rsidRPr="004673EB" w:rsidRDefault="00256E98" w:rsidP="0079594E">
            <w:pPr>
              <w:jc w:val="center"/>
              <w:rPr>
                <w:b/>
                <w:sz w:val="22"/>
              </w:rPr>
            </w:pPr>
          </w:p>
        </w:tc>
      </w:tr>
      <w:tr w:rsidR="00C80F84" w:rsidRPr="004673EB" w14:paraId="2DACC6A1" w14:textId="77777777" w:rsidTr="00E22EED">
        <w:trPr>
          <w:trHeight w:val="706"/>
          <w:jc w:val="center"/>
        </w:trPr>
        <w:tc>
          <w:tcPr>
            <w:tcW w:w="8991" w:type="dxa"/>
            <w:shd w:val="clear" w:color="auto" w:fill="auto"/>
            <w:vAlign w:val="center"/>
          </w:tcPr>
          <w:p w14:paraId="2DACC69F" w14:textId="77777777" w:rsidR="00C80F84" w:rsidRDefault="00C80F84">
            <w:pPr>
              <w:numPr>
                <w:ilvl w:val="0"/>
                <w:numId w:val="5"/>
              </w:numPr>
              <w:rPr>
                <w:sz w:val="22"/>
                <w:szCs w:val="22"/>
              </w:rPr>
            </w:pPr>
            <w:r w:rsidRPr="00A0769E">
              <w:rPr>
                <w:sz w:val="22"/>
                <w:szCs w:val="22"/>
              </w:rPr>
              <w:t xml:space="preserve">If </w:t>
            </w:r>
            <w:r>
              <w:rPr>
                <w:sz w:val="22"/>
                <w:szCs w:val="22"/>
              </w:rPr>
              <w:t xml:space="preserve">the </w:t>
            </w:r>
            <w:r w:rsidRPr="00A0769E">
              <w:rPr>
                <w:sz w:val="22"/>
                <w:szCs w:val="22"/>
              </w:rPr>
              <w:t>board</w:t>
            </w:r>
            <w:r>
              <w:rPr>
                <w:sz w:val="22"/>
                <w:szCs w:val="22"/>
              </w:rPr>
              <w:t xml:space="preserve"> of trustees</w:t>
            </w:r>
            <w:r w:rsidRPr="00A0769E">
              <w:rPr>
                <w:sz w:val="22"/>
                <w:szCs w:val="22"/>
              </w:rPr>
              <w:t xml:space="preserve"> includes one or two employees of the school as members of the board of trustees, explicitly identify these </w:t>
            </w:r>
            <w:r>
              <w:rPr>
                <w:sz w:val="22"/>
                <w:szCs w:val="22"/>
              </w:rPr>
              <w:t>categories of membership by position and identify the numbers of such members.</w:t>
            </w:r>
            <w:r w:rsidRPr="00A0769E">
              <w:rPr>
                <w:sz w:val="22"/>
                <w:szCs w:val="22"/>
              </w:rPr>
              <w:br/>
            </w:r>
            <w:r w:rsidRPr="00A0769E">
              <w:rPr>
                <w:color w:val="632423" w:themeColor="accent2" w:themeShade="80"/>
                <w:sz w:val="22"/>
                <w:szCs w:val="22"/>
              </w:rPr>
              <w:t>Citation</w:t>
            </w:r>
            <w:r w:rsidRPr="00A0769E">
              <w:rPr>
                <w:sz w:val="22"/>
                <w:szCs w:val="22"/>
              </w:rPr>
              <w:t>: 603 CMR 1.06(2)</w:t>
            </w:r>
            <w:r>
              <w:rPr>
                <w:sz w:val="22"/>
                <w:szCs w:val="22"/>
              </w:rPr>
              <w:t>(f)</w:t>
            </w:r>
          </w:p>
        </w:tc>
        <w:tc>
          <w:tcPr>
            <w:tcW w:w="1739" w:type="dxa"/>
            <w:shd w:val="clear" w:color="auto" w:fill="auto"/>
            <w:vAlign w:val="center"/>
          </w:tcPr>
          <w:p w14:paraId="2DACC6A0" w14:textId="77777777" w:rsidR="00C80F84" w:rsidRPr="004673EB" w:rsidRDefault="00C80F84" w:rsidP="0079594E">
            <w:pPr>
              <w:jc w:val="center"/>
              <w:rPr>
                <w:b/>
                <w:sz w:val="22"/>
              </w:rPr>
            </w:pPr>
          </w:p>
        </w:tc>
      </w:tr>
      <w:tr w:rsidR="00B4144D" w:rsidRPr="004673EB" w14:paraId="2DACC6A4" w14:textId="77777777" w:rsidTr="00E22EED">
        <w:trPr>
          <w:trHeight w:val="706"/>
          <w:jc w:val="center"/>
        </w:trPr>
        <w:tc>
          <w:tcPr>
            <w:tcW w:w="8991" w:type="dxa"/>
            <w:shd w:val="clear" w:color="auto" w:fill="auto"/>
            <w:vAlign w:val="center"/>
          </w:tcPr>
          <w:p w14:paraId="2DACC6A2" w14:textId="77777777" w:rsidR="00206F55" w:rsidRDefault="0009697A">
            <w:pPr>
              <w:numPr>
                <w:ilvl w:val="0"/>
                <w:numId w:val="5"/>
              </w:numPr>
              <w:rPr>
                <w:sz w:val="22"/>
                <w:szCs w:val="22"/>
              </w:rPr>
            </w:pPr>
            <w:r>
              <w:rPr>
                <w:sz w:val="22"/>
                <w:szCs w:val="22"/>
              </w:rPr>
              <w:t xml:space="preserve">Specify </w:t>
            </w:r>
            <w:r w:rsidRPr="00283CF7">
              <w:rPr>
                <w:sz w:val="22"/>
              </w:rPr>
              <w:t>the number of years that shall constitute a board member’s term</w:t>
            </w:r>
            <w:r w:rsidRPr="004D3486">
              <w:rPr>
                <w:sz w:val="22"/>
                <w:szCs w:val="22"/>
              </w:rPr>
              <w:t xml:space="preserve"> </w:t>
            </w:r>
            <w:r>
              <w:rPr>
                <w:sz w:val="22"/>
                <w:szCs w:val="22"/>
              </w:rPr>
              <w:t>and s</w:t>
            </w:r>
            <w:r w:rsidR="00B4144D" w:rsidRPr="004D3486">
              <w:rPr>
                <w:sz w:val="22"/>
                <w:szCs w:val="22"/>
              </w:rPr>
              <w:t xml:space="preserve">et a specific, reasonable limit on successive </w:t>
            </w:r>
            <w:r w:rsidR="006A0982">
              <w:rPr>
                <w:sz w:val="22"/>
                <w:szCs w:val="22"/>
              </w:rPr>
              <w:t>and</w:t>
            </w:r>
            <w:r w:rsidR="006A0982" w:rsidRPr="004D3486">
              <w:rPr>
                <w:sz w:val="22"/>
                <w:szCs w:val="22"/>
              </w:rPr>
              <w:t xml:space="preserve"> </w:t>
            </w:r>
            <w:r w:rsidR="00B4144D" w:rsidRPr="004D3486">
              <w:rPr>
                <w:sz w:val="22"/>
                <w:szCs w:val="22"/>
              </w:rPr>
              <w:t xml:space="preserve">total terms that a </w:t>
            </w:r>
            <w:r w:rsidR="000F2BBA">
              <w:rPr>
                <w:sz w:val="22"/>
                <w:szCs w:val="22"/>
              </w:rPr>
              <w:t xml:space="preserve">board </w:t>
            </w:r>
            <w:r w:rsidR="00B4144D" w:rsidRPr="004D3486">
              <w:rPr>
                <w:sz w:val="22"/>
                <w:szCs w:val="22"/>
              </w:rPr>
              <w:t>member may serve.</w:t>
            </w:r>
            <w:r w:rsidR="00A0769E" w:rsidRPr="004D3486">
              <w:rPr>
                <w:sz w:val="22"/>
                <w:szCs w:val="22"/>
              </w:rPr>
              <w:br/>
            </w:r>
            <w:r w:rsidR="00A0769E" w:rsidRPr="004D3486">
              <w:rPr>
                <w:color w:val="632423" w:themeColor="accent2" w:themeShade="80"/>
                <w:sz w:val="22"/>
                <w:szCs w:val="22"/>
              </w:rPr>
              <w:t>Citation</w:t>
            </w:r>
            <w:r w:rsidR="00A0769E" w:rsidRPr="004D3486">
              <w:rPr>
                <w:sz w:val="22"/>
                <w:szCs w:val="22"/>
              </w:rPr>
              <w:t>: 603 CMR 1.06(2)</w:t>
            </w:r>
            <w:r w:rsidR="00501436">
              <w:rPr>
                <w:sz w:val="22"/>
                <w:szCs w:val="22"/>
              </w:rPr>
              <w:t>(a)</w:t>
            </w:r>
          </w:p>
        </w:tc>
        <w:tc>
          <w:tcPr>
            <w:tcW w:w="1739" w:type="dxa"/>
            <w:shd w:val="clear" w:color="auto" w:fill="auto"/>
            <w:vAlign w:val="center"/>
          </w:tcPr>
          <w:p w14:paraId="2DACC6A3" w14:textId="77777777" w:rsidR="00B4144D" w:rsidRPr="004673EB" w:rsidRDefault="00B4144D" w:rsidP="0079594E">
            <w:pPr>
              <w:jc w:val="center"/>
              <w:rPr>
                <w:b/>
                <w:sz w:val="22"/>
              </w:rPr>
            </w:pPr>
          </w:p>
        </w:tc>
      </w:tr>
      <w:tr w:rsidR="007267B2" w:rsidRPr="004673EB" w14:paraId="2DACC6A7" w14:textId="77777777" w:rsidTr="00E22EED">
        <w:trPr>
          <w:trHeight w:val="706"/>
          <w:jc w:val="center"/>
        </w:trPr>
        <w:tc>
          <w:tcPr>
            <w:tcW w:w="8991" w:type="dxa"/>
            <w:shd w:val="clear" w:color="auto" w:fill="auto"/>
            <w:vAlign w:val="center"/>
          </w:tcPr>
          <w:p w14:paraId="2DACC6A5" w14:textId="77777777" w:rsidR="00206F55" w:rsidRDefault="00152238">
            <w:pPr>
              <w:numPr>
                <w:ilvl w:val="0"/>
                <w:numId w:val="5"/>
              </w:numPr>
              <w:rPr>
                <w:sz w:val="22"/>
                <w:szCs w:val="22"/>
              </w:rPr>
            </w:pPr>
            <w:r>
              <w:rPr>
                <w:sz w:val="22"/>
                <w:szCs w:val="22"/>
              </w:rPr>
              <w:t>Specify</w:t>
            </w:r>
            <w:r w:rsidRPr="00B4144D">
              <w:rPr>
                <w:sz w:val="22"/>
                <w:szCs w:val="22"/>
              </w:rPr>
              <w:t xml:space="preserve"> </w:t>
            </w:r>
            <w:r w:rsidR="007267B2" w:rsidRPr="004D3486">
              <w:rPr>
                <w:sz w:val="22"/>
                <w:szCs w:val="22"/>
              </w:rPr>
              <w:t xml:space="preserve">that the board </w:t>
            </w:r>
            <w:r w:rsidR="000F2BBA">
              <w:rPr>
                <w:sz w:val="22"/>
                <w:szCs w:val="22"/>
              </w:rPr>
              <w:t xml:space="preserve">of trustees </w:t>
            </w:r>
            <w:r w:rsidR="007267B2" w:rsidRPr="004D3486">
              <w:rPr>
                <w:sz w:val="22"/>
                <w:szCs w:val="22"/>
              </w:rPr>
              <w:t>will exercise due diligence in assessing the suitability of candidates for board membership with respect to potential conflicts of interest and areas of skill and expertise that will be of value to the board of trustees, such due diligence to occur prior to a vote by the board of trustees to request the Commissioner to appoint the proposed member</w:t>
            </w:r>
            <w:r w:rsidR="009244A9">
              <w:rPr>
                <w:sz w:val="22"/>
                <w:szCs w:val="22"/>
              </w:rPr>
              <w:t>(</w:t>
            </w:r>
            <w:r w:rsidR="007267B2" w:rsidRPr="004D3486">
              <w:rPr>
                <w:sz w:val="22"/>
                <w:szCs w:val="22"/>
              </w:rPr>
              <w:t>s</w:t>
            </w:r>
            <w:r w:rsidR="009244A9">
              <w:rPr>
                <w:sz w:val="22"/>
                <w:szCs w:val="22"/>
              </w:rPr>
              <w:t>)</w:t>
            </w:r>
            <w:r w:rsidR="006B6236">
              <w:rPr>
                <w:sz w:val="22"/>
                <w:szCs w:val="22"/>
              </w:rPr>
              <w:t>.</w:t>
            </w:r>
            <w:r w:rsidR="004B1E56">
              <w:rPr>
                <w:sz w:val="22"/>
                <w:szCs w:val="22"/>
              </w:rPr>
              <w:t xml:space="preserve"> Prior to submitting a candidate to the Commissioner for approval, the board of trustees must determine that no </w:t>
            </w:r>
            <w:r w:rsidR="004B1E56" w:rsidRPr="00283CF7">
              <w:rPr>
                <w:sz w:val="22"/>
              </w:rPr>
              <w:t>financial interest</w:t>
            </w:r>
            <w:r w:rsidR="004B1E56">
              <w:rPr>
                <w:sz w:val="22"/>
              </w:rPr>
              <w:t>s</w:t>
            </w:r>
            <w:r w:rsidR="004B1E56" w:rsidRPr="00283CF7">
              <w:rPr>
                <w:sz w:val="22"/>
              </w:rPr>
              <w:t xml:space="preserve"> under</w:t>
            </w:r>
            <w:r w:rsidR="001F19A9">
              <w:rPr>
                <w:sz w:val="22"/>
              </w:rPr>
              <w:t xml:space="preserve"> </w:t>
            </w:r>
            <w:r w:rsidR="004B1E56" w:rsidRPr="00283CF7">
              <w:rPr>
                <w:sz w:val="22"/>
              </w:rPr>
              <w:t xml:space="preserve">G.L. c. 268A </w:t>
            </w:r>
            <w:r w:rsidR="004B1E56">
              <w:rPr>
                <w:sz w:val="22"/>
              </w:rPr>
              <w:t xml:space="preserve">exist </w:t>
            </w:r>
            <w:r w:rsidR="004B1E56" w:rsidRPr="00283CF7">
              <w:rPr>
                <w:sz w:val="22"/>
              </w:rPr>
              <w:t xml:space="preserve">which may preclude </w:t>
            </w:r>
            <w:proofErr w:type="gramStart"/>
            <w:r w:rsidR="004B1E56" w:rsidRPr="00283CF7">
              <w:rPr>
                <w:sz w:val="22"/>
              </w:rPr>
              <w:t>a majority of</w:t>
            </w:r>
            <w:proofErr w:type="gramEnd"/>
            <w:r w:rsidR="004B1E56" w:rsidRPr="00283CF7">
              <w:rPr>
                <w:sz w:val="22"/>
              </w:rPr>
              <w:t xml:space="preserve"> the board from participating in deliberations or voting on certain matters </w:t>
            </w:r>
            <w:r w:rsidR="004B1E56">
              <w:rPr>
                <w:sz w:val="22"/>
              </w:rPr>
              <w:t>within the scope of</w:t>
            </w:r>
            <w:r w:rsidR="004B1E56" w:rsidRPr="00283CF7">
              <w:rPr>
                <w:sz w:val="22"/>
              </w:rPr>
              <w:t xml:space="preserve"> the board</w:t>
            </w:r>
            <w:r w:rsidR="004B1E56">
              <w:rPr>
                <w:sz w:val="22"/>
              </w:rPr>
              <w:t>’s authority</w:t>
            </w:r>
            <w:r w:rsidR="004B1E56" w:rsidRPr="00283CF7">
              <w:rPr>
                <w:sz w:val="22"/>
              </w:rPr>
              <w:t>.</w:t>
            </w:r>
            <w:r w:rsidR="00A0769E" w:rsidRPr="004D3486">
              <w:rPr>
                <w:sz w:val="22"/>
                <w:szCs w:val="22"/>
              </w:rPr>
              <w:br/>
            </w:r>
            <w:r w:rsidR="00A0769E" w:rsidRPr="004D3486">
              <w:rPr>
                <w:color w:val="632423" w:themeColor="accent2" w:themeShade="80"/>
                <w:sz w:val="22"/>
                <w:szCs w:val="22"/>
              </w:rPr>
              <w:t>Citation</w:t>
            </w:r>
            <w:r w:rsidR="00A0769E" w:rsidRPr="004D3486">
              <w:rPr>
                <w:sz w:val="22"/>
                <w:szCs w:val="22"/>
              </w:rPr>
              <w:t>: 603 CMR 1.06(2)</w:t>
            </w:r>
            <w:r w:rsidR="006E7028">
              <w:rPr>
                <w:sz w:val="22"/>
                <w:szCs w:val="22"/>
              </w:rPr>
              <w:t>(b)</w:t>
            </w:r>
          </w:p>
        </w:tc>
        <w:tc>
          <w:tcPr>
            <w:tcW w:w="1739" w:type="dxa"/>
            <w:shd w:val="clear" w:color="auto" w:fill="auto"/>
            <w:vAlign w:val="center"/>
          </w:tcPr>
          <w:p w14:paraId="2DACC6A6" w14:textId="77777777" w:rsidR="007267B2" w:rsidRPr="004673EB" w:rsidRDefault="007267B2" w:rsidP="0079594E">
            <w:pPr>
              <w:jc w:val="center"/>
              <w:rPr>
                <w:b/>
                <w:sz w:val="22"/>
              </w:rPr>
            </w:pPr>
          </w:p>
        </w:tc>
      </w:tr>
      <w:tr w:rsidR="000E203C" w:rsidRPr="004673EB" w14:paraId="2DACC6AA" w14:textId="77777777" w:rsidTr="00E22EED">
        <w:trPr>
          <w:trHeight w:val="706"/>
          <w:jc w:val="center"/>
        </w:trPr>
        <w:tc>
          <w:tcPr>
            <w:tcW w:w="8991" w:type="dxa"/>
            <w:shd w:val="clear" w:color="auto" w:fill="auto"/>
            <w:vAlign w:val="center"/>
          </w:tcPr>
          <w:p w14:paraId="2DACC6A8" w14:textId="77777777" w:rsidR="000E203C" w:rsidRDefault="000E203C">
            <w:pPr>
              <w:numPr>
                <w:ilvl w:val="0"/>
                <w:numId w:val="5"/>
              </w:numPr>
              <w:rPr>
                <w:sz w:val="22"/>
                <w:szCs w:val="22"/>
              </w:rPr>
            </w:pPr>
            <w:r w:rsidRPr="000E203C">
              <w:rPr>
                <w:sz w:val="22"/>
              </w:rPr>
              <w:t>Specify the process by which a trustee may resign or be removed from the board.</w:t>
            </w:r>
          </w:p>
        </w:tc>
        <w:tc>
          <w:tcPr>
            <w:tcW w:w="1739" w:type="dxa"/>
            <w:shd w:val="clear" w:color="auto" w:fill="auto"/>
            <w:vAlign w:val="center"/>
          </w:tcPr>
          <w:p w14:paraId="2DACC6A9" w14:textId="77777777" w:rsidR="000E203C" w:rsidRPr="004673EB" w:rsidRDefault="000E203C" w:rsidP="0079594E">
            <w:pPr>
              <w:jc w:val="center"/>
              <w:rPr>
                <w:b/>
                <w:sz w:val="22"/>
              </w:rPr>
            </w:pPr>
          </w:p>
        </w:tc>
      </w:tr>
      <w:tr w:rsidR="00256E98" w:rsidRPr="004673EB" w14:paraId="2DACC6AE" w14:textId="77777777" w:rsidTr="00E22EED">
        <w:trPr>
          <w:trHeight w:val="706"/>
          <w:jc w:val="center"/>
        </w:trPr>
        <w:tc>
          <w:tcPr>
            <w:tcW w:w="8991" w:type="dxa"/>
            <w:shd w:val="clear" w:color="auto" w:fill="auto"/>
            <w:vAlign w:val="center"/>
          </w:tcPr>
          <w:p w14:paraId="2DACC6AB" w14:textId="77777777" w:rsidR="00AD6CC2" w:rsidRPr="004A7528" w:rsidRDefault="00AD6CC2" w:rsidP="00AD6CC2">
            <w:pPr>
              <w:pStyle w:val="ListParagraph"/>
              <w:numPr>
                <w:ilvl w:val="0"/>
                <w:numId w:val="5"/>
              </w:numPr>
              <w:spacing w:after="120"/>
              <w:contextualSpacing w:val="0"/>
              <w:jc w:val="both"/>
              <w:rPr>
                <w:sz w:val="22"/>
                <w:szCs w:val="22"/>
              </w:rPr>
            </w:pPr>
            <w:r>
              <w:rPr>
                <w:sz w:val="22"/>
              </w:rPr>
              <w:lastRenderedPageBreak/>
              <w:t>Spe</w:t>
            </w:r>
            <w:r w:rsidRPr="00E22EED">
              <w:rPr>
                <w:sz w:val="22"/>
              </w:rPr>
              <w:t>cify that action by the board requires a majority vote of a quorum of trustees and, to the degree required, specify the situations for which approval may require a special majority.</w:t>
            </w:r>
            <w:r>
              <w:rPr>
                <w:sz w:val="22"/>
              </w:rPr>
              <w:t xml:space="preserve"> Specify that a quorum is </w:t>
            </w:r>
            <w:proofErr w:type="gramStart"/>
            <w:r>
              <w:rPr>
                <w:sz w:val="22"/>
              </w:rPr>
              <w:t>a majority of</w:t>
            </w:r>
            <w:proofErr w:type="gramEnd"/>
            <w:r>
              <w:rPr>
                <w:sz w:val="22"/>
              </w:rPr>
              <w:t xml:space="preserve"> the trustees serving on the board.  Absent such a provision defining a quorum, a quorum will be </w:t>
            </w:r>
            <w:proofErr w:type="gramStart"/>
            <w:r>
              <w:rPr>
                <w:sz w:val="22"/>
              </w:rPr>
              <w:t>the majority of</w:t>
            </w:r>
            <w:proofErr w:type="gramEnd"/>
            <w:r>
              <w:rPr>
                <w:sz w:val="22"/>
              </w:rPr>
              <w:t xml:space="preserve"> trustees of the “body as constituted,” irrespective of vacancies.  </w:t>
            </w:r>
          </w:p>
          <w:p w14:paraId="2DACC6AC" w14:textId="77777777" w:rsidR="00256E98" w:rsidRDefault="00AD6CC2" w:rsidP="00C5058C">
            <w:pPr>
              <w:ind w:left="360"/>
              <w:rPr>
                <w:sz w:val="22"/>
                <w:szCs w:val="22"/>
              </w:rPr>
            </w:pPr>
            <w:r w:rsidRPr="000E5C3F">
              <w:rPr>
                <w:sz w:val="22"/>
                <w:u w:val="single"/>
              </w:rPr>
              <w:t>Se</w:t>
            </w:r>
            <w:r w:rsidRPr="00B728F2">
              <w:rPr>
                <w:sz w:val="22"/>
                <w:u w:val="single"/>
              </w:rPr>
              <w:t xml:space="preserve">e </w:t>
            </w:r>
            <w:r w:rsidRPr="00B728F2">
              <w:rPr>
                <w:iCs/>
                <w:sz w:val="22"/>
                <w:u w:val="single"/>
              </w:rPr>
              <w:t>G</w:t>
            </w:r>
            <w:r w:rsidRPr="00920B98">
              <w:rPr>
                <w:iCs/>
                <w:sz w:val="22"/>
                <w:u w:val="single"/>
              </w:rPr>
              <w:t>amache v. Town of Acushnet</w:t>
            </w:r>
            <w:r w:rsidRPr="000E5C3F">
              <w:rPr>
                <w:sz w:val="22"/>
              </w:rPr>
              <w:t>, 14 Mass. App. Ct. 215, 219 (1982) (noting that a Town bylaw established a board of appeals of five members, and a temporary vacancy did not alter that bylaw).</w:t>
            </w:r>
          </w:p>
        </w:tc>
        <w:tc>
          <w:tcPr>
            <w:tcW w:w="1739" w:type="dxa"/>
            <w:shd w:val="clear" w:color="auto" w:fill="auto"/>
            <w:vAlign w:val="center"/>
          </w:tcPr>
          <w:p w14:paraId="2DACC6AD" w14:textId="77777777" w:rsidR="00256E98" w:rsidRPr="004673EB" w:rsidRDefault="00256E98" w:rsidP="0079594E">
            <w:pPr>
              <w:jc w:val="center"/>
              <w:rPr>
                <w:b/>
                <w:sz w:val="22"/>
              </w:rPr>
            </w:pPr>
          </w:p>
        </w:tc>
      </w:tr>
      <w:tr w:rsidR="00AD6CC2" w:rsidRPr="004673EB" w14:paraId="2DACC6B1" w14:textId="77777777" w:rsidTr="00E22EED">
        <w:trPr>
          <w:trHeight w:val="706"/>
          <w:jc w:val="center"/>
        </w:trPr>
        <w:tc>
          <w:tcPr>
            <w:tcW w:w="8991" w:type="dxa"/>
            <w:shd w:val="clear" w:color="auto" w:fill="auto"/>
            <w:vAlign w:val="center"/>
          </w:tcPr>
          <w:p w14:paraId="2DACC6AF" w14:textId="77777777" w:rsidR="00AD6CC2" w:rsidRDefault="00AD6CC2" w:rsidP="00B4144D">
            <w:pPr>
              <w:numPr>
                <w:ilvl w:val="0"/>
                <w:numId w:val="5"/>
              </w:numPr>
              <w:rPr>
                <w:sz w:val="22"/>
                <w:szCs w:val="22"/>
              </w:rPr>
            </w:pPr>
            <w:r>
              <w:rPr>
                <w:sz w:val="22"/>
                <w:szCs w:val="22"/>
              </w:rPr>
              <w:t xml:space="preserve">Specify </w:t>
            </w:r>
            <w:r>
              <w:rPr>
                <w:sz w:val="22"/>
              </w:rPr>
              <w:t xml:space="preserve">the number and titles of board officers, describe </w:t>
            </w:r>
            <w:r>
              <w:rPr>
                <w:sz w:val="22"/>
                <w:szCs w:val="22"/>
              </w:rPr>
              <w:t>the responsibilities of each officer, and describe the process for electing officers</w:t>
            </w:r>
            <w:r w:rsidRPr="00920B98">
              <w:rPr>
                <w:iCs/>
                <w:sz w:val="22"/>
                <w:szCs w:val="22"/>
              </w:rPr>
              <w:t>.</w:t>
            </w:r>
          </w:p>
        </w:tc>
        <w:tc>
          <w:tcPr>
            <w:tcW w:w="1739" w:type="dxa"/>
            <w:shd w:val="clear" w:color="auto" w:fill="auto"/>
            <w:vAlign w:val="center"/>
          </w:tcPr>
          <w:p w14:paraId="2DACC6B0" w14:textId="77777777" w:rsidR="00AD6CC2" w:rsidRPr="004673EB" w:rsidRDefault="00AD6CC2" w:rsidP="0079594E">
            <w:pPr>
              <w:jc w:val="center"/>
              <w:rPr>
                <w:b/>
                <w:sz w:val="22"/>
              </w:rPr>
            </w:pPr>
          </w:p>
        </w:tc>
      </w:tr>
      <w:tr w:rsidR="007267B2" w:rsidRPr="004673EB" w14:paraId="2DACC6B4" w14:textId="77777777" w:rsidTr="00E22EED">
        <w:trPr>
          <w:trHeight w:val="706"/>
          <w:jc w:val="center"/>
        </w:trPr>
        <w:tc>
          <w:tcPr>
            <w:tcW w:w="8991" w:type="dxa"/>
            <w:shd w:val="clear" w:color="auto" w:fill="auto"/>
            <w:vAlign w:val="center"/>
          </w:tcPr>
          <w:p w14:paraId="2DACC6B2" w14:textId="77777777" w:rsidR="007267B2" w:rsidRPr="00A0769E" w:rsidRDefault="00C80F84" w:rsidP="00B4144D">
            <w:pPr>
              <w:numPr>
                <w:ilvl w:val="0"/>
                <w:numId w:val="5"/>
              </w:numPr>
              <w:rPr>
                <w:sz w:val="22"/>
                <w:szCs w:val="22"/>
              </w:rPr>
            </w:pPr>
            <w:r>
              <w:rPr>
                <w:sz w:val="22"/>
                <w:szCs w:val="22"/>
              </w:rPr>
              <w:t>Specify the process by which committees are formed.</w:t>
            </w:r>
          </w:p>
        </w:tc>
        <w:tc>
          <w:tcPr>
            <w:tcW w:w="1739" w:type="dxa"/>
            <w:shd w:val="clear" w:color="auto" w:fill="auto"/>
            <w:vAlign w:val="center"/>
          </w:tcPr>
          <w:p w14:paraId="2DACC6B3" w14:textId="77777777" w:rsidR="007267B2" w:rsidRPr="004673EB" w:rsidRDefault="007267B2" w:rsidP="0079594E">
            <w:pPr>
              <w:jc w:val="center"/>
              <w:rPr>
                <w:b/>
                <w:sz w:val="22"/>
              </w:rPr>
            </w:pPr>
          </w:p>
        </w:tc>
      </w:tr>
      <w:tr w:rsidR="004A7528" w:rsidRPr="004673EB" w14:paraId="2DACC6B8" w14:textId="77777777" w:rsidTr="00E22EED">
        <w:trPr>
          <w:trHeight w:val="706"/>
          <w:jc w:val="center"/>
        </w:trPr>
        <w:tc>
          <w:tcPr>
            <w:tcW w:w="8991" w:type="dxa"/>
            <w:shd w:val="clear" w:color="auto" w:fill="auto"/>
            <w:vAlign w:val="center"/>
          </w:tcPr>
          <w:p w14:paraId="2DACC6B5" w14:textId="77777777" w:rsidR="00256E98" w:rsidRPr="004D3486" w:rsidRDefault="00256E98" w:rsidP="00256E98">
            <w:pPr>
              <w:numPr>
                <w:ilvl w:val="0"/>
                <w:numId w:val="5"/>
              </w:numPr>
              <w:rPr>
                <w:sz w:val="22"/>
                <w:szCs w:val="22"/>
              </w:rPr>
            </w:pPr>
            <w:r w:rsidRPr="004D3486">
              <w:rPr>
                <w:sz w:val="22"/>
                <w:szCs w:val="22"/>
              </w:rPr>
              <w:t xml:space="preserve">Describe the procedure for </w:t>
            </w:r>
            <w:r>
              <w:rPr>
                <w:sz w:val="22"/>
                <w:szCs w:val="22"/>
              </w:rPr>
              <w:t>bringing complaints to the board of trustees and for the board of trustees to respond</w:t>
            </w:r>
            <w:r w:rsidRPr="004D3486">
              <w:rPr>
                <w:sz w:val="22"/>
                <w:szCs w:val="22"/>
              </w:rPr>
              <w:t xml:space="preserve"> </w:t>
            </w:r>
            <w:r>
              <w:rPr>
                <w:sz w:val="22"/>
                <w:szCs w:val="22"/>
              </w:rPr>
              <w:t xml:space="preserve">in writing </w:t>
            </w:r>
            <w:r w:rsidRPr="004D3486">
              <w:rPr>
                <w:sz w:val="22"/>
                <w:szCs w:val="22"/>
              </w:rPr>
              <w:t xml:space="preserve">to any </w:t>
            </w:r>
            <w:r>
              <w:rPr>
                <w:sz w:val="22"/>
                <w:szCs w:val="22"/>
              </w:rPr>
              <w:t>such complaints fi</w:t>
            </w:r>
            <w:r w:rsidRPr="004D3486">
              <w:rPr>
                <w:sz w:val="22"/>
                <w:szCs w:val="22"/>
              </w:rPr>
              <w:t xml:space="preserve">led with </w:t>
            </w:r>
            <w:r>
              <w:rPr>
                <w:sz w:val="22"/>
                <w:szCs w:val="22"/>
              </w:rPr>
              <w:t>it</w:t>
            </w:r>
            <w:r w:rsidRPr="004D3486">
              <w:rPr>
                <w:sz w:val="22"/>
                <w:szCs w:val="22"/>
              </w:rPr>
              <w:t>.</w:t>
            </w:r>
          </w:p>
          <w:p w14:paraId="2DACC6B6" w14:textId="77777777" w:rsidR="004A7528" w:rsidRPr="00256E98" w:rsidRDefault="00256E98" w:rsidP="00C5058C">
            <w:pPr>
              <w:spacing w:after="120"/>
              <w:ind w:left="307"/>
              <w:jc w:val="both"/>
              <w:rPr>
                <w:sz w:val="22"/>
                <w:szCs w:val="22"/>
              </w:rPr>
            </w:pPr>
            <w:r w:rsidRPr="00256E98">
              <w:rPr>
                <w:color w:val="632423" w:themeColor="accent2" w:themeShade="80"/>
                <w:sz w:val="22"/>
                <w:szCs w:val="22"/>
              </w:rPr>
              <w:t>Citation:</w:t>
            </w:r>
            <w:r w:rsidRPr="00256E98">
              <w:rPr>
                <w:sz w:val="22"/>
                <w:szCs w:val="22"/>
              </w:rPr>
              <w:t xml:space="preserve"> G.L. c. 71, § 89(</w:t>
            </w:r>
            <w:proofErr w:type="spellStart"/>
            <w:r w:rsidRPr="00256E98">
              <w:rPr>
                <w:sz w:val="22"/>
                <w:szCs w:val="22"/>
              </w:rPr>
              <w:t>ll</w:t>
            </w:r>
            <w:proofErr w:type="spellEnd"/>
            <w:r w:rsidRPr="00256E98">
              <w:rPr>
                <w:sz w:val="22"/>
                <w:szCs w:val="22"/>
              </w:rPr>
              <w:t>); 603 CMR 1.06(1)(h) and 1.09</w:t>
            </w:r>
          </w:p>
        </w:tc>
        <w:tc>
          <w:tcPr>
            <w:tcW w:w="1739" w:type="dxa"/>
            <w:shd w:val="clear" w:color="auto" w:fill="auto"/>
            <w:vAlign w:val="center"/>
          </w:tcPr>
          <w:p w14:paraId="2DACC6B7" w14:textId="77777777" w:rsidR="004A7528" w:rsidRPr="004673EB" w:rsidRDefault="004A7528" w:rsidP="0079594E">
            <w:pPr>
              <w:jc w:val="center"/>
              <w:rPr>
                <w:b/>
                <w:sz w:val="22"/>
              </w:rPr>
            </w:pPr>
          </w:p>
        </w:tc>
      </w:tr>
    </w:tbl>
    <w:p w14:paraId="2DACC6B9" w14:textId="77777777" w:rsidR="004D3486" w:rsidRPr="004D3486" w:rsidRDefault="004D3486" w:rsidP="004D3486">
      <w:pPr>
        <w:pStyle w:val="ListParagraph"/>
        <w:rPr>
          <w:sz w:val="22"/>
        </w:rPr>
      </w:pPr>
    </w:p>
    <w:sectPr w:rsidR="004D3486" w:rsidRPr="004D3486" w:rsidSect="004673E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C6BC" w14:textId="77777777" w:rsidR="006F6E06" w:rsidRDefault="006F6E06" w:rsidP="00BF2E57">
      <w:r>
        <w:separator/>
      </w:r>
    </w:p>
  </w:endnote>
  <w:endnote w:type="continuationSeparator" w:id="0">
    <w:p w14:paraId="2DACC6BD" w14:textId="77777777" w:rsidR="006F6E06" w:rsidRDefault="006F6E06" w:rsidP="00BF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749968"/>
      <w:docPartObj>
        <w:docPartGallery w:val="Page Numbers (Bottom of Page)"/>
        <w:docPartUnique/>
      </w:docPartObj>
    </w:sdtPr>
    <w:sdtEndPr/>
    <w:sdtContent>
      <w:p w14:paraId="2DACC6BF" w14:textId="77777777" w:rsidR="000126A4" w:rsidRDefault="000E4877">
        <w:pPr>
          <w:pStyle w:val="Footer"/>
          <w:jc w:val="center"/>
        </w:pPr>
        <w:r>
          <w:fldChar w:fldCharType="begin"/>
        </w:r>
        <w:r w:rsidR="000126A4">
          <w:instrText xml:space="preserve"> PAGE   \* MERGEFORMAT </w:instrText>
        </w:r>
        <w:r>
          <w:fldChar w:fldCharType="separate"/>
        </w:r>
        <w:r w:rsidR="00107111">
          <w:rPr>
            <w:noProof/>
          </w:rPr>
          <w:t>1</w:t>
        </w:r>
        <w:r>
          <w:rPr>
            <w:noProof/>
          </w:rPr>
          <w:fldChar w:fldCharType="end"/>
        </w:r>
      </w:p>
    </w:sdtContent>
  </w:sdt>
  <w:p w14:paraId="2DACC6C0" w14:textId="77777777" w:rsidR="000126A4" w:rsidRDefault="00012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C6BA" w14:textId="77777777" w:rsidR="006F6E06" w:rsidRDefault="006F6E06" w:rsidP="00BF2E57">
      <w:r>
        <w:separator/>
      </w:r>
    </w:p>
  </w:footnote>
  <w:footnote w:type="continuationSeparator" w:id="0">
    <w:p w14:paraId="2DACC6BB" w14:textId="77777777" w:rsidR="006F6E06" w:rsidRDefault="006F6E06" w:rsidP="00BF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C6BE" w14:textId="77777777" w:rsidR="000126A4" w:rsidRDefault="00012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236756A1"/>
    <w:multiLevelType w:val="hybridMultilevel"/>
    <w:tmpl w:val="3148EC4C"/>
    <w:lvl w:ilvl="0" w:tplc="080AC5F4">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7DD5D92"/>
    <w:multiLevelType w:val="hybridMultilevel"/>
    <w:tmpl w:val="F13C1C08"/>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111E6"/>
    <w:multiLevelType w:val="hybridMultilevel"/>
    <w:tmpl w:val="CF5C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C50606B"/>
    <w:multiLevelType w:val="hybridMultilevel"/>
    <w:tmpl w:val="49387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F66C08"/>
    <w:multiLevelType w:val="hybridMultilevel"/>
    <w:tmpl w:val="8074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76143B"/>
    <w:multiLevelType w:val="hybridMultilevel"/>
    <w:tmpl w:val="8FE84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8"/>
  </w:num>
  <w:num w:numId="4">
    <w:abstractNumId w:val="4"/>
  </w:num>
  <w:num w:numId="5">
    <w:abstractNumId w:val="1"/>
  </w:num>
  <w:num w:numId="6">
    <w:abstractNumId w:val="7"/>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94E"/>
    <w:rsid w:val="000126A4"/>
    <w:rsid w:val="00065544"/>
    <w:rsid w:val="00085FD8"/>
    <w:rsid w:val="0009697A"/>
    <w:rsid w:val="000A3920"/>
    <w:rsid w:val="000A540F"/>
    <w:rsid w:val="000D595C"/>
    <w:rsid w:val="000E203C"/>
    <w:rsid w:val="000E2F38"/>
    <w:rsid w:val="000E4877"/>
    <w:rsid w:val="000E5C3F"/>
    <w:rsid w:val="000F2BBA"/>
    <w:rsid w:val="0010691E"/>
    <w:rsid w:val="00107111"/>
    <w:rsid w:val="0011423B"/>
    <w:rsid w:val="00134AF3"/>
    <w:rsid w:val="00140BA9"/>
    <w:rsid w:val="00141AD4"/>
    <w:rsid w:val="001477DA"/>
    <w:rsid w:val="00152238"/>
    <w:rsid w:val="00153C51"/>
    <w:rsid w:val="00155AAB"/>
    <w:rsid w:val="00171401"/>
    <w:rsid w:val="00193256"/>
    <w:rsid w:val="001A1DE3"/>
    <w:rsid w:val="001A226B"/>
    <w:rsid w:val="001A7210"/>
    <w:rsid w:val="001F19A9"/>
    <w:rsid w:val="001F78E3"/>
    <w:rsid w:val="00206F55"/>
    <w:rsid w:val="00217351"/>
    <w:rsid w:val="00221B68"/>
    <w:rsid w:val="0025565C"/>
    <w:rsid w:val="00256E98"/>
    <w:rsid w:val="00275063"/>
    <w:rsid w:val="00280FA7"/>
    <w:rsid w:val="00283CF7"/>
    <w:rsid w:val="002A5E80"/>
    <w:rsid w:val="002D4A11"/>
    <w:rsid w:val="002E7C09"/>
    <w:rsid w:val="00352740"/>
    <w:rsid w:val="0037273B"/>
    <w:rsid w:val="00377F49"/>
    <w:rsid w:val="003A2739"/>
    <w:rsid w:val="003A5AE5"/>
    <w:rsid w:val="003B2A35"/>
    <w:rsid w:val="00424335"/>
    <w:rsid w:val="004657B3"/>
    <w:rsid w:val="004673EB"/>
    <w:rsid w:val="004847D3"/>
    <w:rsid w:val="00495F7C"/>
    <w:rsid w:val="004A7528"/>
    <w:rsid w:val="004B1E56"/>
    <w:rsid w:val="004B607A"/>
    <w:rsid w:val="004D3486"/>
    <w:rsid w:val="004F4FBF"/>
    <w:rsid w:val="00501436"/>
    <w:rsid w:val="00542743"/>
    <w:rsid w:val="00587FEC"/>
    <w:rsid w:val="005C4CA4"/>
    <w:rsid w:val="005D3022"/>
    <w:rsid w:val="005E7C7A"/>
    <w:rsid w:val="0065655C"/>
    <w:rsid w:val="006579EF"/>
    <w:rsid w:val="00671BCA"/>
    <w:rsid w:val="00674F85"/>
    <w:rsid w:val="006923B8"/>
    <w:rsid w:val="006A0982"/>
    <w:rsid w:val="006B1D64"/>
    <w:rsid w:val="006B6236"/>
    <w:rsid w:val="006E197C"/>
    <w:rsid w:val="006E7028"/>
    <w:rsid w:val="006F6E06"/>
    <w:rsid w:val="00714CF1"/>
    <w:rsid w:val="007267B2"/>
    <w:rsid w:val="00727B80"/>
    <w:rsid w:val="0077445D"/>
    <w:rsid w:val="0079594E"/>
    <w:rsid w:val="007A1BAD"/>
    <w:rsid w:val="007B7782"/>
    <w:rsid w:val="00811A58"/>
    <w:rsid w:val="0081677A"/>
    <w:rsid w:val="0087582B"/>
    <w:rsid w:val="00891F7A"/>
    <w:rsid w:val="008C1814"/>
    <w:rsid w:val="008C6648"/>
    <w:rsid w:val="008E7A6B"/>
    <w:rsid w:val="009134BD"/>
    <w:rsid w:val="0091543F"/>
    <w:rsid w:val="00920B98"/>
    <w:rsid w:val="009244A9"/>
    <w:rsid w:val="009347D5"/>
    <w:rsid w:val="0094295D"/>
    <w:rsid w:val="009B3D10"/>
    <w:rsid w:val="009C77A9"/>
    <w:rsid w:val="009E698B"/>
    <w:rsid w:val="00A05219"/>
    <w:rsid w:val="00A0769E"/>
    <w:rsid w:val="00A13AE8"/>
    <w:rsid w:val="00A31A73"/>
    <w:rsid w:val="00AA7539"/>
    <w:rsid w:val="00AD39B8"/>
    <w:rsid w:val="00AD6CC2"/>
    <w:rsid w:val="00AE1601"/>
    <w:rsid w:val="00B23FE7"/>
    <w:rsid w:val="00B4144D"/>
    <w:rsid w:val="00B462A8"/>
    <w:rsid w:val="00B728F2"/>
    <w:rsid w:val="00B764C1"/>
    <w:rsid w:val="00B83FCA"/>
    <w:rsid w:val="00B84B28"/>
    <w:rsid w:val="00B87C56"/>
    <w:rsid w:val="00BA0E80"/>
    <w:rsid w:val="00BC539D"/>
    <w:rsid w:val="00BF2E57"/>
    <w:rsid w:val="00C05092"/>
    <w:rsid w:val="00C4175B"/>
    <w:rsid w:val="00C5058C"/>
    <w:rsid w:val="00C672DE"/>
    <w:rsid w:val="00C80760"/>
    <w:rsid w:val="00C80F84"/>
    <w:rsid w:val="00CB1BD0"/>
    <w:rsid w:val="00CB29CD"/>
    <w:rsid w:val="00CE1473"/>
    <w:rsid w:val="00CE4EAF"/>
    <w:rsid w:val="00D86E10"/>
    <w:rsid w:val="00E05D5A"/>
    <w:rsid w:val="00E22EED"/>
    <w:rsid w:val="00E259C4"/>
    <w:rsid w:val="00E378BE"/>
    <w:rsid w:val="00E4329C"/>
    <w:rsid w:val="00E81AC1"/>
    <w:rsid w:val="00EA0A8A"/>
    <w:rsid w:val="00EC4500"/>
    <w:rsid w:val="00F434B2"/>
    <w:rsid w:val="00F55581"/>
    <w:rsid w:val="00F558C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DACC65D"/>
  <w15:docId w15:val="{918979A0-6FF1-42D1-A5AA-F98CDCB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F49"/>
    <w:rPr>
      <w:sz w:val="24"/>
      <w:szCs w:val="24"/>
    </w:rPr>
  </w:style>
  <w:style w:type="paragraph" w:styleId="Heading1">
    <w:name w:val="heading 1"/>
    <w:next w:val="Normal"/>
    <w:link w:val="Heading1Char"/>
    <w:qFormat/>
    <w:rsid w:val="00377F49"/>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377F49"/>
    <w:pPr>
      <w:keepNext/>
      <w:spacing w:before="240"/>
      <w:outlineLvl w:val="1"/>
    </w:pPr>
    <w:rPr>
      <w:rFonts w:cs="Arial"/>
      <w:b/>
      <w:bCs/>
      <w:iCs/>
      <w:szCs w:val="28"/>
    </w:rPr>
  </w:style>
  <w:style w:type="paragraph" w:styleId="Heading3">
    <w:name w:val="heading 3"/>
    <w:basedOn w:val="Normal"/>
    <w:next w:val="Normal"/>
    <w:link w:val="Heading3Char"/>
    <w:qFormat/>
    <w:rsid w:val="00377F49"/>
    <w:pPr>
      <w:keepNext/>
      <w:spacing w:before="240" w:after="60"/>
      <w:outlineLvl w:val="2"/>
    </w:pPr>
    <w:rPr>
      <w:rFonts w:cs="Arial"/>
      <w:b/>
      <w:bCs/>
      <w:szCs w:val="26"/>
      <w:u w:val="single"/>
    </w:rPr>
  </w:style>
  <w:style w:type="paragraph" w:styleId="Heading4">
    <w:name w:val="heading 4"/>
    <w:basedOn w:val="Normal"/>
    <w:next w:val="Normal"/>
    <w:link w:val="Heading4Char"/>
    <w:qFormat/>
    <w:rsid w:val="00377F49"/>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377F4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77F4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7F49"/>
    <w:rPr>
      <w:rFonts w:ascii="Arial" w:hAnsi="Arial" w:cs="Arial"/>
      <w:b/>
      <w:bCs/>
      <w:kern w:val="32"/>
      <w:sz w:val="32"/>
      <w:szCs w:val="32"/>
    </w:rPr>
  </w:style>
  <w:style w:type="character" w:customStyle="1" w:styleId="Heading2Char">
    <w:name w:val="Heading 2 Char"/>
    <w:basedOn w:val="DefaultParagraphFont"/>
    <w:link w:val="Heading2"/>
    <w:rsid w:val="00377F49"/>
    <w:rPr>
      <w:rFonts w:cs="Arial"/>
      <w:b/>
      <w:bCs/>
      <w:iCs/>
      <w:sz w:val="24"/>
      <w:szCs w:val="28"/>
    </w:rPr>
  </w:style>
  <w:style w:type="character" w:customStyle="1" w:styleId="Heading3Char">
    <w:name w:val="Heading 3 Char"/>
    <w:basedOn w:val="DefaultParagraphFont"/>
    <w:link w:val="Heading3"/>
    <w:rsid w:val="00377F49"/>
    <w:rPr>
      <w:rFonts w:cs="Arial"/>
      <w:b/>
      <w:bCs/>
      <w:sz w:val="24"/>
      <w:szCs w:val="26"/>
      <w:u w:val="single"/>
    </w:rPr>
  </w:style>
  <w:style w:type="character" w:customStyle="1" w:styleId="Heading4Char">
    <w:name w:val="Heading 4 Char"/>
    <w:basedOn w:val="DefaultParagraphFont"/>
    <w:link w:val="Heading4"/>
    <w:rsid w:val="00377F49"/>
    <w:rPr>
      <w:rFonts w:ascii="Arial" w:hAnsi="Arial"/>
      <w:bCs/>
      <w:sz w:val="24"/>
      <w:szCs w:val="28"/>
    </w:rPr>
  </w:style>
  <w:style w:type="character" w:customStyle="1" w:styleId="Heading5Char">
    <w:name w:val="Heading 5 Char"/>
    <w:basedOn w:val="DefaultParagraphFont"/>
    <w:link w:val="Heading5"/>
    <w:rsid w:val="00377F4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7F49"/>
    <w:rPr>
      <w:snapToGrid w:val="0"/>
      <w:sz w:val="24"/>
    </w:rPr>
  </w:style>
  <w:style w:type="paragraph" w:styleId="BodyText">
    <w:name w:val="Body Text"/>
    <w:basedOn w:val="Normal"/>
    <w:link w:val="BodyTextChar"/>
    <w:uiPriority w:val="1"/>
    <w:qFormat/>
    <w:rsid w:val="00377F49"/>
    <w:pPr>
      <w:widowControl w:val="0"/>
      <w:ind w:left="240"/>
    </w:pPr>
    <w:rPr>
      <w:rFonts w:cstheme="minorBidi"/>
      <w:sz w:val="22"/>
      <w:szCs w:val="22"/>
    </w:rPr>
  </w:style>
  <w:style w:type="character" w:customStyle="1" w:styleId="BodyTextChar">
    <w:name w:val="Body Text Char"/>
    <w:basedOn w:val="DefaultParagraphFont"/>
    <w:link w:val="BodyText"/>
    <w:uiPriority w:val="1"/>
    <w:rsid w:val="00377F49"/>
    <w:rPr>
      <w:rFonts w:cstheme="minorBidi"/>
      <w:sz w:val="22"/>
      <w:szCs w:val="22"/>
    </w:rPr>
  </w:style>
  <w:style w:type="character" w:styleId="Strong">
    <w:name w:val="Strong"/>
    <w:basedOn w:val="SubtleEmphasis"/>
    <w:qFormat/>
    <w:rsid w:val="00377F49"/>
    <w:rPr>
      <w:b/>
      <w:bCs/>
      <w:i/>
      <w:iCs/>
      <w:color w:val="808080" w:themeColor="text1" w:themeTint="7F"/>
    </w:rPr>
  </w:style>
  <w:style w:type="character" w:styleId="SubtleEmphasis">
    <w:name w:val="Subtle Emphasis"/>
    <w:basedOn w:val="DefaultParagraphFont"/>
    <w:uiPriority w:val="19"/>
    <w:qFormat/>
    <w:rsid w:val="00377F49"/>
    <w:rPr>
      <w:i/>
      <w:iCs/>
      <w:color w:val="808080" w:themeColor="text1" w:themeTint="7F"/>
    </w:rPr>
  </w:style>
  <w:style w:type="paragraph" w:styleId="ListParagraph">
    <w:name w:val="List Paragraph"/>
    <w:basedOn w:val="Normal"/>
    <w:uiPriority w:val="34"/>
    <w:qFormat/>
    <w:rsid w:val="00377F49"/>
    <w:pPr>
      <w:ind w:left="720"/>
      <w:contextualSpacing/>
    </w:pPr>
  </w:style>
  <w:style w:type="paragraph" w:styleId="TOCHeading">
    <w:name w:val="TOC Heading"/>
    <w:basedOn w:val="Heading1"/>
    <w:next w:val="Normal"/>
    <w:uiPriority w:val="39"/>
    <w:qFormat/>
    <w:rsid w:val="00377F49"/>
    <w:pPr>
      <w:keepLines/>
      <w:spacing w:before="480" w:after="0" w:line="276" w:lineRule="auto"/>
      <w:outlineLvl w:val="9"/>
    </w:pPr>
    <w:rPr>
      <w:rFonts w:ascii="Cambria" w:hAnsi="Cambria" w:cs="Times New Roman"/>
      <w:color w:val="365F91"/>
      <w:kern w:val="0"/>
      <w:sz w:val="28"/>
      <w:szCs w:val="28"/>
    </w:rPr>
  </w:style>
  <w:style w:type="paragraph" w:customStyle="1" w:styleId="ESEReportName">
    <w:name w:val="ESE Report Name"/>
    <w:basedOn w:val="Normal"/>
    <w:next w:val="Normal"/>
    <w:qFormat/>
    <w:rsid w:val="00377F49"/>
    <w:pPr>
      <w:spacing w:line="400" w:lineRule="exact"/>
    </w:pPr>
    <w:rPr>
      <w:rFonts w:ascii="Arial" w:hAnsi="Arial"/>
      <w:b/>
      <w:color w:val="000000"/>
      <w:sz w:val="36"/>
    </w:rPr>
  </w:style>
  <w:style w:type="paragraph" w:customStyle="1" w:styleId="ESEBullet-Lev1">
    <w:name w:val="ESE Bullet - Lev1"/>
    <w:basedOn w:val="Normal"/>
    <w:qFormat/>
    <w:rsid w:val="00377F49"/>
    <w:pPr>
      <w:numPr>
        <w:numId w:val="1"/>
      </w:numPr>
      <w:spacing w:before="60" w:after="120"/>
    </w:pPr>
  </w:style>
  <w:style w:type="paragraph" w:customStyle="1" w:styleId="Italic">
    <w:name w:val="Italic"/>
    <w:aliases w:val="Indented .5&quot;"/>
    <w:basedOn w:val="Normal"/>
    <w:next w:val="Normal"/>
    <w:qFormat/>
    <w:rsid w:val="00377F49"/>
    <w:pPr>
      <w:ind w:left="720"/>
    </w:pPr>
    <w:rPr>
      <w:i/>
    </w:rPr>
  </w:style>
  <w:style w:type="paragraph" w:customStyle="1" w:styleId="ESETOCHeading">
    <w:name w:val="ESE TOC Heading"/>
    <w:basedOn w:val="TOCHeading"/>
    <w:semiHidden/>
    <w:qFormat/>
    <w:rsid w:val="00377F49"/>
    <w:pPr>
      <w:pBdr>
        <w:bottom w:val="single" w:sz="6" w:space="1" w:color="auto"/>
      </w:pBdr>
    </w:pPr>
    <w:rPr>
      <w:color w:val="auto"/>
    </w:rPr>
  </w:style>
  <w:style w:type="paragraph" w:customStyle="1" w:styleId="ESEBullet-Lev2">
    <w:name w:val="ESE Bullet - Lev2"/>
    <w:basedOn w:val="ESEBullet-Lev1"/>
    <w:qFormat/>
    <w:rsid w:val="00377F49"/>
    <w:pPr>
      <w:numPr>
        <w:numId w:val="2"/>
      </w:numPr>
      <w:tabs>
        <w:tab w:val="left" w:pos="1080"/>
      </w:tabs>
    </w:pPr>
  </w:style>
  <w:style w:type="paragraph" w:customStyle="1" w:styleId="ESEBullet-Lev3">
    <w:name w:val="ESE Bullet - Lev3"/>
    <w:basedOn w:val="ESEBullet-Lev2"/>
    <w:qFormat/>
    <w:rsid w:val="00377F49"/>
    <w:pPr>
      <w:numPr>
        <w:numId w:val="3"/>
      </w:numPr>
      <w:tabs>
        <w:tab w:val="clear" w:pos="1080"/>
        <w:tab w:val="left" w:pos="1440"/>
      </w:tabs>
    </w:pPr>
  </w:style>
  <w:style w:type="paragraph" w:customStyle="1" w:styleId="ESENumberswspacing">
    <w:name w:val="ESE Numbers w/ spacing"/>
    <w:basedOn w:val="Normal"/>
    <w:qFormat/>
    <w:rsid w:val="00377F49"/>
    <w:pPr>
      <w:numPr>
        <w:numId w:val="4"/>
      </w:numPr>
      <w:spacing w:before="60" w:after="120"/>
    </w:pPr>
  </w:style>
  <w:style w:type="paragraph" w:customStyle="1" w:styleId="measure">
    <w:name w:val="measure"/>
    <w:basedOn w:val="Normal"/>
    <w:qFormat/>
    <w:rsid w:val="00377F49"/>
    <w:pPr>
      <w:tabs>
        <w:tab w:val="left" w:pos="342"/>
      </w:tabs>
      <w:spacing w:line="240" w:lineRule="atLeast"/>
      <w:ind w:left="252"/>
      <w:outlineLvl w:val="0"/>
    </w:pPr>
    <w:rPr>
      <w:b/>
    </w:rPr>
  </w:style>
  <w:style w:type="character" w:styleId="CommentReference">
    <w:name w:val="annotation reference"/>
    <w:basedOn w:val="DefaultParagraphFont"/>
    <w:rsid w:val="00283CF7"/>
    <w:rPr>
      <w:sz w:val="16"/>
      <w:szCs w:val="16"/>
    </w:rPr>
  </w:style>
  <w:style w:type="paragraph" w:styleId="CommentText">
    <w:name w:val="annotation text"/>
    <w:basedOn w:val="Normal"/>
    <w:link w:val="CommentTextChar"/>
    <w:rsid w:val="00283CF7"/>
    <w:rPr>
      <w:sz w:val="20"/>
      <w:szCs w:val="20"/>
    </w:rPr>
  </w:style>
  <w:style w:type="character" w:customStyle="1" w:styleId="CommentTextChar">
    <w:name w:val="Comment Text Char"/>
    <w:basedOn w:val="DefaultParagraphFont"/>
    <w:link w:val="CommentText"/>
    <w:rsid w:val="00283CF7"/>
  </w:style>
  <w:style w:type="paragraph" w:styleId="CommentSubject">
    <w:name w:val="annotation subject"/>
    <w:basedOn w:val="CommentText"/>
    <w:next w:val="CommentText"/>
    <w:link w:val="CommentSubjectChar"/>
    <w:rsid w:val="00283CF7"/>
    <w:rPr>
      <w:b/>
      <w:bCs/>
    </w:rPr>
  </w:style>
  <w:style w:type="character" w:customStyle="1" w:styleId="CommentSubjectChar">
    <w:name w:val="Comment Subject Char"/>
    <w:basedOn w:val="CommentTextChar"/>
    <w:link w:val="CommentSubject"/>
    <w:rsid w:val="00283CF7"/>
    <w:rPr>
      <w:b/>
      <w:bCs/>
    </w:rPr>
  </w:style>
  <w:style w:type="paragraph" w:styleId="BalloonText">
    <w:name w:val="Balloon Text"/>
    <w:basedOn w:val="Normal"/>
    <w:link w:val="BalloonTextChar"/>
    <w:rsid w:val="00283CF7"/>
    <w:rPr>
      <w:rFonts w:ascii="Tahoma" w:hAnsi="Tahoma" w:cs="Tahoma"/>
      <w:sz w:val="16"/>
      <w:szCs w:val="16"/>
    </w:rPr>
  </w:style>
  <w:style w:type="character" w:customStyle="1" w:styleId="BalloonTextChar">
    <w:name w:val="Balloon Text Char"/>
    <w:basedOn w:val="DefaultParagraphFont"/>
    <w:link w:val="BalloonText"/>
    <w:rsid w:val="00283CF7"/>
    <w:rPr>
      <w:rFonts w:ascii="Tahoma" w:hAnsi="Tahoma" w:cs="Tahoma"/>
      <w:sz w:val="16"/>
      <w:szCs w:val="16"/>
    </w:rPr>
  </w:style>
  <w:style w:type="paragraph" w:styleId="Header">
    <w:name w:val="header"/>
    <w:basedOn w:val="Normal"/>
    <w:link w:val="HeaderChar"/>
    <w:rsid w:val="00BF2E57"/>
    <w:pPr>
      <w:tabs>
        <w:tab w:val="center" w:pos="4680"/>
        <w:tab w:val="right" w:pos="9360"/>
      </w:tabs>
    </w:pPr>
  </w:style>
  <w:style w:type="character" w:customStyle="1" w:styleId="HeaderChar">
    <w:name w:val="Header Char"/>
    <w:basedOn w:val="DefaultParagraphFont"/>
    <w:link w:val="Header"/>
    <w:rsid w:val="00BF2E57"/>
    <w:rPr>
      <w:sz w:val="24"/>
      <w:szCs w:val="24"/>
    </w:rPr>
  </w:style>
  <w:style w:type="paragraph" w:styleId="Footer">
    <w:name w:val="footer"/>
    <w:basedOn w:val="Normal"/>
    <w:link w:val="FooterChar"/>
    <w:uiPriority w:val="99"/>
    <w:rsid w:val="00BF2E57"/>
    <w:pPr>
      <w:tabs>
        <w:tab w:val="center" w:pos="4680"/>
        <w:tab w:val="right" w:pos="9360"/>
      </w:tabs>
    </w:pPr>
  </w:style>
  <w:style w:type="character" w:customStyle="1" w:styleId="FooterChar">
    <w:name w:val="Footer Char"/>
    <w:basedOn w:val="DefaultParagraphFont"/>
    <w:link w:val="Footer"/>
    <w:uiPriority w:val="99"/>
    <w:rsid w:val="00BF2E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40330">
      <w:bodyDiv w:val="1"/>
      <w:marLeft w:val="0"/>
      <w:marRight w:val="0"/>
      <w:marTop w:val="0"/>
      <w:marBottom w:val="0"/>
      <w:divBdr>
        <w:top w:val="none" w:sz="0" w:space="0" w:color="auto"/>
        <w:left w:val="none" w:sz="0" w:space="0" w:color="auto"/>
        <w:bottom w:val="none" w:sz="0" w:space="0" w:color="auto"/>
        <w:right w:val="none" w:sz="0" w:space="0" w:color="auto"/>
      </w:divBdr>
      <w:divsChild>
        <w:div w:id="1638102332">
          <w:marLeft w:val="0"/>
          <w:marRight w:val="0"/>
          <w:marTop w:val="0"/>
          <w:marBottom w:val="0"/>
          <w:divBdr>
            <w:top w:val="none" w:sz="0" w:space="0" w:color="auto"/>
            <w:left w:val="none" w:sz="0" w:space="0" w:color="auto"/>
            <w:bottom w:val="none" w:sz="0" w:space="0" w:color="auto"/>
            <w:right w:val="none" w:sz="0" w:space="0" w:color="auto"/>
          </w:divBdr>
        </w:div>
        <w:div w:id="970207226">
          <w:marLeft w:val="0"/>
          <w:marRight w:val="0"/>
          <w:marTop w:val="0"/>
          <w:marBottom w:val="0"/>
          <w:divBdr>
            <w:top w:val="none" w:sz="0" w:space="0" w:color="auto"/>
            <w:left w:val="none" w:sz="0" w:space="0" w:color="auto"/>
            <w:bottom w:val="none" w:sz="0" w:space="0" w:color="auto"/>
            <w:right w:val="none" w:sz="0" w:space="0" w:color="auto"/>
          </w:divBdr>
        </w:div>
        <w:div w:id="653025098">
          <w:marLeft w:val="0"/>
          <w:marRight w:val="0"/>
          <w:marTop w:val="0"/>
          <w:marBottom w:val="0"/>
          <w:divBdr>
            <w:top w:val="none" w:sz="0" w:space="0" w:color="auto"/>
            <w:left w:val="none" w:sz="0" w:space="0" w:color="auto"/>
            <w:bottom w:val="none" w:sz="0" w:space="0" w:color="auto"/>
            <w:right w:val="none" w:sz="0" w:space="0" w:color="auto"/>
          </w:divBdr>
        </w:div>
        <w:div w:id="120201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DESE-231-14137</_dlc_DocId>
    <_dlc_DocIdUrl xmlns="733efe1c-5bbe-4968-87dc-d400e65c879f">
      <Url>https://sharepoint.doemass.org/ese/webteam/cps/_layouts/DocIdRedir.aspx?ID=DESE-231-14137</Url>
      <Description>DESE-231-14137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4AF07-6958-4E56-814A-6FDDEEC5E661}">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33efe1c-5bbe-4968-87dc-d400e65c879f"/>
    <ds:schemaRef ds:uri="http://purl.org/dc/dcmitype/"/>
    <ds:schemaRef ds:uri="0a4e05da-b9bc-4326-ad73-01ef31b9556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41CAD24-7384-4D6A-B48F-8D14121E2D3B}">
  <ds:schemaRefs>
    <ds:schemaRef ds:uri="http://schemas.microsoft.com/sharepoint/v3/contenttype/forms"/>
  </ds:schemaRefs>
</ds:datastoreItem>
</file>

<file path=customXml/itemProps3.xml><?xml version="1.0" encoding="utf-8"?>
<ds:datastoreItem xmlns:ds="http://schemas.openxmlformats.org/officeDocument/2006/customXml" ds:itemID="{902C67B6-E4DB-48D3-9109-8E56FA383A48}">
  <ds:schemaRefs>
    <ds:schemaRef ds:uri="http://schemas.microsoft.com/sharepoint/events"/>
  </ds:schemaRefs>
</ds:datastoreItem>
</file>

<file path=customXml/itemProps4.xml><?xml version="1.0" encoding="utf-8"?>
<ds:datastoreItem xmlns:ds="http://schemas.openxmlformats.org/officeDocument/2006/customXml" ds:itemID="{77884036-5A43-48AD-9311-8D8CADB5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0DD37-5669-455C-955F-60A5DB6A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Criteria for Charter School Bylaws 2015</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Charter School Bylaws 2015</dc:title>
  <dc:creator>DESE</dc:creator>
  <cp:lastModifiedBy>Zou, Dong (EOE)</cp:lastModifiedBy>
  <cp:revision>3</cp:revision>
  <cp:lastPrinted>2015-02-24T00:02:00Z</cp:lastPrinted>
  <dcterms:created xsi:type="dcterms:W3CDTF">2015-05-12T16:18:00Z</dcterms:created>
  <dcterms:modified xsi:type="dcterms:W3CDTF">2019-04-25T20:01:00Z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2015</vt:lpwstr>
  </property>
</Properties>
</file>