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D85" w:rsidRPr="00470501" w:rsidRDefault="00010D85" w:rsidP="00010D85">
      <w:pPr>
        <w:pStyle w:val="Header"/>
        <w:jc w:val="center"/>
        <w:rPr>
          <w:b/>
          <w:color w:val="FFFFFF" w:themeColor="background1"/>
          <w:sz w:val="32"/>
        </w:rPr>
      </w:pPr>
      <w:r w:rsidRPr="00470501">
        <w:rPr>
          <w:b/>
          <w:color w:val="FFFFFF" w:themeColor="background1"/>
          <w:sz w:val="32"/>
          <w:highlight w:val="black"/>
        </w:rPr>
        <w:t>CHECKLIST FOR EXPULSION POLICY</w:t>
      </w:r>
    </w:p>
    <w:p w:rsidR="00010D85" w:rsidRDefault="00010D85" w:rsidP="00010D85"/>
    <w:p w:rsidR="003D78C8" w:rsidRDefault="00010D85" w:rsidP="00010D85">
      <w:pPr>
        <w:rPr>
          <w:sz w:val="22"/>
          <w:szCs w:val="22"/>
        </w:rPr>
      </w:pPr>
      <w:r w:rsidRPr="006C1CC5">
        <w:rPr>
          <w:sz w:val="22"/>
          <w:szCs w:val="22"/>
        </w:rPr>
        <w:t>Please use the following checklist to guide the creation</w:t>
      </w:r>
      <w:r w:rsidR="00364AC3" w:rsidRPr="006C1CC5">
        <w:rPr>
          <w:sz w:val="22"/>
          <w:szCs w:val="22"/>
        </w:rPr>
        <w:t>/revision</w:t>
      </w:r>
      <w:r w:rsidRPr="006C1CC5">
        <w:rPr>
          <w:sz w:val="22"/>
          <w:szCs w:val="22"/>
        </w:rPr>
        <w:t xml:space="preserve"> of your charter school expulsion policy. Schools are required to submit their expulsion policies for Department approval. Please record the page number and location of each of the required elements within your draft policy under the Page/Section column. </w:t>
      </w:r>
      <w:r w:rsidR="001F698F">
        <w:rPr>
          <w:sz w:val="22"/>
          <w:szCs w:val="22"/>
        </w:rPr>
        <w:t>While</w:t>
      </w:r>
      <w:r w:rsidR="00C1419B">
        <w:rPr>
          <w:sz w:val="22"/>
          <w:szCs w:val="22"/>
        </w:rPr>
        <w:t xml:space="preserve"> these are the minimum rights that must be afforded</w:t>
      </w:r>
      <w:r w:rsidR="00050648">
        <w:rPr>
          <w:sz w:val="22"/>
          <w:szCs w:val="22"/>
        </w:rPr>
        <w:t xml:space="preserve"> by law</w:t>
      </w:r>
      <w:r w:rsidR="00C1419B">
        <w:rPr>
          <w:sz w:val="22"/>
          <w:szCs w:val="22"/>
        </w:rPr>
        <w:t>,</w:t>
      </w:r>
      <w:r w:rsidR="001F698F">
        <w:rPr>
          <w:sz w:val="22"/>
          <w:szCs w:val="22"/>
        </w:rPr>
        <w:t xml:space="preserve"> consult with legal counsel</w:t>
      </w:r>
      <w:r w:rsidR="00C1419B">
        <w:rPr>
          <w:sz w:val="22"/>
          <w:szCs w:val="22"/>
        </w:rPr>
        <w:t xml:space="preserve"> while preparing </w:t>
      </w:r>
      <w:r w:rsidR="00050648">
        <w:rPr>
          <w:sz w:val="22"/>
          <w:szCs w:val="22"/>
        </w:rPr>
        <w:t>your</w:t>
      </w:r>
      <w:r w:rsidR="00C1419B">
        <w:rPr>
          <w:sz w:val="22"/>
          <w:szCs w:val="22"/>
        </w:rPr>
        <w:t xml:space="preserve"> expulsion policy</w:t>
      </w:r>
      <w:r w:rsidR="00050648">
        <w:rPr>
          <w:sz w:val="22"/>
          <w:szCs w:val="22"/>
        </w:rPr>
        <w:t>, as counsel may suggest</w:t>
      </w:r>
      <w:r w:rsidR="001F698F">
        <w:rPr>
          <w:sz w:val="22"/>
          <w:szCs w:val="22"/>
        </w:rPr>
        <w:t xml:space="preserve"> additional processes. </w:t>
      </w:r>
      <w:r w:rsidRPr="006C1CC5">
        <w:rPr>
          <w:sz w:val="22"/>
          <w:szCs w:val="22"/>
        </w:rPr>
        <w:t xml:space="preserve">If revisions are needed, this document will be returned with an </w:t>
      </w:r>
      <w:r w:rsidRPr="006C1CC5">
        <w:rPr>
          <w:b/>
          <w:sz w:val="22"/>
          <w:szCs w:val="22"/>
        </w:rPr>
        <w:t>X</w:t>
      </w:r>
      <w:r w:rsidRPr="006C1CC5">
        <w:rPr>
          <w:sz w:val="22"/>
          <w:szCs w:val="22"/>
        </w:rPr>
        <w:t xml:space="preserve"> under the “revision required” column next to the corresponding section</w:t>
      </w:r>
      <w:r w:rsidR="00364AC3" w:rsidRPr="006C1CC5">
        <w:rPr>
          <w:sz w:val="22"/>
          <w:szCs w:val="22"/>
        </w:rPr>
        <w:t xml:space="preserve">. Revision </w:t>
      </w:r>
      <w:r w:rsidRPr="006C1CC5">
        <w:rPr>
          <w:sz w:val="22"/>
          <w:szCs w:val="22"/>
        </w:rPr>
        <w:t xml:space="preserve">notes </w:t>
      </w:r>
      <w:r w:rsidR="00364AC3" w:rsidRPr="006C1CC5">
        <w:rPr>
          <w:sz w:val="22"/>
          <w:szCs w:val="22"/>
        </w:rPr>
        <w:t xml:space="preserve">will be provided </w:t>
      </w:r>
      <w:r w:rsidRPr="006C1CC5">
        <w:rPr>
          <w:sz w:val="22"/>
          <w:szCs w:val="22"/>
        </w:rPr>
        <w:t xml:space="preserve">on your draft expulsion policy. </w:t>
      </w:r>
    </w:p>
    <w:p w:rsidR="006C1CC5" w:rsidRPr="006C1CC5" w:rsidRDefault="006C1CC5" w:rsidP="00010D85">
      <w:pPr>
        <w:rPr>
          <w:b/>
          <w:i/>
          <w:sz w:val="22"/>
          <w:szCs w:val="22"/>
        </w:rPr>
      </w:pPr>
      <w:r w:rsidRPr="006C1CC5">
        <w:rPr>
          <w:b/>
          <w:i/>
          <w:sz w:val="22"/>
          <w:szCs w:val="22"/>
        </w:rPr>
        <w:t>Each policy must state or describe the following elements:</w:t>
      </w:r>
    </w:p>
    <w:tbl>
      <w:tblPr>
        <w:tblStyle w:val="TableGrid"/>
        <w:tblpPr w:leftFromText="180" w:rightFromText="180" w:vertAnchor="page" w:horzAnchor="margin" w:tblpY="3302"/>
        <w:tblW w:w="0" w:type="auto"/>
        <w:tblLayout w:type="fixed"/>
        <w:tblLook w:val="04A0" w:firstRow="1" w:lastRow="0" w:firstColumn="1" w:lastColumn="0" w:noHBand="0" w:noVBand="1"/>
      </w:tblPr>
      <w:tblGrid>
        <w:gridCol w:w="8838"/>
        <w:gridCol w:w="990"/>
        <w:gridCol w:w="1188"/>
      </w:tblGrid>
      <w:tr w:rsidR="00010D85" w:rsidTr="00304EE7">
        <w:tc>
          <w:tcPr>
            <w:tcW w:w="8838" w:type="dxa"/>
            <w:shd w:val="clear" w:color="auto" w:fill="A6A6A6" w:themeFill="background1" w:themeFillShade="A6"/>
          </w:tcPr>
          <w:p w:rsidR="00010D85" w:rsidRPr="000E65FF" w:rsidRDefault="00010D85" w:rsidP="00304EE7">
            <w:pPr>
              <w:jc w:val="center"/>
              <w:rPr>
                <w:b/>
              </w:rPr>
            </w:pPr>
            <w:r w:rsidRPr="000E65FF">
              <w:rPr>
                <w:b/>
              </w:rPr>
              <w:t>Expulsion Policy</w:t>
            </w:r>
          </w:p>
        </w:tc>
        <w:tc>
          <w:tcPr>
            <w:tcW w:w="990" w:type="dxa"/>
            <w:shd w:val="clear" w:color="auto" w:fill="A6A6A6" w:themeFill="background1" w:themeFillShade="A6"/>
          </w:tcPr>
          <w:p w:rsidR="00010D85" w:rsidRPr="000E65FF" w:rsidRDefault="00010D85" w:rsidP="00304EE7">
            <w:pPr>
              <w:jc w:val="center"/>
              <w:rPr>
                <w:b/>
              </w:rPr>
            </w:pPr>
            <w:r w:rsidRPr="000E65FF">
              <w:rPr>
                <w:b/>
              </w:rPr>
              <w:t>Page/</w:t>
            </w:r>
          </w:p>
          <w:p w:rsidR="00010D85" w:rsidRPr="000E65FF" w:rsidRDefault="00010D85" w:rsidP="00304EE7">
            <w:pPr>
              <w:jc w:val="center"/>
              <w:rPr>
                <w:b/>
              </w:rPr>
            </w:pPr>
            <w:r w:rsidRPr="000E65FF">
              <w:rPr>
                <w:b/>
              </w:rPr>
              <w:t>Section</w:t>
            </w:r>
          </w:p>
        </w:tc>
        <w:tc>
          <w:tcPr>
            <w:tcW w:w="1188" w:type="dxa"/>
            <w:shd w:val="clear" w:color="auto" w:fill="A6A6A6" w:themeFill="background1" w:themeFillShade="A6"/>
          </w:tcPr>
          <w:p w:rsidR="00010D85" w:rsidRPr="000E65FF" w:rsidRDefault="00010D85" w:rsidP="00304EE7">
            <w:pPr>
              <w:jc w:val="center"/>
              <w:rPr>
                <w:b/>
              </w:rPr>
            </w:pPr>
            <w:r w:rsidRPr="000E65FF">
              <w:rPr>
                <w:b/>
              </w:rPr>
              <w:t>Revision Required</w:t>
            </w:r>
          </w:p>
        </w:tc>
      </w:tr>
      <w:tr w:rsidR="00156A99" w:rsidTr="00304EE7">
        <w:trPr>
          <w:trHeight w:val="497"/>
        </w:trPr>
        <w:tc>
          <w:tcPr>
            <w:tcW w:w="8838" w:type="dxa"/>
          </w:tcPr>
          <w:p w:rsidR="00156A99" w:rsidRPr="001A607A" w:rsidRDefault="00365612" w:rsidP="00304EE7">
            <w:pPr>
              <w:pStyle w:val="ListParagraph"/>
              <w:numPr>
                <w:ilvl w:val="0"/>
                <w:numId w:val="1"/>
              </w:numPr>
              <w:rPr>
                <w:b/>
                <w:sz w:val="22"/>
                <w:szCs w:val="22"/>
              </w:rPr>
            </w:pPr>
            <w:r w:rsidRPr="001A607A">
              <w:rPr>
                <w:b/>
                <w:sz w:val="22"/>
                <w:szCs w:val="22"/>
              </w:rPr>
              <w:t>Policy identifies specific discipline offenses subject to expulsion</w:t>
            </w:r>
            <w:r w:rsidR="00156A99" w:rsidRPr="001A607A">
              <w:rPr>
                <w:rStyle w:val="EndnoteReference"/>
                <w:b/>
                <w:sz w:val="22"/>
                <w:szCs w:val="22"/>
              </w:rPr>
              <w:endnoteReference w:id="1"/>
            </w:r>
            <w:r w:rsidR="00156A99" w:rsidRPr="001A607A">
              <w:rPr>
                <w:b/>
                <w:sz w:val="22"/>
                <w:szCs w:val="22"/>
              </w:rPr>
              <w:t xml:space="preserve"> </w:t>
            </w:r>
          </w:p>
          <w:p w:rsidR="00156A99" w:rsidRPr="00A346DE" w:rsidRDefault="00156A99" w:rsidP="00304EE7">
            <w:pPr>
              <w:rPr>
                <w:b/>
                <w:color w:val="1E4778"/>
                <w:sz w:val="22"/>
                <w:szCs w:val="22"/>
              </w:rPr>
            </w:pPr>
            <w:r w:rsidRPr="00A346DE">
              <w:rPr>
                <w:color w:val="1E4778"/>
                <w:sz w:val="20"/>
                <w:szCs w:val="22"/>
              </w:rPr>
              <w:t>C</w:t>
            </w:r>
            <w:r w:rsidR="00CD6E97" w:rsidRPr="00A346DE">
              <w:rPr>
                <w:color w:val="1E4778"/>
                <w:sz w:val="20"/>
                <w:szCs w:val="22"/>
              </w:rPr>
              <w:t>hapter 71, Section 37H (a), (b</w:t>
            </w:r>
            <w:r w:rsidRPr="00A346DE">
              <w:rPr>
                <w:color w:val="1E4778"/>
                <w:sz w:val="20"/>
                <w:szCs w:val="22"/>
              </w:rPr>
              <w:t>)</w:t>
            </w:r>
            <w:r w:rsidR="00071D13" w:rsidRPr="00A346DE">
              <w:rPr>
                <w:color w:val="1E4778"/>
                <w:sz w:val="20"/>
                <w:szCs w:val="22"/>
              </w:rPr>
              <w:t>; Chapter 71, Section 37H ½ (2)</w:t>
            </w:r>
          </w:p>
        </w:tc>
        <w:tc>
          <w:tcPr>
            <w:tcW w:w="990" w:type="dxa"/>
          </w:tcPr>
          <w:p w:rsidR="00156A99" w:rsidRDefault="00156A99" w:rsidP="00304EE7"/>
        </w:tc>
        <w:tc>
          <w:tcPr>
            <w:tcW w:w="1188" w:type="dxa"/>
          </w:tcPr>
          <w:p w:rsidR="00156A99" w:rsidRDefault="00156A99" w:rsidP="00304EE7"/>
        </w:tc>
      </w:tr>
      <w:tr w:rsidR="00156A99" w:rsidTr="00304EE7">
        <w:trPr>
          <w:trHeight w:val="660"/>
        </w:trPr>
        <w:tc>
          <w:tcPr>
            <w:tcW w:w="8838" w:type="dxa"/>
          </w:tcPr>
          <w:p w:rsidR="00156A99" w:rsidRPr="001467C9" w:rsidRDefault="00156A99" w:rsidP="00304EE7">
            <w:pPr>
              <w:pStyle w:val="ListParagraph"/>
              <w:numPr>
                <w:ilvl w:val="0"/>
                <w:numId w:val="1"/>
              </w:numPr>
              <w:rPr>
                <w:b/>
                <w:sz w:val="20"/>
                <w:szCs w:val="22"/>
              </w:rPr>
            </w:pPr>
            <w:r>
              <w:rPr>
                <w:b/>
                <w:sz w:val="22"/>
                <w:szCs w:val="22"/>
              </w:rPr>
              <w:t>Standards and p</w:t>
            </w:r>
            <w:r w:rsidRPr="001467C9">
              <w:rPr>
                <w:b/>
                <w:sz w:val="22"/>
                <w:szCs w:val="22"/>
              </w:rPr>
              <w:t>rocedures assuring due process for expulsion</w:t>
            </w:r>
            <w:r w:rsidRPr="001467C9">
              <w:rPr>
                <w:b/>
                <w:sz w:val="20"/>
                <w:szCs w:val="22"/>
              </w:rPr>
              <w:t xml:space="preserve">. </w:t>
            </w:r>
            <w:r>
              <w:rPr>
                <w:rStyle w:val="EndnoteReference"/>
                <w:b/>
                <w:sz w:val="20"/>
                <w:szCs w:val="22"/>
              </w:rPr>
              <w:endnoteReference w:id="2"/>
            </w:r>
          </w:p>
          <w:p w:rsidR="00156A99" w:rsidRPr="00372029" w:rsidRDefault="00156A99" w:rsidP="0042688A">
            <w:pPr>
              <w:pStyle w:val="ListParagraph"/>
              <w:numPr>
                <w:ilvl w:val="0"/>
                <w:numId w:val="2"/>
              </w:numPr>
              <w:rPr>
                <w:sz w:val="22"/>
                <w:szCs w:val="22"/>
              </w:rPr>
            </w:pPr>
            <w:r w:rsidRPr="00064C1A">
              <w:rPr>
                <w:sz w:val="22"/>
                <w:szCs w:val="22"/>
              </w:rPr>
              <w:t xml:space="preserve">Written notice </w:t>
            </w:r>
            <w:r>
              <w:rPr>
                <w:sz w:val="22"/>
                <w:szCs w:val="22"/>
              </w:rPr>
              <w:t>t</w:t>
            </w:r>
            <w:r w:rsidR="00E44EBA">
              <w:rPr>
                <w:sz w:val="22"/>
                <w:szCs w:val="22"/>
              </w:rPr>
              <w:t>o student of the</w:t>
            </w:r>
            <w:r w:rsidR="00A967FD">
              <w:rPr>
                <w:sz w:val="22"/>
                <w:szCs w:val="22"/>
              </w:rPr>
              <w:t xml:space="preserve"> charges and of the reasons</w:t>
            </w:r>
            <w:r w:rsidR="00E942BE">
              <w:rPr>
                <w:sz w:val="22"/>
                <w:szCs w:val="22"/>
              </w:rPr>
              <w:t xml:space="preserve"> and evidence</w:t>
            </w:r>
            <w:r w:rsidR="00A967FD">
              <w:rPr>
                <w:sz w:val="22"/>
                <w:szCs w:val="22"/>
              </w:rPr>
              <w:t xml:space="preserve"> for expulsion before the expulsion takes effect.</w:t>
            </w:r>
          </w:p>
        </w:tc>
        <w:tc>
          <w:tcPr>
            <w:tcW w:w="990" w:type="dxa"/>
          </w:tcPr>
          <w:p w:rsidR="00156A99" w:rsidRDefault="00156A99" w:rsidP="00304EE7"/>
        </w:tc>
        <w:tc>
          <w:tcPr>
            <w:tcW w:w="1188" w:type="dxa"/>
          </w:tcPr>
          <w:p w:rsidR="00156A99" w:rsidRDefault="00156A99" w:rsidP="00304EE7"/>
        </w:tc>
      </w:tr>
      <w:tr w:rsidR="00A967FD" w:rsidTr="00304EE7">
        <w:trPr>
          <w:trHeight w:val="540"/>
        </w:trPr>
        <w:tc>
          <w:tcPr>
            <w:tcW w:w="8838" w:type="dxa"/>
          </w:tcPr>
          <w:p w:rsidR="00A967FD" w:rsidRDefault="00A967FD" w:rsidP="005F72D5">
            <w:pPr>
              <w:pStyle w:val="ListParagraph"/>
              <w:numPr>
                <w:ilvl w:val="0"/>
                <w:numId w:val="2"/>
              </w:numPr>
              <w:rPr>
                <w:b/>
                <w:sz w:val="22"/>
                <w:szCs w:val="22"/>
              </w:rPr>
            </w:pPr>
            <w:r>
              <w:rPr>
                <w:sz w:val="22"/>
                <w:szCs w:val="22"/>
              </w:rPr>
              <w:t xml:space="preserve">Written notice to student </w:t>
            </w:r>
            <w:r w:rsidR="004A3967">
              <w:rPr>
                <w:sz w:val="22"/>
                <w:szCs w:val="22"/>
              </w:rPr>
              <w:t>of</w:t>
            </w:r>
            <w:r w:rsidRPr="00064C1A">
              <w:rPr>
                <w:sz w:val="22"/>
                <w:szCs w:val="22"/>
              </w:rPr>
              <w:t xml:space="preserve"> student</w:t>
            </w:r>
            <w:r>
              <w:rPr>
                <w:sz w:val="22"/>
                <w:szCs w:val="22"/>
              </w:rPr>
              <w:t>’s</w:t>
            </w:r>
            <w:r w:rsidRPr="00064C1A">
              <w:rPr>
                <w:sz w:val="22"/>
                <w:szCs w:val="22"/>
              </w:rPr>
              <w:t xml:space="preserve"> right to a hearing</w:t>
            </w:r>
            <w:r w:rsidR="005B24C7">
              <w:rPr>
                <w:rStyle w:val="EndnoteReference"/>
                <w:sz w:val="22"/>
                <w:szCs w:val="22"/>
              </w:rPr>
              <w:endnoteReference w:id="3"/>
            </w:r>
            <w:r w:rsidRPr="00064C1A">
              <w:rPr>
                <w:sz w:val="22"/>
                <w:szCs w:val="22"/>
              </w:rPr>
              <w:t xml:space="preserve"> with the </w:t>
            </w:r>
            <w:r w:rsidRPr="00893E09">
              <w:rPr>
                <w:sz w:val="22"/>
                <w:szCs w:val="22"/>
              </w:rPr>
              <w:t xml:space="preserve">principal </w:t>
            </w:r>
            <w:r w:rsidRPr="00064C1A">
              <w:rPr>
                <w:sz w:val="22"/>
                <w:szCs w:val="22"/>
              </w:rPr>
              <w:t>before the expulsion takes effect</w:t>
            </w:r>
            <w:r w:rsidR="00E942BE">
              <w:rPr>
                <w:sz w:val="22"/>
                <w:szCs w:val="22"/>
              </w:rPr>
              <w:t>, including date, time and location</w:t>
            </w:r>
            <w:r>
              <w:t>.</w:t>
            </w:r>
            <w:r>
              <w:rPr>
                <w:rStyle w:val="EndnoteReference"/>
              </w:rPr>
              <w:endnoteReference w:id="4"/>
            </w:r>
            <w:r w:rsidR="005F72D5">
              <w:t xml:space="preserve"> Student’s parent or guardian </w:t>
            </w:r>
            <w:r w:rsidR="005205B0">
              <w:t>will be present at the hearing</w:t>
            </w:r>
            <w:r w:rsidR="00D37D78">
              <w:rPr>
                <w:rStyle w:val="EndnoteReference"/>
              </w:rPr>
              <w:endnoteReference w:id="5"/>
            </w:r>
            <w:r w:rsidR="005205B0">
              <w:t>.</w:t>
            </w:r>
          </w:p>
        </w:tc>
        <w:tc>
          <w:tcPr>
            <w:tcW w:w="990" w:type="dxa"/>
          </w:tcPr>
          <w:p w:rsidR="00A967FD" w:rsidRDefault="00A967FD" w:rsidP="00304EE7"/>
        </w:tc>
        <w:tc>
          <w:tcPr>
            <w:tcW w:w="1188" w:type="dxa"/>
          </w:tcPr>
          <w:p w:rsidR="00A967FD" w:rsidRDefault="00A967FD" w:rsidP="00304EE7"/>
        </w:tc>
      </w:tr>
      <w:tr w:rsidR="00A967FD" w:rsidTr="00304EE7">
        <w:trPr>
          <w:trHeight w:val="510"/>
        </w:trPr>
        <w:tc>
          <w:tcPr>
            <w:tcW w:w="8838" w:type="dxa"/>
          </w:tcPr>
          <w:p w:rsidR="007022BB" w:rsidRPr="00172075" w:rsidRDefault="00A967FD" w:rsidP="001E173C">
            <w:pPr>
              <w:pStyle w:val="ListParagraph"/>
              <w:numPr>
                <w:ilvl w:val="0"/>
                <w:numId w:val="2"/>
              </w:numPr>
              <w:rPr>
                <w:sz w:val="22"/>
              </w:rPr>
            </w:pPr>
            <w:r w:rsidRPr="00172075">
              <w:rPr>
                <w:sz w:val="22"/>
              </w:rPr>
              <w:t xml:space="preserve">If the principal decides to expel the student after the hearing the principal shall give </w:t>
            </w:r>
          </w:p>
          <w:p w:rsidR="00A967FD" w:rsidRPr="00172075" w:rsidRDefault="00A967FD" w:rsidP="007022BB">
            <w:pPr>
              <w:pStyle w:val="ListParagraph"/>
              <w:ind w:left="1080"/>
              <w:rPr>
                <w:sz w:val="22"/>
              </w:rPr>
            </w:pPr>
            <w:r w:rsidRPr="00172075">
              <w:rPr>
                <w:sz w:val="22"/>
              </w:rPr>
              <w:t>written notification at the hearing to student and parent of</w:t>
            </w:r>
            <w:r w:rsidR="00A44957">
              <w:rPr>
                <w:sz w:val="22"/>
              </w:rPr>
              <w:t xml:space="preserve"> student of the right to appeal, </w:t>
            </w:r>
            <w:r w:rsidRPr="00172075">
              <w:rPr>
                <w:sz w:val="22"/>
              </w:rPr>
              <w:t>the process for appealing the expulsion</w:t>
            </w:r>
            <w:r w:rsidR="00A44957">
              <w:rPr>
                <w:sz w:val="22"/>
              </w:rPr>
              <w:t xml:space="preserve"> and of the opportunity to receive educational services</w:t>
            </w:r>
            <w:r w:rsidRPr="00172075">
              <w:rPr>
                <w:sz w:val="22"/>
              </w:rPr>
              <w:t>.</w:t>
            </w:r>
            <w:r w:rsidRPr="00172075">
              <w:rPr>
                <w:rStyle w:val="EndnoteReference"/>
                <w:sz w:val="22"/>
              </w:rPr>
              <w:endnoteReference w:id="6"/>
            </w:r>
          </w:p>
          <w:p w:rsidR="00AF64EF" w:rsidRPr="00172075" w:rsidRDefault="00AF64EF" w:rsidP="00AF64EF">
            <w:pPr>
              <w:pStyle w:val="ListParagraph"/>
              <w:ind w:left="0"/>
              <w:rPr>
                <w:sz w:val="22"/>
              </w:rPr>
            </w:pPr>
            <w:r w:rsidRPr="00A346DE">
              <w:rPr>
                <w:color w:val="1E4778"/>
                <w:sz w:val="20"/>
                <w:szCs w:val="22"/>
              </w:rPr>
              <w:t>Chapt</w:t>
            </w:r>
            <w:r w:rsidR="003246A8" w:rsidRPr="00A346DE">
              <w:rPr>
                <w:color w:val="1E4778"/>
                <w:sz w:val="20"/>
                <w:szCs w:val="22"/>
              </w:rPr>
              <w:t>er 71, Section 37H; paragraph 2, (c)</w:t>
            </w:r>
            <w:r w:rsidR="00267E57" w:rsidRPr="00A346DE">
              <w:rPr>
                <w:color w:val="1E4778"/>
                <w:sz w:val="20"/>
                <w:szCs w:val="22"/>
              </w:rPr>
              <w:t xml:space="preserve"> and 37</w:t>
            </w:r>
            <w:r w:rsidR="00FA1FFD" w:rsidRPr="00A346DE">
              <w:rPr>
                <w:color w:val="1E4778"/>
                <w:sz w:val="20"/>
                <w:szCs w:val="22"/>
              </w:rPr>
              <w:t>H</w:t>
            </w:r>
            <w:r w:rsidR="00267E57" w:rsidRPr="00A346DE">
              <w:rPr>
                <w:color w:val="1E4778"/>
                <w:sz w:val="20"/>
                <w:szCs w:val="22"/>
              </w:rPr>
              <w:t xml:space="preserve">½ </w:t>
            </w:r>
            <w:r w:rsidRPr="00A346DE">
              <w:rPr>
                <w:color w:val="1E4778"/>
                <w:sz w:val="20"/>
                <w:szCs w:val="22"/>
              </w:rPr>
              <w:t>and</w:t>
            </w:r>
            <w:r w:rsidRPr="00A346DE">
              <w:rPr>
                <w:color w:val="1E4778"/>
                <w:sz w:val="20"/>
              </w:rPr>
              <w:t xml:space="preserve"> </w:t>
            </w:r>
            <w:r w:rsidRPr="00A346DE">
              <w:rPr>
                <w:color w:val="1E4778"/>
                <w:sz w:val="20"/>
                <w:szCs w:val="22"/>
              </w:rPr>
              <w:t>603 CMR 53</w:t>
            </w:r>
            <w:r w:rsidR="00C07FC0" w:rsidRPr="00A346DE">
              <w:rPr>
                <w:color w:val="1E4778"/>
                <w:sz w:val="20"/>
                <w:szCs w:val="22"/>
              </w:rPr>
              <w:t>.08</w:t>
            </w:r>
          </w:p>
        </w:tc>
        <w:tc>
          <w:tcPr>
            <w:tcW w:w="990" w:type="dxa"/>
          </w:tcPr>
          <w:p w:rsidR="00A967FD" w:rsidRDefault="00A967FD" w:rsidP="00304EE7"/>
        </w:tc>
        <w:tc>
          <w:tcPr>
            <w:tcW w:w="1188" w:type="dxa"/>
          </w:tcPr>
          <w:p w:rsidR="00A967FD" w:rsidRDefault="00A967FD" w:rsidP="00304EE7"/>
        </w:tc>
      </w:tr>
      <w:tr w:rsidR="00A967FD" w:rsidTr="00304EE7">
        <w:trPr>
          <w:trHeight w:val="1005"/>
        </w:trPr>
        <w:tc>
          <w:tcPr>
            <w:tcW w:w="8838" w:type="dxa"/>
          </w:tcPr>
          <w:p w:rsidR="00A967FD" w:rsidRPr="00172075" w:rsidRDefault="00A967FD" w:rsidP="00304EE7">
            <w:pPr>
              <w:pStyle w:val="ListParagraph"/>
              <w:numPr>
                <w:ilvl w:val="0"/>
                <w:numId w:val="1"/>
              </w:numPr>
              <w:rPr>
                <w:b/>
                <w:sz w:val="22"/>
                <w:szCs w:val="22"/>
              </w:rPr>
            </w:pPr>
            <w:r w:rsidRPr="00172075">
              <w:rPr>
                <w:b/>
                <w:sz w:val="22"/>
                <w:szCs w:val="22"/>
              </w:rPr>
              <w:t xml:space="preserve">Any student who has been expelled from a school district shall have the right to appeal to the superintendent. </w:t>
            </w:r>
          </w:p>
          <w:p w:rsidR="00A967FD" w:rsidRPr="00172075" w:rsidRDefault="00A967FD" w:rsidP="008310E5">
            <w:pPr>
              <w:pStyle w:val="ListParagraph"/>
              <w:numPr>
                <w:ilvl w:val="1"/>
                <w:numId w:val="1"/>
              </w:numPr>
              <w:rPr>
                <w:sz w:val="22"/>
              </w:rPr>
            </w:pPr>
            <w:r w:rsidRPr="00172075">
              <w:rPr>
                <w:szCs w:val="22"/>
              </w:rPr>
              <w:t>The student or parent of the student shall notify the superintendent in writing of his request for an appeal</w:t>
            </w:r>
            <w:r w:rsidR="000136B6" w:rsidRPr="00172075">
              <w:rPr>
                <w:rStyle w:val="EndnoteReference"/>
                <w:szCs w:val="22"/>
              </w:rPr>
              <w:endnoteReference w:id="7"/>
            </w:r>
            <w:r w:rsidRPr="00172075">
              <w:rPr>
                <w:szCs w:val="22"/>
              </w:rPr>
              <w:t xml:space="preserve"> </w:t>
            </w:r>
          </w:p>
          <w:p w:rsidR="00915B8E" w:rsidRPr="00172075" w:rsidRDefault="00D308DF" w:rsidP="00915B8E">
            <w:pPr>
              <w:pStyle w:val="ListParagraph"/>
              <w:numPr>
                <w:ilvl w:val="2"/>
                <w:numId w:val="1"/>
              </w:numPr>
              <w:rPr>
                <w:sz w:val="22"/>
                <w:szCs w:val="22"/>
              </w:rPr>
            </w:pPr>
            <w:r w:rsidRPr="00172075">
              <w:rPr>
                <w:szCs w:val="22"/>
              </w:rPr>
              <w:t xml:space="preserve">Per </w:t>
            </w:r>
            <w:r w:rsidR="00321578" w:rsidRPr="00172075">
              <w:rPr>
                <w:szCs w:val="22"/>
              </w:rPr>
              <w:t>37H: ten days from date of expulsion.</w:t>
            </w:r>
            <w:r w:rsidR="00915B8E" w:rsidRPr="00172075">
              <w:rPr>
                <w:sz w:val="22"/>
                <w:szCs w:val="22"/>
              </w:rPr>
              <w:t xml:space="preserve"> </w:t>
            </w:r>
          </w:p>
          <w:p w:rsidR="00321578" w:rsidRPr="00172075" w:rsidRDefault="00D308DF" w:rsidP="006354CA">
            <w:pPr>
              <w:pStyle w:val="ListParagraph"/>
              <w:numPr>
                <w:ilvl w:val="2"/>
                <w:numId w:val="1"/>
              </w:numPr>
              <w:rPr>
                <w:sz w:val="22"/>
              </w:rPr>
            </w:pPr>
            <w:r w:rsidRPr="00172075">
              <w:rPr>
                <w:szCs w:val="22"/>
              </w:rPr>
              <w:t xml:space="preserve">Per </w:t>
            </w:r>
            <w:r w:rsidR="00321578" w:rsidRPr="00172075">
              <w:rPr>
                <w:szCs w:val="22"/>
              </w:rPr>
              <w:t xml:space="preserve">37H½: five days from date of expulsion.  </w:t>
            </w:r>
          </w:p>
        </w:tc>
        <w:tc>
          <w:tcPr>
            <w:tcW w:w="990" w:type="dxa"/>
          </w:tcPr>
          <w:p w:rsidR="00A967FD" w:rsidRDefault="00A967FD" w:rsidP="00304EE7"/>
        </w:tc>
        <w:tc>
          <w:tcPr>
            <w:tcW w:w="1188" w:type="dxa"/>
          </w:tcPr>
          <w:p w:rsidR="00A967FD" w:rsidRDefault="00A967FD" w:rsidP="00304EE7"/>
        </w:tc>
      </w:tr>
      <w:tr w:rsidR="00304EE7" w:rsidTr="00321578">
        <w:trPr>
          <w:trHeight w:val="560"/>
        </w:trPr>
        <w:tc>
          <w:tcPr>
            <w:tcW w:w="8838" w:type="dxa"/>
          </w:tcPr>
          <w:p w:rsidR="00304EE7" w:rsidRPr="00172075" w:rsidRDefault="00304EE7" w:rsidP="00321578">
            <w:pPr>
              <w:pStyle w:val="ListParagraph"/>
              <w:numPr>
                <w:ilvl w:val="1"/>
                <w:numId w:val="1"/>
              </w:numPr>
              <w:rPr>
                <w:sz w:val="22"/>
                <w:szCs w:val="22"/>
              </w:rPr>
            </w:pPr>
            <w:r w:rsidRPr="00172075">
              <w:rPr>
                <w:szCs w:val="22"/>
              </w:rPr>
              <w:t>The superintendent shall hold a hearing with the student and the student’s parent or guardian</w:t>
            </w:r>
            <w:r w:rsidR="00321578" w:rsidRPr="00172075">
              <w:rPr>
                <w:rStyle w:val="EndnoteReference"/>
                <w:szCs w:val="22"/>
              </w:rPr>
              <w:endnoteReference w:id="8"/>
            </w:r>
            <w:r w:rsidR="00321578" w:rsidRPr="00172075">
              <w:rPr>
                <w:szCs w:val="22"/>
              </w:rPr>
              <w:t>.</w:t>
            </w:r>
          </w:p>
        </w:tc>
        <w:tc>
          <w:tcPr>
            <w:tcW w:w="990" w:type="dxa"/>
          </w:tcPr>
          <w:p w:rsidR="00304EE7" w:rsidRDefault="00304EE7" w:rsidP="00304EE7"/>
        </w:tc>
        <w:tc>
          <w:tcPr>
            <w:tcW w:w="1188" w:type="dxa"/>
          </w:tcPr>
          <w:p w:rsidR="00304EE7" w:rsidRDefault="00304EE7" w:rsidP="00304EE7"/>
        </w:tc>
      </w:tr>
      <w:tr w:rsidR="00304EE7" w:rsidTr="00304EE7">
        <w:trPr>
          <w:trHeight w:val="450"/>
        </w:trPr>
        <w:tc>
          <w:tcPr>
            <w:tcW w:w="8838" w:type="dxa"/>
          </w:tcPr>
          <w:p w:rsidR="00304EE7" w:rsidRPr="00172075" w:rsidRDefault="00304EE7" w:rsidP="00C608DB">
            <w:pPr>
              <w:pStyle w:val="ListParagraph"/>
              <w:numPr>
                <w:ilvl w:val="1"/>
                <w:numId w:val="1"/>
              </w:numPr>
              <w:rPr>
                <w:szCs w:val="22"/>
              </w:rPr>
            </w:pPr>
            <w:r w:rsidRPr="00172075">
              <w:rPr>
                <w:szCs w:val="22"/>
              </w:rPr>
              <w:t>At the hearing, the student shall have the right to pres</w:t>
            </w:r>
            <w:r w:rsidR="00486F24" w:rsidRPr="00172075">
              <w:rPr>
                <w:szCs w:val="22"/>
              </w:rPr>
              <w:t>ent oral and written testimony</w:t>
            </w:r>
            <w:r w:rsidR="00C608DB">
              <w:rPr>
                <w:szCs w:val="22"/>
              </w:rPr>
              <w:t xml:space="preserve">, </w:t>
            </w:r>
            <w:r w:rsidRPr="00172075">
              <w:rPr>
                <w:szCs w:val="22"/>
              </w:rPr>
              <w:t>the right to counsel</w:t>
            </w:r>
            <w:r w:rsidR="00C608DB">
              <w:rPr>
                <w:szCs w:val="22"/>
              </w:rPr>
              <w:t xml:space="preserve"> and the right to confront and cross examine witnesses presented by the school.</w:t>
            </w:r>
            <w:r w:rsidR="00486F24" w:rsidRPr="00172075">
              <w:rPr>
                <w:rStyle w:val="EndnoteReference"/>
                <w:szCs w:val="22"/>
              </w:rPr>
              <w:endnoteReference w:id="9"/>
            </w:r>
            <w:r w:rsidRPr="00172075">
              <w:rPr>
                <w:szCs w:val="22"/>
              </w:rPr>
              <w:t xml:space="preserve">. </w:t>
            </w:r>
          </w:p>
        </w:tc>
        <w:tc>
          <w:tcPr>
            <w:tcW w:w="990" w:type="dxa"/>
          </w:tcPr>
          <w:p w:rsidR="00304EE7" w:rsidRDefault="00304EE7" w:rsidP="00304EE7"/>
        </w:tc>
        <w:tc>
          <w:tcPr>
            <w:tcW w:w="1188" w:type="dxa"/>
          </w:tcPr>
          <w:p w:rsidR="00304EE7" w:rsidRDefault="00304EE7" w:rsidP="00304EE7"/>
        </w:tc>
      </w:tr>
      <w:tr w:rsidR="00304EE7" w:rsidTr="00C4756E">
        <w:trPr>
          <w:trHeight w:val="1928"/>
        </w:trPr>
        <w:tc>
          <w:tcPr>
            <w:tcW w:w="8838" w:type="dxa"/>
          </w:tcPr>
          <w:p w:rsidR="00304EE7" w:rsidRPr="00172075" w:rsidRDefault="00304EE7" w:rsidP="00304EE7">
            <w:pPr>
              <w:pStyle w:val="ListParagraph"/>
              <w:numPr>
                <w:ilvl w:val="1"/>
                <w:numId w:val="1"/>
              </w:numPr>
              <w:rPr>
                <w:sz w:val="22"/>
                <w:szCs w:val="22"/>
              </w:rPr>
            </w:pPr>
            <w:r w:rsidRPr="00172075">
              <w:rPr>
                <w:szCs w:val="22"/>
              </w:rPr>
              <w:t>The superintendent shall have the authority to overturn or alter the decision of the principal, including recommending an alternate educational program for the student. The superintendent shall render a decision on the appeal within five calendar days of the hearing</w:t>
            </w:r>
            <w:r w:rsidR="00E21F1E" w:rsidRPr="00172075">
              <w:rPr>
                <w:szCs w:val="22"/>
              </w:rPr>
              <w:t>.</w:t>
            </w:r>
            <w:r w:rsidRPr="00172075">
              <w:rPr>
                <w:szCs w:val="22"/>
              </w:rPr>
              <w:t xml:space="preserve"> That decision shall be the final decision of school district with regard to the expulsion.</w:t>
            </w:r>
            <w:bookmarkStart w:id="0" w:name="_GoBack"/>
            <w:bookmarkEnd w:id="0"/>
          </w:p>
          <w:p w:rsidR="00304EE7" w:rsidRPr="00172075" w:rsidRDefault="00304EE7" w:rsidP="00304EE7">
            <w:pPr>
              <w:rPr>
                <w:szCs w:val="22"/>
              </w:rPr>
            </w:pPr>
            <w:r w:rsidRPr="00A346DE">
              <w:rPr>
                <w:color w:val="1E4778"/>
                <w:sz w:val="20"/>
                <w:szCs w:val="22"/>
              </w:rPr>
              <w:t>Chapt</w:t>
            </w:r>
            <w:r w:rsidR="00A96F65" w:rsidRPr="00A346DE">
              <w:rPr>
                <w:color w:val="1E4778"/>
                <w:sz w:val="20"/>
                <w:szCs w:val="22"/>
              </w:rPr>
              <w:t>er 71, Section 37H</w:t>
            </w:r>
            <w:r w:rsidR="004D7569" w:rsidRPr="00A346DE">
              <w:rPr>
                <w:color w:val="1E4778"/>
                <w:sz w:val="20"/>
                <w:szCs w:val="22"/>
              </w:rPr>
              <w:t xml:space="preserve"> (d)</w:t>
            </w:r>
            <w:r w:rsidR="003C7D3D" w:rsidRPr="00A346DE">
              <w:rPr>
                <w:color w:val="1E4778"/>
                <w:sz w:val="20"/>
                <w:szCs w:val="22"/>
              </w:rPr>
              <w:t>, 37H ½</w:t>
            </w:r>
            <w:r w:rsidR="00426765" w:rsidRPr="00A346DE">
              <w:rPr>
                <w:color w:val="1E4778"/>
                <w:sz w:val="20"/>
                <w:szCs w:val="22"/>
              </w:rPr>
              <w:t xml:space="preserve"> (2)</w:t>
            </w:r>
            <w:r w:rsidR="003C7D3D" w:rsidRPr="00A346DE">
              <w:rPr>
                <w:color w:val="1E4778"/>
                <w:sz w:val="20"/>
                <w:szCs w:val="22"/>
              </w:rPr>
              <w:t xml:space="preserve"> </w:t>
            </w:r>
            <w:r w:rsidRPr="00A346DE">
              <w:rPr>
                <w:color w:val="1E4778"/>
                <w:sz w:val="20"/>
                <w:szCs w:val="22"/>
              </w:rPr>
              <w:t>and</w:t>
            </w:r>
            <w:r w:rsidRPr="00A346DE">
              <w:rPr>
                <w:color w:val="1E4778"/>
                <w:sz w:val="20"/>
              </w:rPr>
              <w:t xml:space="preserve"> </w:t>
            </w:r>
            <w:r w:rsidRPr="00A346DE">
              <w:rPr>
                <w:color w:val="1E4778"/>
                <w:sz w:val="20"/>
                <w:szCs w:val="22"/>
              </w:rPr>
              <w:t>603 CMR 53</w:t>
            </w:r>
            <w:r w:rsidR="00C07FC0" w:rsidRPr="00A346DE">
              <w:rPr>
                <w:color w:val="1E4778"/>
                <w:sz w:val="20"/>
                <w:szCs w:val="22"/>
              </w:rPr>
              <w:t>.09</w:t>
            </w:r>
          </w:p>
        </w:tc>
        <w:tc>
          <w:tcPr>
            <w:tcW w:w="990" w:type="dxa"/>
          </w:tcPr>
          <w:p w:rsidR="00304EE7" w:rsidRDefault="00304EE7" w:rsidP="00304EE7"/>
        </w:tc>
        <w:tc>
          <w:tcPr>
            <w:tcW w:w="1188" w:type="dxa"/>
          </w:tcPr>
          <w:p w:rsidR="00304EE7" w:rsidRDefault="00304EE7" w:rsidP="00304EE7"/>
        </w:tc>
      </w:tr>
      <w:tr w:rsidR="00010D85" w:rsidTr="00304EE7">
        <w:trPr>
          <w:trHeight w:val="1547"/>
        </w:trPr>
        <w:tc>
          <w:tcPr>
            <w:tcW w:w="8838" w:type="dxa"/>
            <w:vAlign w:val="center"/>
          </w:tcPr>
          <w:p w:rsidR="001767AE" w:rsidRPr="00C608DB" w:rsidRDefault="00112557" w:rsidP="00C608DB">
            <w:pPr>
              <w:pStyle w:val="ListParagraph"/>
              <w:numPr>
                <w:ilvl w:val="0"/>
                <w:numId w:val="1"/>
              </w:numPr>
              <w:jc w:val="both"/>
              <w:rPr>
                <w:sz w:val="22"/>
              </w:rPr>
            </w:pPr>
            <w:r w:rsidRPr="00C608DB">
              <w:rPr>
                <w:b/>
                <w:sz w:val="22"/>
                <w:szCs w:val="22"/>
              </w:rPr>
              <w:t xml:space="preserve">Description of </w:t>
            </w:r>
            <w:r w:rsidR="001767AE" w:rsidRPr="00C608DB">
              <w:rPr>
                <w:b/>
                <w:sz w:val="22"/>
                <w:szCs w:val="22"/>
              </w:rPr>
              <w:t xml:space="preserve">the </w:t>
            </w:r>
            <w:r w:rsidRPr="00C608DB">
              <w:rPr>
                <w:b/>
                <w:sz w:val="22"/>
                <w:szCs w:val="22"/>
              </w:rPr>
              <w:t xml:space="preserve">educational services that will be </w:t>
            </w:r>
            <w:r w:rsidR="006E5C1A" w:rsidRPr="00C608DB">
              <w:rPr>
                <w:b/>
                <w:sz w:val="22"/>
                <w:szCs w:val="22"/>
              </w:rPr>
              <w:t xml:space="preserve">made available </w:t>
            </w:r>
            <w:r w:rsidR="001767AE" w:rsidRPr="00C608DB">
              <w:rPr>
                <w:b/>
                <w:sz w:val="22"/>
                <w:szCs w:val="22"/>
              </w:rPr>
              <w:t>for</w:t>
            </w:r>
            <w:r w:rsidRPr="00C608DB">
              <w:rPr>
                <w:b/>
                <w:sz w:val="22"/>
                <w:szCs w:val="22"/>
              </w:rPr>
              <w:t xml:space="preserve"> a student </w:t>
            </w:r>
            <w:r w:rsidR="00156A99" w:rsidRPr="00C608DB">
              <w:rPr>
                <w:b/>
                <w:sz w:val="22"/>
                <w:szCs w:val="22"/>
              </w:rPr>
              <w:t>to make academic progress during the period of expulsion</w:t>
            </w:r>
            <w:r w:rsidR="001767AE" w:rsidRPr="00C608DB">
              <w:rPr>
                <w:b/>
                <w:sz w:val="22"/>
                <w:szCs w:val="22"/>
              </w:rPr>
              <w:t xml:space="preserve"> once it is imposed.</w:t>
            </w:r>
            <w:r w:rsidR="00156A99" w:rsidRPr="001A607A">
              <w:rPr>
                <w:rStyle w:val="EndnoteReference"/>
                <w:b/>
                <w:sz w:val="22"/>
                <w:szCs w:val="22"/>
              </w:rPr>
              <w:endnoteReference w:id="10"/>
            </w:r>
          </w:p>
          <w:p w:rsidR="00A44957" w:rsidRDefault="00156A99" w:rsidP="00C608DB">
            <w:pPr>
              <w:pStyle w:val="ListParagraph"/>
              <w:numPr>
                <w:ilvl w:val="1"/>
                <w:numId w:val="1"/>
              </w:numPr>
              <w:jc w:val="both"/>
              <w:rPr>
                <w:sz w:val="22"/>
              </w:rPr>
            </w:pPr>
            <w:r w:rsidRPr="001767AE">
              <w:rPr>
                <w:sz w:val="22"/>
              </w:rPr>
              <w:t xml:space="preserve">The </w:t>
            </w:r>
            <w:r w:rsidRPr="00172075">
              <w:rPr>
                <w:sz w:val="22"/>
              </w:rPr>
              <w:t>principal</w:t>
            </w:r>
            <w:r w:rsidRPr="001767AE">
              <w:rPr>
                <w:sz w:val="22"/>
              </w:rPr>
              <w:t xml:space="preserve"> shall inform the student and parent of this opportunity in writing to receive education services at the time the student is expelled.</w:t>
            </w:r>
            <w:r w:rsidRPr="00657B12">
              <w:rPr>
                <w:rStyle w:val="EndnoteReference"/>
                <w:sz w:val="22"/>
              </w:rPr>
              <w:endnoteReference w:id="11"/>
            </w:r>
          </w:p>
          <w:p w:rsidR="00010D85" w:rsidRPr="00204D33" w:rsidRDefault="00010D85" w:rsidP="00304EE7">
            <w:pPr>
              <w:jc w:val="both"/>
              <w:rPr>
                <w:color w:val="0070C0"/>
                <w:sz w:val="20"/>
                <w:szCs w:val="22"/>
              </w:rPr>
            </w:pPr>
            <w:r w:rsidRPr="00A346DE">
              <w:rPr>
                <w:color w:val="1E4778"/>
                <w:sz w:val="20"/>
                <w:szCs w:val="22"/>
              </w:rPr>
              <w:t>Chapter 76, Section 21; Chapter 71, Section 37H, (e); 603 CMR 53.01 and 53.13</w:t>
            </w:r>
            <w:r w:rsidR="00E219DA" w:rsidRPr="00A346DE">
              <w:rPr>
                <w:color w:val="1E4778"/>
                <w:sz w:val="20"/>
                <w:szCs w:val="22"/>
              </w:rPr>
              <w:t>(</w:t>
            </w:r>
            <w:r w:rsidR="00C70311" w:rsidRPr="00A346DE">
              <w:rPr>
                <w:color w:val="1E4778"/>
                <w:sz w:val="20"/>
                <w:szCs w:val="22"/>
              </w:rPr>
              <w:t>1</w:t>
            </w:r>
            <w:r w:rsidR="00B13685" w:rsidRPr="00A346DE">
              <w:rPr>
                <w:color w:val="1E4778"/>
                <w:sz w:val="20"/>
                <w:szCs w:val="22"/>
              </w:rPr>
              <w:t>)</w:t>
            </w:r>
            <w:r w:rsidR="00C70311" w:rsidRPr="00A346DE">
              <w:rPr>
                <w:color w:val="1E4778"/>
                <w:sz w:val="20"/>
                <w:szCs w:val="22"/>
              </w:rPr>
              <w:t>,</w:t>
            </w:r>
            <w:r w:rsidR="00B13685" w:rsidRPr="00A346DE">
              <w:rPr>
                <w:color w:val="1E4778"/>
                <w:sz w:val="20"/>
                <w:szCs w:val="22"/>
              </w:rPr>
              <w:t xml:space="preserve"> (</w:t>
            </w:r>
            <w:r w:rsidR="00C70311" w:rsidRPr="00A346DE">
              <w:rPr>
                <w:color w:val="1E4778"/>
                <w:sz w:val="20"/>
                <w:szCs w:val="22"/>
              </w:rPr>
              <w:t>2</w:t>
            </w:r>
            <w:r w:rsidR="00B13685" w:rsidRPr="00A346DE">
              <w:rPr>
                <w:color w:val="1E4778"/>
                <w:sz w:val="20"/>
                <w:szCs w:val="22"/>
              </w:rPr>
              <w:t>)</w:t>
            </w:r>
            <w:r w:rsidR="00C70311" w:rsidRPr="00A346DE">
              <w:rPr>
                <w:color w:val="1E4778"/>
                <w:sz w:val="20"/>
                <w:szCs w:val="22"/>
              </w:rPr>
              <w:t>,</w:t>
            </w:r>
            <w:r w:rsidR="00B13685" w:rsidRPr="00A346DE">
              <w:rPr>
                <w:color w:val="1E4778"/>
                <w:sz w:val="20"/>
                <w:szCs w:val="22"/>
              </w:rPr>
              <w:t xml:space="preserve"> (</w:t>
            </w:r>
            <w:r w:rsidR="00E219DA" w:rsidRPr="00A346DE">
              <w:rPr>
                <w:color w:val="1E4778"/>
                <w:sz w:val="20"/>
                <w:szCs w:val="22"/>
              </w:rPr>
              <w:t>4)</w:t>
            </w:r>
          </w:p>
        </w:tc>
        <w:tc>
          <w:tcPr>
            <w:tcW w:w="990" w:type="dxa"/>
          </w:tcPr>
          <w:p w:rsidR="00010D85" w:rsidRDefault="00010D85" w:rsidP="00304EE7"/>
        </w:tc>
        <w:tc>
          <w:tcPr>
            <w:tcW w:w="1188" w:type="dxa"/>
          </w:tcPr>
          <w:p w:rsidR="00010D85" w:rsidRDefault="00010D85" w:rsidP="00304EE7"/>
        </w:tc>
      </w:tr>
      <w:tr w:rsidR="0060605C" w:rsidTr="00304EE7">
        <w:trPr>
          <w:trHeight w:val="515"/>
        </w:trPr>
        <w:tc>
          <w:tcPr>
            <w:tcW w:w="8838" w:type="dxa"/>
            <w:vAlign w:val="center"/>
          </w:tcPr>
          <w:p w:rsidR="000835E5" w:rsidRDefault="0060605C" w:rsidP="00304EE7">
            <w:pPr>
              <w:pStyle w:val="ListParagraph"/>
              <w:numPr>
                <w:ilvl w:val="0"/>
                <w:numId w:val="1"/>
              </w:numPr>
              <w:rPr>
                <w:b/>
                <w:sz w:val="20"/>
                <w:szCs w:val="22"/>
              </w:rPr>
            </w:pPr>
            <w:r w:rsidRPr="00894F4E">
              <w:rPr>
                <w:b/>
                <w:sz w:val="22"/>
                <w:szCs w:val="22"/>
              </w:rPr>
              <w:t>Disciplinary measures taken in serious cases</w:t>
            </w:r>
            <w:r w:rsidRPr="00894F4E">
              <w:rPr>
                <w:rStyle w:val="EndnoteReference"/>
                <w:b/>
                <w:sz w:val="22"/>
                <w:szCs w:val="22"/>
              </w:rPr>
              <w:endnoteReference w:id="12"/>
            </w:r>
            <w:r w:rsidRPr="00894F4E">
              <w:rPr>
                <w:b/>
                <w:sz w:val="20"/>
                <w:szCs w:val="22"/>
              </w:rPr>
              <w:t xml:space="preserve"> </w:t>
            </w:r>
          </w:p>
          <w:p w:rsidR="0060605C" w:rsidRPr="000835E5" w:rsidRDefault="0060605C" w:rsidP="000835E5">
            <w:pPr>
              <w:rPr>
                <w:b/>
                <w:sz w:val="20"/>
                <w:szCs w:val="22"/>
              </w:rPr>
            </w:pPr>
            <w:r w:rsidRPr="00A346DE">
              <w:rPr>
                <w:color w:val="1E4778"/>
                <w:sz w:val="20"/>
                <w:szCs w:val="22"/>
              </w:rPr>
              <w:t xml:space="preserve">Chapter 71, Section </w:t>
            </w:r>
            <w:r w:rsidRPr="00A346DE">
              <w:rPr>
                <w:color w:val="1E4778"/>
                <w:sz w:val="20"/>
              </w:rPr>
              <w:t>37H (paragraph 2)</w:t>
            </w:r>
            <w:r w:rsidR="00A84D87" w:rsidRPr="00A346DE">
              <w:rPr>
                <w:color w:val="1E4778"/>
                <w:sz w:val="20"/>
              </w:rPr>
              <w:t xml:space="preserve">, </w:t>
            </w:r>
            <w:r w:rsidR="00A84D87" w:rsidRPr="00A346DE">
              <w:rPr>
                <w:color w:val="1E4778"/>
                <w:sz w:val="20"/>
                <w:szCs w:val="22"/>
              </w:rPr>
              <w:t>37H ½</w:t>
            </w:r>
          </w:p>
        </w:tc>
        <w:tc>
          <w:tcPr>
            <w:tcW w:w="990" w:type="dxa"/>
          </w:tcPr>
          <w:p w:rsidR="0060605C" w:rsidRDefault="0060605C" w:rsidP="00304EE7"/>
        </w:tc>
        <w:tc>
          <w:tcPr>
            <w:tcW w:w="1188" w:type="dxa"/>
          </w:tcPr>
          <w:p w:rsidR="0060605C" w:rsidRDefault="0060605C" w:rsidP="00304EE7"/>
        </w:tc>
      </w:tr>
    </w:tbl>
    <w:p w:rsidR="00FD652E" w:rsidRDefault="00FD652E"/>
    <w:p w:rsidR="0010691E" w:rsidRDefault="0010691E" w:rsidP="00FD652E">
      <w:pPr>
        <w:tabs>
          <w:tab w:val="left" w:pos="2145"/>
        </w:tabs>
      </w:pPr>
    </w:p>
    <w:p w:rsidR="00821645" w:rsidRPr="00FD652E" w:rsidRDefault="00821645" w:rsidP="00FD652E">
      <w:pPr>
        <w:tabs>
          <w:tab w:val="left" w:pos="2145"/>
        </w:tabs>
      </w:pPr>
    </w:p>
    <w:sectPr w:rsidR="00821645" w:rsidRPr="00FD652E" w:rsidSect="00010D85">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E5A" w:rsidRDefault="00410E5A" w:rsidP="00010D85">
      <w:r>
        <w:separator/>
      </w:r>
    </w:p>
  </w:endnote>
  <w:endnote w:type="continuationSeparator" w:id="0">
    <w:p w:rsidR="00410E5A" w:rsidRDefault="00410E5A" w:rsidP="00010D85">
      <w:r>
        <w:continuationSeparator/>
      </w:r>
    </w:p>
  </w:endnote>
  <w:endnote w:id="1">
    <w:p w:rsidR="003E7F11" w:rsidRDefault="003E7F11" w:rsidP="00365612">
      <w:pPr>
        <w:pStyle w:val="EndnoteText"/>
      </w:pPr>
    </w:p>
    <w:p w:rsidR="003E7F11" w:rsidRPr="00172075" w:rsidRDefault="003E7F11" w:rsidP="00365612">
      <w:pPr>
        <w:pStyle w:val="EndnoteText"/>
        <w:rPr>
          <w:sz w:val="18"/>
        </w:rPr>
      </w:pPr>
      <w:r>
        <w:rPr>
          <w:rStyle w:val="EndnoteReference"/>
        </w:rPr>
        <w:endnoteRef/>
      </w:r>
      <w:r>
        <w:t xml:space="preserve"> Upon a student being convicted of a felony or upon adjudication or admission in court of guilt with respect to such a felony or felony delinquency, </w:t>
      </w:r>
      <w:r w:rsidRPr="00172075">
        <w:rPr>
          <w:szCs w:val="22"/>
        </w:rPr>
        <w:t>possession of a dangerous weapon or an illegal/controlled substance or assault of educational personnel / felony charge or felony offense,</w:t>
      </w:r>
      <w:r w:rsidRPr="00172075">
        <w:t xml:space="preserve"> the principal of a school in which the student is enrolled may expel the student if such principal </w:t>
      </w:r>
      <w:r w:rsidRPr="00172075">
        <w:rPr>
          <w:szCs w:val="22"/>
        </w:rPr>
        <w:t>determines that the student's continued presence in school would have a substantial detrimental effect on the general welfare of the school.</w:t>
      </w:r>
    </w:p>
  </w:endnote>
  <w:endnote w:id="2">
    <w:p w:rsidR="003E7F11" w:rsidRPr="00172075" w:rsidRDefault="003E7F11">
      <w:pPr>
        <w:pStyle w:val="EndnoteText"/>
      </w:pPr>
      <w:r w:rsidRPr="00172075">
        <w:rPr>
          <w:rStyle w:val="EndnoteReference"/>
        </w:rPr>
        <w:endnoteRef/>
      </w:r>
      <w:r w:rsidRPr="00172075">
        <w:t xml:space="preserve"> At a student hearing, any decision maker (principal, executive director, head of school) deciding the consequence for the student shall exercise discretion</w:t>
      </w:r>
      <w:r>
        <w:t>.</w:t>
      </w:r>
    </w:p>
  </w:endnote>
  <w:endnote w:id="3">
    <w:p w:rsidR="003E7F11" w:rsidRPr="00172075" w:rsidRDefault="003E7F11" w:rsidP="005B24C7">
      <w:pPr>
        <w:rPr>
          <w:sz w:val="16"/>
        </w:rPr>
      </w:pPr>
      <w:r w:rsidRPr="00172075">
        <w:rPr>
          <w:rStyle w:val="EndnoteReference"/>
        </w:rPr>
        <w:endnoteRef/>
      </w:r>
      <w:r w:rsidRPr="00172075">
        <w:t xml:space="preserve"> </w:t>
      </w:r>
      <w:r w:rsidRPr="00172075">
        <w:rPr>
          <w:sz w:val="20"/>
        </w:rPr>
        <w:t>At the hearing, students and parents have the right to: bring counsel (at the student’s expense)</w:t>
      </w:r>
      <w:r>
        <w:rPr>
          <w:sz w:val="20"/>
        </w:rPr>
        <w:t>,</w:t>
      </w:r>
      <w:r w:rsidRPr="00172075">
        <w:rPr>
          <w:sz w:val="20"/>
        </w:rPr>
        <w:t xml:space="preserve"> present evidence (through the student’s own testimony or witnesses and through written evidence)</w:t>
      </w:r>
      <w:r>
        <w:rPr>
          <w:sz w:val="20"/>
        </w:rPr>
        <w:t xml:space="preserve"> and cross-examine witnesses presented by the school</w:t>
      </w:r>
      <w:r w:rsidRPr="00172075">
        <w:rPr>
          <w:sz w:val="20"/>
        </w:rPr>
        <w:t>.</w:t>
      </w:r>
    </w:p>
  </w:endnote>
  <w:endnote w:id="4">
    <w:p w:rsidR="003E7F11" w:rsidRPr="00172075" w:rsidRDefault="003E7F11" w:rsidP="00010D85">
      <w:pPr>
        <w:pStyle w:val="EndnoteText"/>
      </w:pPr>
      <w:r w:rsidRPr="00172075">
        <w:rPr>
          <w:rStyle w:val="EndnoteReference"/>
        </w:rPr>
        <w:endnoteRef/>
      </w:r>
      <w:r w:rsidRPr="00172075">
        <w:t xml:space="preserve"> After the hearing, a principal may, in his discretion, decide to suspend rather than expel a student who has been determined by the principal to have violated either </w:t>
      </w:r>
      <w:r w:rsidRPr="00172075">
        <w:rPr>
          <w:szCs w:val="22"/>
        </w:rPr>
        <w:t xml:space="preserve">Chapter 71, Section 37H, </w:t>
      </w:r>
      <w:r w:rsidRPr="00172075">
        <w:t>paragraph (a) or (b). The expulsion shall remain in effect prior to any appeal hearing conducted by the superintendent.</w:t>
      </w:r>
    </w:p>
  </w:endnote>
  <w:endnote w:id="5">
    <w:p w:rsidR="003E7F11" w:rsidRPr="00172075" w:rsidRDefault="003E7F11">
      <w:pPr>
        <w:pStyle w:val="EndnoteText"/>
      </w:pPr>
      <w:r w:rsidRPr="00172075">
        <w:rPr>
          <w:rStyle w:val="EndnoteReference"/>
        </w:rPr>
        <w:endnoteRef/>
      </w:r>
      <w:r w:rsidRPr="00172075">
        <w:t xml:space="preserve"> </w:t>
      </w:r>
      <w:r w:rsidRPr="00172075">
        <w:rPr>
          <w:szCs w:val="22"/>
        </w:rPr>
        <w:t xml:space="preserve">Chapter 71, Section 37H½ </w:t>
      </w:r>
    </w:p>
  </w:endnote>
  <w:endnote w:id="6">
    <w:p w:rsidR="003E7F11" w:rsidRPr="00172075" w:rsidRDefault="003E7F11">
      <w:pPr>
        <w:pStyle w:val="EndnoteText"/>
      </w:pPr>
      <w:r w:rsidRPr="00172075">
        <w:rPr>
          <w:rStyle w:val="EndnoteReference"/>
        </w:rPr>
        <w:endnoteRef/>
      </w:r>
      <w:r w:rsidRPr="00172075">
        <w:t xml:space="preserve"> The expulsion will remain in effect prior to any appeal hearing. For a 37H ½ charge, delinquency complaint, conviction, adjudication or admission of guilt principal may remove student for period of time up to expulsion if principal determines the student’s continued presence would have a substantial detriment on the general welfare of the school. The student has 10 days from the date of the expulsion to notify the superintendent of an appeal.</w:t>
      </w:r>
    </w:p>
  </w:endnote>
  <w:endnote w:id="7">
    <w:p w:rsidR="003E7F11" w:rsidRPr="00172075" w:rsidRDefault="003E7F11">
      <w:pPr>
        <w:pStyle w:val="EndnoteText"/>
      </w:pPr>
      <w:r w:rsidRPr="00172075">
        <w:rPr>
          <w:rStyle w:val="EndnoteReference"/>
        </w:rPr>
        <w:endnoteRef/>
      </w:r>
      <w:r w:rsidRPr="00172075">
        <w:t xml:space="preserve"> The expelled student shall have ten days from the date of the expulsion in which to notify the superintendent of his appeal. </w:t>
      </w:r>
    </w:p>
  </w:endnote>
  <w:endnote w:id="8">
    <w:p w:rsidR="003E7F11" w:rsidRPr="00172075" w:rsidRDefault="003E7F11">
      <w:pPr>
        <w:pStyle w:val="EndnoteText"/>
      </w:pPr>
      <w:r w:rsidRPr="00172075">
        <w:rPr>
          <w:rStyle w:val="EndnoteReference"/>
        </w:rPr>
        <w:endnoteRef/>
      </w:r>
      <w:r w:rsidRPr="00172075">
        <w:t xml:space="preserve"> </w:t>
      </w:r>
      <w:r w:rsidRPr="00172075">
        <w:rPr>
          <w:szCs w:val="22"/>
        </w:rPr>
        <w:t>Superintendent holds hearing within 3 days of receipt of request per 37H½ .</w:t>
      </w:r>
    </w:p>
  </w:endnote>
  <w:endnote w:id="9">
    <w:p w:rsidR="003E7F11" w:rsidRPr="00172075" w:rsidRDefault="003E7F11">
      <w:pPr>
        <w:pStyle w:val="EndnoteText"/>
      </w:pPr>
      <w:r w:rsidRPr="00172075">
        <w:rPr>
          <w:rStyle w:val="EndnoteReference"/>
        </w:rPr>
        <w:endnoteRef/>
      </w:r>
      <w:r w:rsidRPr="00172075">
        <w:t xml:space="preserve"> The subject matter of the appeal shall not be limited solely to a factual determination of whether the student has violated any provisions of section 37H.</w:t>
      </w:r>
    </w:p>
  </w:endnote>
  <w:endnote w:id="10">
    <w:p w:rsidR="003E7F11" w:rsidRPr="00523E47" w:rsidRDefault="003E7F11" w:rsidP="00010D85">
      <w:pPr>
        <w:pStyle w:val="EndnoteText"/>
        <w:rPr>
          <w:sz w:val="18"/>
        </w:rPr>
      </w:pPr>
      <w:r w:rsidRPr="00523E47">
        <w:rPr>
          <w:rStyle w:val="EndnoteReference"/>
        </w:rPr>
        <w:endnoteRef/>
      </w:r>
      <w:r w:rsidRPr="00523E47">
        <w:t xml:space="preserve"> </w:t>
      </w:r>
      <w:r w:rsidRPr="00523E47">
        <w:rPr>
          <w:szCs w:val="22"/>
        </w:rPr>
        <w:t xml:space="preserve">If the student moves to another district during the period of expulsion, the new district of residence shall either admit the student to its schools or provide educational services to the student in an education service plan. </w:t>
      </w:r>
    </w:p>
  </w:endnote>
  <w:endnote w:id="11">
    <w:p w:rsidR="003E7F11" w:rsidRPr="00172075" w:rsidRDefault="003E7F11" w:rsidP="00010D85">
      <w:pPr>
        <w:pStyle w:val="EndnoteText"/>
        <w:rPr>
          <w:szCs w:val="24"/>
        </w:rPr>
      </w:pPr>
      <w:r w:rsidRPr="00172075">
        <w:rPr>
          <w:rStyle w:val="EndnoteReference"/>
        </w:rPr>
        <w:endnoteRef/>
      </w:r>
      <w:r w:rsidRPr="00172075">
        <w:t xml:space="preserve"> </w:t>
      </w:r>
      <w:r w:rsidRPr="00172075">
        <w:rPr>
          <w:szCs w:val="24"/>
        </w:rPr>
        <w:t xml:space="preserve">Notice shall be provided in English and in the primary language spoken in the student’s home if other than English, or other means of communication where appropriate. The notice shall include a list of the specific education services that are available to the student and contact information for a </w:t>
      </w:r>
      <w:r>
        <w:rPr>
          <w:szCs w:val="24"/>
        </w:rPr>
        <w:t xml:space="preserve">specific </w:t>
      </w:r>
      <w:r w:rsidRPr="00172075">
        <w:rPr>
          <w:szCs w:val="24"/>
        </w:rPr>
        <w:t xml:space="preserve">school district staff member </w:t>
      </w:r>
      <w:r>
        <w:rPr>
          <w:szCs w:val="24"/>
        </w:rPr>
        <w:t>to arrange services</w:t>
      </w:r>
      <w:r w:rsidRPr="00172075">
        <w:rPr>
          <w:szCs w:val="24"/>
        </w:rPr>
        <w:t>.</w:t>
      </w:r>
    </w:p>
  </w:endnote>
  <w:endnote w:id="12">
    <w:p w:rsidR="003E7F11" w:rsidRDefault="003E7F11" w:rsidP="00010D85">
      <w:pPr>
        <w:pStyle w:val="EndnoteText"/>
        <w:rPr>
          <w:szCs w:val="22"/>
        </w:rPr>
      </w:pPr>
      <w:r w:rsidRPr="00172075">
        <w:rPr>
          <w:rStyle w:val="EndnoteReference"/>
        </w:rPr>
        <w:endnoteRef/>
      </w:r>
      <w:r w:rsidRPr="00172075">
        <w:t xml:space="preserve">Serious case is defined as </w:t>
      </w:r>
      <w:r w:rsidRPr="00172075">
        <w:rPr>
          <w:szCs w:val="22"/>
        </w:rPr>
        <w:t xml:space="preserve">involving the possession or use of illegal substances or weapons, assault, vandalism, or violation of a student’s civil rights. In practice, the decision to suspend rather than expel in serious cases may depend on </w:t>
      </w:r>
      <w:r>
        <w:rPr>
          <w:szCs w:val="22"/>
        </w:rPr>
        <w:t>whether</w:t>
      </w:r>
      <w:r w:rsidRPr="00172075">
        <w:rPr>
          <w:szCs w:val="22"/>
        </w:rPr>
        <w:t xml:space="preserve"> the principal determines that the student’s continued presence in school would have a substantial detrimental effect on the general welfare of the school.</w:t>
      </w:r>
    </w:p>
    <w:p w:rsidR="003E7F11" w:rsidRDefault="003E7F11" w:rsidP="00010D85">
      <w:pPr>
        <w:pStyle w:val="EndnoteText"/>
        <w:rPr>
          <w:szCs w:val="22"/>
        </w:rPr>
      </w:pPr>
    </w:p>
    <w:p w:rsidR="003E7F11" w:rsidRDefault="003E7F11" w:rsidP="00010D85">
      <w:pPr>
        <w:pStyle w:val="EndnoteText"/>
        <w:rPr>
          <w:szCs w:val="22"/>
        </w:rPr>
      </w:pPr>
    </w:p>
    <w:p w:rsidR="003E7F11" w:rsidRDefault="003E7F11" w:rsidP="00C608DB">
      <w:pPr>
        <w:pStyle w:val="EndnoteText"/>
        <w:jc w:val="center"/>
        <w:rPr>
          <w:b/>
          <w:sz w:val="28"/>
          <w:szCs w:val="22"/>
          <w:u w:val="single"/>
        </w:rPr>
      </w:pPr>
      <w:r w:rsidRPr="00C608DB">
        <w:rPr>
          <w:b/>
          <w:sz w:val="28"/>
          <w:szCs w:val="22"/>
          <w:u w:val="single"/>
        </w:rPr>
        <w:t>Definitions:</w:t>
      </w:r>
    </w:p>
    <w:p w:rsidR="003E7F11" w:rsidRDefault="003E7F11" w:rsidP="0086593D">
      <w:pPr>
        <w:pStyle w:val="EndnoteText"/>
        <w:rPr>
          <w:rStyle w:val="em1"/>
          <w:i w:val="0"/>
          <w:sz w:val="22"/>
          <w:szCs w:val="22"/>
        </w:rPr>
      </w:pPr>
      <w:r w:rsidRPr="0086593D">
        <w:rPr>
          <w:rStyle w:val="em1"/>
          <w:i w:val="0"/>
          <w:sz w:val="22"/>
          <w:szCs w:val="22"/>
        </w:rPr>
        <w:t xml:space="preserve">The </w:t>
      </w:r>
      <w:r w:rsidRPr="0086593D">
        <w:rPr>
          <w:rStyle w:val="em1"/>
          <w:b/>
          <w:i w:val="0"/>
          <w:sz w:val="22"/>
          <w:szCs w:val="22"/>
          <w:u w:val="single"/>
        </w:rPr>
        <w:t>board of trustees</w:t>
      </w:r>
      <w:r w:rsidRPr="0086593D">
        <w:rPr>
          <w:rStyle w:val="em1"/>
          <w:i w:val="0"/>
          <w:sz w:val="22"/>
          <w:szCs w:val="22"/>
        </w:rPr>
        <w:t xml:space="preserve"> of a charter school shall designate in the school discipline code who will serve as the principal for purposes of 603 CMR 53.00.</w:t>
      </w:r>
    </w:p>
    <w:p w:rsidR="003E7F11" w:rsidRPr="0086593D" w:rsidRDefault="003E7F11" w:rsidP="00C608DB">
      <w:pPr>
        <w:pStyle w:val="orn"/>
        <w:rPr>
          <w:rFonts w:ascii="Times New Roman" w:hAnsi="Times New Roman"/>
          <w:color w:val="auto"/>
          <w:sz w:val="22"/>
          <w:szCs w:val="22"/>
        </w:rPr>
      </w:pPr>
      <w:r w:rsidRPr="0086593D">
        <w:rPr>
          <w:rFonts w:ascii="Times New Roman" w:hAnsi="Times New Roman"/>
          <w:b/>
          <w:color w:val="auto"/>
          <w:sz w:val="22"/>
          <w:szCs w:val="22"/>
          <w:u w:val="single"/>
        </w:rPr>
        <w:t>Expulsion</w:t>
      </w:r>
      <w:r w:rsidRPr="0086593D">
        <w:rPr>
          <w:rFonts w:ascii="Times New Roman" w:hAnsi="Times New Roman"/>
          <w:color w:val="auto"/>
          <w:sz w:val="22"/>
          <w:szCs w:val="22"/>
        </w:rPr>
        <w:t xml:space="preserve"> is defined at 603 CMR 53.02 as more than 90 school days. A student may not be expelled for a §37H ¾ offense</w:t>
      </w:r>
    </w:p>
    <w:p w:rsidR="003E7F11" w:rsidRPr="0086593D" w:rsidRDefault="003E7F11" w:rsidP="0086593D">
      <w:pPr>
        <w:pStyle w:val="EndnoteText"/>
        <w:rPr>
          <w:b/>
          <w:i/>
          <w:sz w:val="22"/>
          <w:szCs w:val="22"/>
          <w:u w:val="single"/>
        </w:rPr>
      </w:pPr>
      <w:r w:rsidRPr="0086593D">
        <w:rPr>
          <w:rStyle w:val="em1"/>
          <w:b/>
          <w:i w:val="0"/>
          <w:sz w:val="22"/>
          <w:szCs w:val="22"/>
          <w:u w:val="single"/>
        </w:rPr>
        <w:t>Parent</w:t>
      </w:r>
      <w:r w:rsidRPr="0086593D">
        <w:rPr>
          <w:rStyle w:val="em1"/>
          <w:i w:val="0"/>
          <w:sz w:val="22"/>
          <w:szCs w:val="22"/>
        </w:rPr>
        <w:t xml:space="preserve"> means a student's father, mother, or legal guardian, or person or agency legally authorized to act on behalf of the student in place of or in conjunction with the father, mother, or legal guardian.</w:t>
      </w:r>
      <w:r w:rsidRPr="0086593D">
        <w:rPr>
          <w:i/>
          <w:sz w:val="22"/>
          <w:szCs w:val="22"/>
        </w:rPr>
        <w:t xml:space="preserve"> 603 CMR 53.02.</w:t>
      </w:r>
    </w:p>
    <w:p w:rsidR="003E7F11" w:rsidRDefault="003E7F11" w:rsidP="00C608DB">
      <w:pPr>
        <w:pStyle w:val="EndnoteText"/>
        <w:rPr>
          <w:b/>
          <w:sz w:val="22"/>
          <w:szCs w:val="22"/>
          <w:u w:val="single"/>
        </w:rPr>
      </w:pPr>
    </w:p>
    <w:p w:rsidR="003E7F11" w:rsidRPr="0086593D" w:rsidRDefault="003E7F11" w:rsidP="00C608DB">
      <w:pPr>
        <w:pStyle w:val="EndnoteText"/>
        <w:rPr>
          <w:rStyle w:val="em1"/>
          <w:i w:val="0"/>
          <w:sz w:val="22"/>
          <w:szCs w:val="22"/>
        </w:rPr>
      </w:pPr>
      <w:r w:rsidRPr="0086593D">
        <w:rPr>
          <w:b/>
          <w:sz w:val="22"/>
          <w:szCs w:val="22"/>
          <w:u w:val="single"/>
        </w:rPr>
        <w:t>Principal</w:t>
      </w:r>
      <w:r w:rsidRPr="0086593D">
        <w:rPr>
          <w:sz w:val="22"/>
          <w:szCs w:val="22"/>
        </w:rPr>
        <w:t xml:space="preserve"> is defined in 603 CMR 53.02 as: </w:t>
      </w:r>
      <w:r w:rsidRPr="0086593D">
        <w:rPr>
          <w:rStyle w:val="em1"/>
          <w:i w:val="0"/>
          <w:sz w:val="22"/>
          <w:szCs w:val="22"/>
        </w:rPr>
        <w:t xml:space="preserve">the instructional administrative leader or headmaster of a public school or his or her designee for purposes of disciplinary matters. </w:t>
      </w:r>
    </w:p>
    <w:p w:rsidR="003E7F11" w:rsidRDefault="003E7F11" w:rsidP="007F4DBD">
      <w:pPr>
        <w:pStyle w:val="NormalWeb"/>
        <w:rPr>
          <w:rFonts w:ascii="Times New Roman" w:hAnsi="Times New Roman"/>
          <w:sz w:val="22"/>
          <w:szCs w:val="22"/>
        </w:rPr>
      </w:pPr>
      <w:r w:rsidRPr="00732E79">
        <w:rPr>
          <w:rStyle w:val="bold1"/>
          <w:rFonts w:ascii="Times New Roman" w:hAnsi="Times New Roman"/>
          <w:sz w:val="22"/>
          <w:szCs w:val="22"/>
          <w:u w:val="single"/>
        </w:rPr>
        <w:t>Superintendent</w:t>
      </w:r>
      <w:r w:rsidRPr="00732E79">
        <w:rPr>
          <w:rFonts w:ascii="Times New Roman" w:hAnsi="Times New Roman"/>
          <w:sz w:val="22"/>
          <w:szCs w:val="22"/>
        </w:rPr>
        <w:t xml:space="preserve"> means the chief executive officer employed by a school committee or board of trustees to administer a school system, charter school, or virtual school pursuant to M.G.L. c. 71, §§ 59, 59A, 89, or 94, or his or her designee appointed for purposes of conducting a student disciplinary hearing. The board of trustees of a charter school shall designate in the school's discipline code who will serve as the superintendent for the purposes of 603 CMR 53.00.</w:t>
      </w:r>
    </w:p>
    <w:p w:rsidR="007F4DBD" w:rsidRPr="007F4DBD" w:rsidRDefault="007F4DBD" w:rsidP="007F4DBD">
      <w:pPr>
        <w:pStyle w:val="NormalWeb"/>
        <w:rPr>
          <w:rFonts w:ascii="Times New Roman" w:hAnsi="Times New Roman"/>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0002AFF" w:usb1="4000ACFF" w:usb2="00000001" w:usb3="00000000" w:csb0="000001FF"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E5A" w:rsidRDefault="00410E5A" w:rsidP="00010D85">
      <w:r>
        <w:separator/>
      </w:r>
    </w:p>
  </w:footnote>
  <w:footnote w:type="continuationSeparator" w:id="0">
    <w:p w:rsidR="00410E5A" w:rsidRDefault="00410E5A" w:rsidP="00010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14FB"/>
    <w:multiLevelType w:val="hybridMultilevel"/>
    <w:tmpl w:val="0E981938"/>
    <w:lvl w:ilvl="0" w:tplc="F4A64EA0">
      <w:start w:val="1"/>
      <w:numFmt w:val="decimal"/>
      <w:lvlText w:val="%1."/>
      <w:lvlJc w:val="left"/>
      <w:pPr>
        <w:ind w:left="720" w:hanging="360"/>
      </w:pPr>
      <w:rPr>
        <w:b/>
        <w:color w:val="auto"/>
        <w:sz w:val="22"/>
        <w:szCs w:val="22"/>
      </w:rPr>
    </w:lvl>
    <w:lvl w:ilvl="1" w:tplc="BB02E31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64179"/>
    <w:multiLevelType w:val="hybridMultilevel"/>
    <w:tmpl w:val="2814CAAC"/>
    <w:lvl w:ilvl="0" w:tplc="D6005DBE">
      <w:start w:val="1"/>
      <w:numFmt w:val="lowerLetter"/>
      <w:lvlText w:val="%1."/>
      <w:lvlJc w:val="left"/>
      <w:pPr>
        <w:ind w:left="360" w:hanging="360"/>
      </w:pPr>
      <w:rPr>
        <w:rFonts w:hint="default"/>
        <w:b/>
        <w:sz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2A459D"/>
    <w:multiLevelType w:val="hybridMultilevel"/>
    <w:tmpl w:val="E4762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F268B"/>
    <w:multiLevelType w:val="hybridMultilevel"/>
    <w:tmpl w:val="6016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A40A5"/>
    <w:multiLevelType w:val="hybridMultilevel"/>
    <w:tmpl w:val="27900178"/>
    <w:lvl w:ilvl="0" w:tplc="3530E39A">
      <w:start w:val="5"/>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AD5272"/>
    <w:multiLevelType w:val="hybridMultilevel"/>
    <w:tmpl w:val="372C0EF4"/>
    <w:lvl w:ilvl="0" w:tplc="D6005DBE">
      <w:start w:val="1"/>
      <w:numFmt w:val="lowerLetter"/>
      <w:lvlText w:val="%1."/>
      <w:lvlJc w:val="left"/>
      <w:pPr>
        <w:ind w:left="1080" w:hanging="360"/>
      </w:pPr>
      <w:rPr>
        <w:rFonts w:hint="default"/>
        <w:b/>
        <w:sz w:val="22"/>
        <w:u w:val="none"/>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CB1C48"/>
    <w:multiLevelType w:val="hybridMultilevel"/>
    <w:tmpl w:val="52CA82F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56750A43"/>
    <w:multiLevelType w:val="hybridMultilevel"/>
    <w:tmpl w:val="E7DED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E6B0765"/>
    <w:multiLevelType w:val="hybridMultilevel"/>
    <w:tmpl w:val="68C0FD42"/>
    <w:lvl w:ilvl="0" w:tplc="3616675A">
      <w:start w:val="7"/>
      <w:numFmt w:val="decimal"/>
      <w:lvlText w:val="%1."/>
      <w:lvlJc w:val="left"/>
      <w:pPr>
        <w:ind w:left="72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8"/>
  </w:num>
  <w:num w:numId="5">
    <w:abstractNumId w:val="2"/>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85"/>
    <w:rsid w:val="00010D85"/>
    <w:rsid w:val="000136B6"/>
    <w:rsid w:val="00050648"/>
    <w:rsid w:val="0006181B"/>
    <w:rsid w:val="00065A96"/>
    <w:rsid w:val="00071D13"/>
    <w:rsid w:val="00076F54"/>
    <w:rsid w:val="000835E5"/>
    <w:rsid w:val="000843FD"/>
    <w:rsid w:val="00094E3F"/>
    <w:rsid w:val="000C72D9"/>
    <w:rsid w:val="000E70BE"/>
    <w:rsid w:val="000E73FC"/>
    <w:rsid w:val="0010691E"/>
    <w:rsid w:val="00112557"/>
    <w:rsid w:val="00117169"/>
    <w:rsid w:val="001362DD"/>
    <w:rsid w:val="001423E0"/>
    <w:rsid w:val="00156A99"/>
    <w:rsid w:val="00172075"/>
    <w:rsid w:val="001767AE"/>
    <w:rsid w:val="001B04B9"/>
    <w:rsid w:val="001C61D8"/>
    <w:rsid w:val="001D200F"/>
    <w:rsid w:val="001E173C"/>
    <w:rsid w:val="001F698F"/>
    <w:rsid w:val="00213E45"/>
    <w:rsid w:val="0022034A"/>
    <w:rsid w:val="0025143E"/>
    <w:rsid w:val="00267E57"/>
    <w:rsid w:val="002760C5"/>
    <w:rsid w:val="00282563"/>
    <w:rsid w:val="0029167C"/>
    <w:rsid w:val="002D7EA2"/>
    <w:rsid w:val="002E307C"/>
    <w:rsid w:val="002F1BBC"/>
    <w:rsid w:val="00304EE7"/>
    <w:rsid w:val="00307F10"/>
    <w:rsid w:val="00321578"/>
    <w:rsid w:val="003246A8"/>
    <w:rsid w:val="00364AC3"/>
    <w:rsid w:val="003655C2"/>
    <w:rsid w:val="00365612"/>
    <w:rsid w:val="00372029"/>
    <w:rsid w:val="003B617F"/>
    <w:rsid w:val="003C7D3D"/>
    <w:rsid w:val="003D32D4"/>
    <w:rsid w:val="003D5CD2"/>
    <w:rsid w:val="003D78C8"/>
    <w:rsid w:val="003E7F11"/>
    <w:rsid w:val="003F4819"/>
    <w:rsid w:val="00410E5A"/>
    <w:rsid w:val="0041600C"/>
    <w:rsid w:val="00426765"/>
    <w:rsid w:val="0042688A"/>
    <w:rsid w:val="004504CD"/>
    <w:rsid w:val="00470633"/>
    <w:rsid w:val="004806D2"/>
    <w:rsid w:val="004862B7"/>
    <w:rsid w:val="00486F24"/>
    <w:rsid w:val="00492006"/>
    <w:rsid w:val="004A3967"/>
    <w:rsid w:val="004A6A67"/>
    <w:rsid w:val="004B251F"/>
    <w:rsid w:val="004B6392"/>
    <w:rsid w:val="004B7976"/>
    <w:rsid w:val="004D7569"/>
    <w:rsid w:val="005205B0"/>
    <w:rsid w:val="00523E47"/>
    <w:rsid w:val="00542743"/>
    <w:rsid w:val="00551467"/>
    <w:rsid w:val="00553DE9"/>
    <w:rsid w:val="005A51C8"/>
    <w:rsid w:val="005B24C7"/>
    <w:rsid w:val="005B4098"/>
    <w:rsid w:val="005F72D5"/>
    <w:rsid w:val="0060605C"/>
    <w:rsid w:val="006116C8"/>
    <w:rsid w:val="00615AD9"/>
    <w:rsid w:val="006354CA"/>
    <w:rsid w:val="00641125"/>
    <w:rsid w:val="006850EF"/>
    <w:rsid w:val="006C1CC5"/>
    <w:rsid w:val="006E5C1A"/>
    <w:rsid w:val="007022BB"/>
    <w:rsid w:val="00732E79"/>
    <w:rsid w:val="00765C14"/>
    <w:rsid w:val="007E191B"/>
    <w:rsid w:val="007E3A28"/>
    <w:rsid w:val="007E461D"/>
    <w:rsid w:val="007F481B"/>
    <w:rsid w:val="007F4DBD"/>
    <w:rsid w:val="00821645"/>
    <w:rsid w:val="00822DCD"/>
    <w:rsid w:val="008310E5"/>
    <w:rsid w:val="0084423B"/>
    <w:rsid w:val="008572EE"/>
    <w:rsid w:val="00861D54"/>
    <w:rsid w:val="0086593D"/>
    <w:rsid w:val="00874B74"/>
    <w:rsid w:val="00880014"/>
    <w:rsid w:val="00886D45"/>
    <w:rsid w:val="00893E09"/>
    <w:rsid w:val="008B3728"/>
    <w:rsid w:val="008E003D"/>
    <w:rsid w:val="008E3B15"/>
    <w:rsid w:val="008F45FB"/>
    <w:rsid w:val="00906D47"/>
    <w:rsid w:val="00915B8E"/>
    <w:rsid w:val="00924A91"/>
    <w:rsid w:val="00950CB0"/>
    <w:rsid w:val="0096323B"/>
    <w:rsid w:val="009870D8"/>
    <w:rsid w:val="009943DD"/>
    <w:rsid w:val="009B3D10"/>
    <w:rsid w:val="009D36E9"/>
    <w:rsid w:val="00A346DE"/>
    <w:rsid w:val="00A44453"/>
    <w:rsid w:val="00A44957"/>
    <w:rsid w:val="00A453C5"/>
    <w:rsid w:val="00A74BF1"/>
    <w:rsid w:val="00A84D87"/>
    <w:rsid w:val="00A967FD"/>
    <w:rsid w:val="00A96F65"/>
    <w:rsid w:val="00AE1C42"/>
    <w:rsid w:val="00AE2340"/>
    <w:rsid w:val="00AF64EF"/>
    <w:rsid w:val="00AF72C9"/>
    <w:rsid w:val="00B01AEC"/>
    <w:rsid w:val="00B038DD"/>
    <w:rsid w:val="00B13685"/>
    <w:rsid w:val="00B16BC1"/>
    <w:rsid w:val="00B21BCF"/>
    <w:rsid w:val="00B42E05"/>
    <w:rsid w:val="00B55786"/>
    <w:rsid w:val="00B57E5E"/>
    <w:rsid w:val="00B762AD"/>
    <w:rsid w:val="00BD6440"/>
    <w:rsid w:val="00BD6C8B"/>
    <w:rsid w:val="00C07FC0"/>
    <w:rsid w:val="00C11276"/>
    <w:rsid w:val="00C1419B"/>
    <w:rsid w:val="00C4756E"/>
    <w:rsid w:val="00C502A5"/>
    <w:rsid w:val="00C57B91"/>
    <w:rsid w:val="00C608DB"/>
    <w:rsid w:val="00C66251"/>
    <w:rsid w:val="00C6627F"/>
    <w:rsid w:val="00C70311"/>
    <w:rsid w:val="00C739B6"/>
    <w:rsid w:val="00C74D59"/>
    <w:rsid w:val="00CA4AB1"/>
    <w:rsid w:val="00CB22B6"/>
    <w:rsid w:val="00CD6E97"/>
    <w:rsid w:val="00CF7560"/>
    <w:rsid w:val="00D308DF"/>
    <w:rsid w:val="00D37D78"/>
    <w:rsid w:val="00D62D2B"/>
    <w:rsid w:val="00D66758"/>
    <w:rsid w:val="00D76DF9"/>
    <w:rsid w:val="00D819BA"/>
    <w:rsid w:val="00DA0350"/>
    <w:rsid w:val="00DA44FB"/>
    <w:rsid w:val="00DE210C"/>
    <w:rsid w:val="00DE331F"/>
    <w:rsid w:val="00DE4B95"/>
    <w:rsid w:val="00E219DA"/>
    <w:rsid w:val="00E21F1E"/>
    <w:rsid w:val="00E35F12"/>
    <w:rsid w:val="00E44EBA"/>
    <w:rsid w:val="00E563E5"/>
    <w:rsid w:val="00E71D0D"/>
    <w:rsid w:val="00E762DA"/>
    <w:rsid w:val="00E80E0C"/>
    <w:rsid w:val="00E8628D"/>
    <w:rsid w:val="00E942BE"/>
    <w:rsid w:val="00F35F51"/>
    <w:rsid w:val="00F53856"/>
    <w:rsid w:val="00F63053"/>
    <w:rsid w:val="00FA1FFD"/>
    <w:rsid w:val="00FA5DE4"/>
    <w:rsid w:val="00FB0508"/>
    <w:rsid w:val="00FB05EB"/>
    <w:rsid w:val="00FB1BA4"/>
    <w:rsid w:val="00FD652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8F5B"/>
  <w15:docId w15:val="{918979A0-6FF1-42D1-A5AA-F98CDCBE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0D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0D85"/>
    <w:pPr>
      <w:tabs>
        <w:tab w:val="center" w:pos="4680"/>
        <w:tab w:val="right" w:pos="9360"/>
      </w:tabs>
    </w:pPr>
  </w:style>
  <w:style w:type="character" w:customStyle="1" w:styleId="HeaderChar">
    <w:name w:val="Header Char"/>
    <w:basedOn w:val="DefaultParagraphFont"/>
    <w:link w:val="Header"/>
    <w:uiPriority w:val="99"/>
    <w:rsid w:val="00010D85"/>
    <w:rPr>
      <w:sz w:val="24"/>
      <w:szCs w:val="24"/>
    </w:rPr>
  </w:style>
  <w:style w:type="table" w:styleId="TableGrid">
    <w:name w:val="Table Grid"/>
    <w:basedOn w:val="TableNormal"/>
    <w:rsid w:val="00010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10D85"/>
    <w:rPr>
      <w:sz w:val="16"/>
      <w:szCs w:val="16"/>
    </w:rPr>
  </w:style>
  <w:style w:type="paragraph" w:styleId="ListParagraph">
    <w:name w:val="List Paragraph"/>
    <w:basedOn w:val="Normal"/>
    <w:uiPriority w:val="34"/>
    <w:qFormat/>
    <w:rsid w:val="00010D85"/>
    <w:pPr>
      <w:widowControl w:val="0"/>
      <w:ind w:left="720"/>
      <w:contextualSpacing/>
    </w:pPr>
    <w:rPr>
      <w:snapToGrid w:val="0"/>
      <w:szCs w:val="20"/>
    </w:rPr>
  </w:style>
  <w:style w:type="paragraph" w:styleId="FootnoteText">
    <w:name w:val="footnote text"/>
    <w:basedOn w:val="Normal"/>
    <w:link w:val="FootnoteTextChar"/>
    <w:rsid w:val="00010D85"/>
    <w:pPr>
      <w:widowControl w:val="0"/>
    </w:pPr>
    <w:rPr>
      <w:snapToGrid w:val="0"/>
      <w:sz w:val="20"/>
      <w:szCs w:val="20"/>
    </w:rPr>
  </w:style>
  <w:style w:type="character" w:customStyle="1" w:styleId="FootnoteTextChar">
    <w:name w:val="Footnote Text Char"/>
    <w:basedOn w:val="DefaultParagraphFont"/>
    <w:link w:val="FootnoteText"/>
    <w:rsid w:val="00010D85"/>
    <w:rPr>
      <w:snapToGrid w:val="0"/>
    </w:rPr>
  </w:style>
  <w:style w:type="character" w:styleId="FootnoteReference">
    <w:name w:val="footnote reference"/>
    <w:basedOn w:val="DefaultParagraphFont"/>
    <w:rsid w:val="00010D85"/>
    <w:rPr>
      <w:vertAlign w:val="superscript"/>
    </w:rPr>
  </w:style>
  <w:style w:type="paragraph" w:styleId="CommentText">
    <w:name w:val="annotation text"/>
    <w:basedOn w:val="Normal"/>
    <w:link w:val="CommentTextChar"/>
    <w:rsid w:val="00010D85"/>
    <w:pPr>
      <w:widowControl w:val="0"/>
    </w:pPr>
    <w:rPr>
      <w:snapToGrid w:val="0"/>
      <w:sz w:val="20"/>
      <w:szCs w:val="20"/>
    </w:rPr>
  </w:style>
  <w:style w:type="character" w:customStyle="1" w:styleId="CommentTextChar">
    <w:name w:val="Comment Text Char"/>
    <w:basedOn w:val="DefaultParagraphFont"/>
    <w:link w:val="CommentText"/>
    <w:rsid w:val="00010D85"/>
    <w:rPr>
      <w:snapToGrid w:val="0"/>
    </w:rPr>
  </w:style>
  <w:style w:type="paragraph" w:styleId="BalloonText">
    <w:name w:val="Balloon Text"/>
    <w:basedOn w:val="Normal"/>
    <w:link w:val="BalloonTextChar"/>
    <w:rsid w:val="00010D85"/>
    <w:rPr>
      <w:rFonts w:ascii="Tahoma" w:hAnsi="Tahoma" w:cs="Tahoma"/>
      <w:sz w:val="16"/>
      <w:szCs w:val="16"/>
    </w:rPr>
  </w:style>
  <w:style w:type="character" w:customStyle="1" w:styleId="BalloonTextChar">
    <w:name w:val="Balloon Text Char"/>
    <w:basedOn w:val="DefaultParagraphFont"/>
    <w:link w:val="BalloonText"/>
    <w:rsid w:val="00010D85"/>
    <w:rPr>
      <w:rFonts w:ascii="Tahoma" w:hAnsi="Tahoma" w:cs="Tahoma"/>
      <w:sz w:val="16"/>
      <w:szCs w:val="16"/>
    </w:rPr>
  </w:style>
  <w:style w:type="paragraph" w:styleId="Footer">
    <w:name w:val="footer"/>
    <w:basedOn w:val="Normal"/>
    <w:link w:val="FooterChar"/>
    <w:rsid w:val="00365612"/>
    <w:pPr>
      <w:tabs>
        <w:tab w:val="center" w:pos="4680"/>
        <w:tab w:val="right" w:pos="9360"/>
      </w:tabs>
    </w:pPr>
  </w:style>
  <w:style w:type="character" w:customStyle="1" w:styleId="FooterChar">
    <w:name w:val="Footer Char"/>
    <w:basedOn w:val="DefaultParagraphFont"/>
    <w:link w:val="Footer"/>
    <w:rsid w:val="00365612"/>
    <w:rPr>
      <w:sz w:val="24"/>
      <w:szCs w:val="24"/>
    </w:rPr>
  </w:style>
  <w:style w:type="paragraph" w:styleId="Revision">
    <w:name w:val="Revision"/>
    <w:hidden/>
    <w:uiPriority w:val="99"/>
    <w:semiHidden/>
    <w:rsid w:val="00365612"/>
    <w:rPr>
      <w:sz w:val="24"/>
      <w:szCs w:val="24"/>
    </w:rPr>
  </w:style>
  <w:style w:type="paragraph" w:styleId="EndnoteText">
    <w:name w:val="endnote text"/>
    <w:basedOn w:val="Normal"/>
    <w:link w:val="EndnoteTextChar"/>
    <w:rsid w:val="00156A99"/>
    <w:rPr>
      <w:sz w:val="20"/>
      <w:szCs w:val="20"/>
    </w:rPr>
  </w:style>
  <w:style w:type="character" w:customStyle="1" w:styleId="EndnoteTextChar">
    <w:name w:val="Endnote Text Char"/>
    <w:basedOn w:val="DefaultParagraphFont"/>
    <w:link w:val="EndnoteText"/>
    <w:rsid w:val="00156A99"/>
  </w:style>
  <w:style w:type="character" w:styleId="EndnoteReference">
    <w:name w:val="endnote reference"/>
    <w:basedOn w:val="DefaultParagraphFont"/>
    <w:rsid w:val="00156A99"/>
    <w:rPr>
      <w:vertAlign w:val="superscript"/>
    </w:rPr>
  </w:style>
  <w:style w:type="paragraph" w:styleId="CommentSubject">
    <w:name w:val="annotation subject"/>
    <w:basedOn w:val="CommentText"/>
    <w:next w:val="CommentText"/>
    <w:link w:val="CommentSubjectChar"/>
    <w:rsid w:val="00E762DA"/>
    <w:pPr>
      <w:widowControl/>
    </w:pPr>
    <w:rPr>
      <w:b/>
      <w:bCs/>
      <w:snapToGrid/>
    </w:rPr>
  </w:style>
  <w:style w:type="character" w:customStyle="1" w:styleId="CommentSubjectChar">
    <w:name w:val="Comment Subject Char"/>
    <w:basedOn w:val="CommentTextChar"/>
    <w:link w:val="CommentSubject"/>
    <w:rsid w:val="00E762DA"/>
    <w:rPr>
      <w:b/>
      <w:bCs/>
      <w:snapToGrid w:val="0"/>
    </w:rPr>
  </w:style>
  <w:style w:type="character" w:customStyle="1" w:styleId="em1">
    <w:name w:val="em1"/>
    <w:basedOn w:val="DefaultParagraphFont"/>
    <w:rsid w:val="00C608DB"/>
    <w:rPr>
      <w:i/>
      <w:iCs/>
    </w:rPr>
  </w:style>
  <w:style w:type="paragraph" w:customStyle="1" w:styleId="orn">
    <w:name w:val="orn"/>
    <w:basedOn w:val="Normal"/>
    <w:rsid w:val="00C608DB"/>
    <w:pPr>
      <w:spacing w:before="100" w:beforeAutospacing="1" w:after="100" w:afterAutospacing="1"/>
    </w:pPr>
    <w:rPr>
      <w:rFonts w:ascii="Georgia" w:hAnsi="Georgia"/>
      <w:color w:val="E28521"/>
      <w:sz w:val="23"/>
      <w:szCs w:val="23"/>
    </w:rPr>
  </w:style>
  <w:style w:type="paragraph" w:styleId="NormalWeb">
    <w:name w:val="Normal (Web)"/>
    <w:basedOn w:val="Normal"/>
    <w:uiPriority w:val="99"/>
    <w:unhideWhenUsed/>
    <w:rsid w:val="00732E79"/>
    <w:pPr>
      <w:spacing w:before="100" w:beforeAutospacing="1" w:after="100" w:afterAutospacing="1"/>
    </w:pPr>
    <w:rPr>
      <w:rFonts w:ascii="Georgia" w:hAnsi="Georgia"/>
      <w:sz w:val="23"/>
      <w:szCs w:val="23"/>
    </w:rPr>
  </w:style>
  <w:style w:type="character" w:customStyle="1" w:styleId="bold1">
    <w:name w:val="bold1"/>
    <w:basedOn w:val="DefaultParagraphFont"/>
    <w:rsid w:val="00732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3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DESE-231-16957</_dlc_DocId>
    <_dlc_DocIdUrl xmlns="733efe1c-5bbe-4968-87dc-d400e65c879f">
      <Url>https://sharepoint.doemass.org/ese/webteam/cps/_layouts/DocIdRedir.aspx?ID=DESE-231-16957</Url>
      <Description>DESE-231-16957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61B2A-4F8A-4B7A-AFEC-18A6FED7662E}">
  <ds:schemaRefs>
    <ds:schemaRef ds:uri="http://schemas.microsoft.com/sharepoint/v3/contenttype/forms"/>
  </ds:schemaRefs>
</ds:datastoreItem>
</file>

<file path=customXml/itemProps2.xml><?xml version="1.0" encoding="utf-8"?>
<ds:datastoreItem xmlns:ds="http://schemas.openxmlformats.org/officeDocument/2006/customXml" ds:itemID="{A1DAF776-2B7F-42F3-8ABF-0E2278B51750}">
  <ds:schemaRefs>
    <ds:schemaRef ds:uri="http://schemas.microsoft.com/sharepoint/events"/>
  </ds:schemaRefs>
</ds:datastoreItem>
</file>

<file path=customXml/itemProps3.xml><?xml version="1.0" encoding="utf-8"?>
<ds:datastoreItem xmlns:ds="http://schemas.openxmlformats.org/officeDocument/2006/customXml" ds:itemID="{6F716218-35F5-4554-B753-439C0DE15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D7907-2A0E-4158-BE09-ED90BD60785E}">
  <ds:schemaRefs>
    <ds:schemaRef ds:uri="0a4e05da-b9bc-4326-ad73-01ef31b95567"/>
    <ds:schemaRef ds:uri="http://purl.org/dc/terms/"/>
    <ds:schemaRef ds:uri="733efe1c-5bbe-4968-87dc-d400e65c879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F91ACB6-ECF4-4918-80C7-521B7FAD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Checklist for Explusion Policy - 37H and 37H 0.5</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Explusion Policy - 37H and 37H 0.5</dc:title>
  <dc:creator>DESE</dc:creator>
  <cp:lastModifiedBy>Zou, Dong (EOE)</cp:lastModifiedBy>
  <cp:revision>5</cp:revision>
  <dcterms:created xsi:type="dcterms:W3CDTF">2019-04-25T20:05:00Z</dcterms:created>
  <dcterms:modified xsi:type="dcterms:W3CDTF">2019-04-25T20:07:00Z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2015</vt:lpwstr>
  </property>
</Properties>
</file>