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BF6B58" w14:textId="0CE453A8" w:rsidR="004873A1" w:rsidRDefault="004873A1">
      <w:pPr>
        <w:sectPr w:rsidR="004873A1" w:rsidSect="00900E8F">
          <w:headerReference w:type="default" r:id="rId11"/>
          <w:footerReference w:type="default" r:id="rId12"/>
          <w:pgSz w:w="12240" w:h="15840"/>
          <w:pgMar w:top="2880" w:right="1440" w:bottom="1440" w:left="1440" w:header="576" w:footer="720" w:gutter="0"/>
          <w:cols w:space="720"/>
          <w:docGrid w:linePitch="360"/>
        </w:sectPr>
      </w:pPr>
    </w:p>
    <w:p w14:paraId="7CF3699D" w14:textId="77777777" w:rsidR="006D3FBB" w:rsidRDefault="006D3FBB" w:rsidP="006D3FBB">
      <w:pPr>
        <w:pStyle w:val="Heading1"/>
        <w:jc w:val="center"/>
      </w:pPr>
      <w:r>
        <w:t>MEMORANDUM</w:t>
      </w:r>
    </w:p>
    <w:p w14:paraId="07F3A9E9" w14:textId="77777777" w:rsidR="006D3FBB" w:rsidRDefault="006D3FBB" w:rsidP="006D3FBB">
      <w:pPr>
        <w:pStyle w:val="Footer"/>
        <w:widowControl w:val="0"/>
        <w:rPr>
          <w:snapToGrid w:val="0"/>
          <w:szCs w:val="20"/>
        </w:rPr>
      </w:pPr>
    </w:p>
    <w:tbl>
      <w:tblPr>
        <w:tblW w:w="0" w:type="auto"/>
        <w:tblLook w:val="01E0" w:firstRow="1" w:lastRow="1" w:firstColumn="1" w:lastColumn="1" w:noHBand="0" w:noVBand="0"/>
      </w:tblPr>
      <w:tblGrid>
        <w:gridCol w:w="1184"/>
        <w:gridCol w:w="8176"/>
      </w:tblGrid>
      <w:tr w:rsidR="006D3FBB" w14:paraId="428174A4" w14:textId="77777777" w:rsidTr="00B276E1">
        <w:tc>
          <w:tcPr>
            <w:tcW w:w="1184" w:type="dxa"/>
          </w:tcPr>
          <w:p w14:paraId="29CA0BBD" w14:textId="400E8A7B" w:rsidR="006D3FBB" w:rsidRDefault="006D3FBB" w:rsidP="00B276E1">
            <w:pPr>
              <w:rPr>
                <w:b/>
              </w:rPr>
            </w:pPr>
            <w:r>
              <w:rPr>
                <w:b/>
              </w:rPr>
              <w:t>To:</w:t>
            </w:r>
          </w:p>
        </w:tc>
        <w:tc>
          <w:tcPr>
            <w:tcW w:w="8176" w:type="dxa"/>
          </w:tcPr>
          <w:p w14:paraId="47311F10" w14:textId="779A5AFF" w:rsidR="006D3FBB" w:rsidRDefault="00F57EE0" w:rsidP="00B276E1">
            <w:pPr>
              <w:pStyle w:val="Footer"/>
              <w:widowControl w:val="0"/>
              <w:rPr>
                <w:bCs/>
                <w:snapToGrid w:val="0"/>
                <w:szCs w:val="20"/>
              </w:rPr>
            </w:pPr>
            <w:r w:rsidRPr="009F0550">
              <w:rPr>
                <w:rFonts w:cstheme="minorHAnsi"/>
              </w:rPr>
              <w:t>Commonwealth of Massachusetts Virtual School Leaders, Business Managers, and Data Coordinators</w:t>
            </w:r>
          </w:p>
        </w:tc>
      </w:tr>
      <w:tr w:rsidR="006D3FBB" w14:paraId="6BADAB18" w14:textId="77777777" w:rsidTr="00B276E1">
        <w:tc>
          <w:tcPr>
            <w:tcW w:w="1184" w:type="dxa"/>
          </w:tcPr>
          <w:p w14:paraId="7B648A85" w14:textId="77777777" w:rsidR="006D3FBB" w:rsidRDefault="006D3FBB" w:rsidP="00B276E1">
            <w:pPr>
              <w:rPr>
                <w:b/>
              </w:rPr>
            </w:pPr>
            <w:r>
              <w:rPr>
                <w:b/>
              </w:rPr>
              <w:t>From:</w:t>
            </w:r>
            <w:r>
              <w:tab/>
            </w:r>
          </w:p>
        </w:tc>
        <w:tc>
          <w:tcPr>
            <w:tcW w:w="8176" w:type="dxa"/>
          </w:tcPr>
          <w:p w14:paraId="5B231371" w14:textId="1EC6F4B3" w:rsidR="006D3FBB" w:rsidRPr="00947C0C" w:rsidRDefault="009F0550" w:rsidP="00B276E1">
            <w:pPr>
              <w:pStyle w:val="Footer"/>
              <w:widowControl w:val="0"/>
              <w:rPr>
                <w:bCs/>
                <w:snapToGrid w:val="0"/>
              </w:rPr>
            </w:pPr>
            <w:r w:rsidRPr="009F0550">
              <w:rPr>
                <w:bCs/>
                <w:snapToGrid w:val="0"/>
              </w:rPr>
              <w:t xml:space="preserve">Brenton Stewart, Coordinator of School </w:t>
            </w:r>
            <w:proofErr w:type="gramStart"/>
            <w:r w:rsidRPr="009F0550">
              <w:rPr>
                <w:bCs/>
                <w:snapToGrid w:val="0"/>
              </w:rPr>
              <w:t>Redesign</w:t>
            </w:r>
            <w:proofErr w:type="gramEnd"/>
            <w:r w:rsidRPr="009F0550">
              <w:rPr>
                <w:bCs/>
                <w:snapToGrid w:val="0"/>
              </w:rPr>
              <w:t xml:space="preserve"> and Impact</w:t>
            </w:r>
          </w:p>
        </w:tc>
      </w:tr>
      <w:tr w:rsidR="006D3FBB" w14:paraId="77D97DD1" w14:textId="77777777" w:rsidTr="00B276E1">
        <w:tc>
          <w:tcPr>
            <w:tcW w:w="1184" w:type="dxa"/>
          </w:tcPr>
          <w:p w14:paraId="008997C8" w14:textId="77777777" w:rsidR="006D3FBB" w:rsidRDefault="006D3FBB" w:rsidP="00B276E1">
            <w:pPr>
              <w:rPr>
                <w:b/>
              </w:rPr>
            </w:pPr>
            <w:r>
              <w:rPr>
                <w:b/>
              </w:rPr>
              <w:t>Date:</w:t>
            </w:r>
            <w:r>
              <w:tab/>
            </w:r>
          </w:p>
        </w:tc>
        <w:tc>
          <w:tcPr>
            <w:tcW w:w="8176" w:type="dxa"/>
          </w:tcPr>
          <w:p w14:paraId="3990820A" w14:textId="689CA438" w:rsidR="006D3FBB" w:rsidRDefault="009F0550" w:rsidP="00B276E1">
            <w:pPr>
              <w:pStyle w:val="Footer"/>
              <w:widowControl w:val="0"/>
            </w:pPr>
            <w:r>
              <w:t xml:space="preserve">April </w:t>
            </w:r>
            <w:r w:rsidR="00843D76">
              <w:t>3</w:t>
            </w:r>
            <w:r>
              <w:t>, 2024</w:t>
            </w:r>
          </w:p>
        </w:tc>
      </w:tr>
      <w:tr w:rsidR="006D3FBB" w14:paraId="10532374" w14:textId="77777777" w:rsidTr="00B276E1">
        <w:tc>
          <w:tcPr>
            <w:tcW w:w="1184" w:type="dxa"/>
          </w:tcPr>
          <w:p w14:paraId="6DBCAB77" w14:textId="77777777" w:rsidR="006D3FBB" w:rsidRDefault="006D3FBB" w:rsidP="00B276E1">
            <w:pPr>
              <w:rPr>
                <w:b/>
              </w:rPr>
            </w:pPr>
            <w:r>
              <w:rPr>
                <w:b/>
              </w:rPr>
              <w:t>Subject:</w:t>
            </w:r>
          </w:p>
        </w:tc>
        <w:tc>
          <w:tcPr>
            <w:tcW w:w="8176" w:type="dxa"/>
          </w:tcPr>
          <w:p w14:paraId="7A0AEDD6" w14:textId="1ECFEB1A" w:rsidR="006D3FBB" w:rsidRPr="009F0550" w:rsidRDefault="009F0550" w:rsidP="00B276E1">
            <w:pPr>
              <w:pStyle w:val="Footer"/>
              <w:widowControl w:val="0"/>
              <w:rPr>
                <w:b/>
                <w:bCs/>
                <w:snapToGrid w:val="0"/>
              </w:rPr>
            </w:pPr>
            <w:r w:rsidRPr="009F0550">
              <w:rPr>
                <w:snapToGrid w:val="0"/>
              </w:rPr>
              <w:t>2024-2025 Pre-Enrollment Data Submission Memorandum and Instructions</w:t>
            </w:r>
            <w:r>
              <w:rPr>
                <w:snapToGrid w:val="0"/>
              </w:rPr>
              <w:br/>
            </w:r>
            <w:r>
              <w:rPr>
                <w:b/>
                <w:bCs/>
                <w:snapToGrid w:val="0"/>
              </w:rPr>
              <w:t xml:space="preserve">Submission Deadline Wednesday, May 1, </w:t>
            </w:r>
            <w:proofErr w:type="gramStart"/>
            <w:r>
              <w:rPr>
                <w:b/>
                <w:bCs/>
                <w:snapToGrid w:val="0"/>
              </w:rPr>
              <w:t>2024</w:t>
            </w:r>
            <w:proofErr w:type="gramEnd"/>
            <w:r>
              <w:rPr>
                <w:b/>
                <w:bCs/>
                <w:snapToGrid w:val="0"/>
              </w:rPr>
              <w:t xml:space="preserve"> by 12:00 p.m.</w:t>
            </w:r>
          </w:p>
        </w:tc>
      </w:tr>
    </w:tbl>
    <w:p w14:paraId="6083E497" w14:textId="77777777" w:rsidR="006D3FBB" w:rsidRDefault="006D3FBB" w:rsidP="006D3FBB">
      <w:pPr>
        <w:pBdr>
          <w:bottom w:val="single" w:sz="4" w:space="1" w:color="auto"/>
        </w:pBdr>
      </w:pPr>
      <w:bookmarkStart w:id="0" w:name="TO"/>
      <w:bookmarkStart w:id="1" w:name="FROM"/>
      <w:bookmarkStart w:id="2" w:name="DATE"/>
      <w:bookmarkStart w:id="3" w:name="RE"/>
      <w:bookmarkEnd w:id="0"/>
      <w:bookmarkEnd w:id="1"/>
      <w:bookmarkEnd w:id="2"/>
      <w:bookmarkEnd w:id="3"/>
    </w:p>
    <w:p w14:paraId="3EE571B0" w14:textId="71E2B449" w:rsidR="006D3FBB" w:rsidRDefault="006D3FBB" w:rsidP="006D3FBB">
      <w:pPr>
        <w:rPr>
          <w:sz w:val="16"/>
        </w:rPr>
        <w:sectPr w:rsidR="006D3FBB" w:rsidSect="00900E8F">
          <w:endnotePr>
            <w:numFmt w:val="decimal"/>
          </w:endnotePr>
          <w:type w:val="continuous"/>
          <w:pgSz w:w="12240" w:h="15840"/>
          <w:pgMar w:top="1440" w:right="1440" w:bottom="1440" w:left="1440" w:header="1440" w:footer="1440" w:gutter="0"/>
          <w:cols w:space="720"/>
          <w:noEndnote/>
        </w:sectPr>
      </w:pPr>
    </w:p>
    <w:p w14:paraId="1EC1F0D4" w14:textId="77777777" w:rsidR="00F57EE0" w:rsidRDefault="00F57EE0" w:rsidP="00F57EE0">
      <w:pPr>
        <w:spacing w:before="100" w:beforeAutospacing="1" w:after="100" w:afterAutospacing="1"/>
        <w:rPr>
          <w:rFonts w:cstheme="minorHAnsi"/>
          <w:sz w:val="22"/>
          <w:szCs w:val="22"/>
        </w:rPr>
      </w:pPr>
      <w:r>
        <w:rPr>
          <w:sz w:val="22"/>
          <w:szCs w:val="22"/>
        </w:rPr>
        <w:t>Commonwealth of Massachusetts Virtual Schools (CMVS)</w:t>
      </w:r>
      <w:r w:rsidRPr="00192D28">
        <w:rPr>
          <w:sz w:val="22"/>
          <w:szCs w:val="22"/>
        </w:rPr>
        <w:t xml:space="preserve"> </w:t>
      </w:r>
      <w:r>
        <w:rPr>
          <w:rFonts w:cstheme="minorHAnsi"/>
          <w:sz w:val="22"/>
          <w:szCs w:val="22"/>
        </w:rPr>
        <w:t>are</w:t>
      </w:r>
      <w:r w:rsidRPr="00395ADD">
        <w:rPr>
          <w:rFonts w:cstheme="minorHAnsi"/>
          <w:sz w:val="22"/>
          <w:szCs w:val="22"/>
        </w:rPr>
        <w:t xml:space="preserve"> require</w:t>
      </w:r>
      <w:r>
        <w:rPr>
          <w:rFonts w:cstheme="minorHAnsi"/>
          <w:sz w:val="22"/>
          <w:szCs w:val="22"/>
        </w:rPr>
        <w:t>d</w:t>
      </w:r>
      <w:r w:rsidRPr="00395ADD">
        <w:rPr>
          <w:rFonts w:cstheme="minorHAnsi"/>
          <w:sz w:val="22"/>
          <w:szCs w:val="22"/>
        </w:rPr>
        <w:t xml:space="preserve"> to file an annual pre-enrollment report that includes the school's projected total enrollment for the upcoming academic year and the projected number of students, by grade, selected for admission from each sending district for the upcoming academic year.</w:t>
      </w:r>
      <w:r w:rsidRPr="000E540B">
        <w:rPr>
          <w:rStyle w:val="FootnoteReference"/>
          <w:rFonts w:cstheme="minorHAnsi"/>
          <w:sz w:val="22"/>
          <w:szCs w:val="22"/>
          <w:vertAlign w:val="superscript"/>
        </w:rPr>
        <w:footnoteReference w:id="2"/>
      </w:r>
      <w:r w:rsidRPr="000E540B">
        <w:rPr>
          <w:rFonts w:cstheme="minorHAnsi"/>
          <w:sz w:val="22"/>
          <w:szCs w:val="22"/>
          <w:vertAlign w:val="superscript"/>
        </w:rPr>
        <w:t xml:space="preserve"> </w:t>
      </w:r>
      <w:r>
        <w:rPr>
          <w:rFonts w:cstheme="minorHAnsi"/>
          <w:sz w:val="22"/>
          <w:szCs w:val="22"/>
          <w:vertAlign w:val="superscript"/>
        </w:rPr>
        <w:t xml:space="preserve"> </w:t>
      </w:r>
      <w:r w:rsidRPr="00395ADD">
        <w:rPr>
          <w:rFonts w:cstheme="minorHAnsi"/>
          <w:sz w:val="22"/>
          <w:szCs w:val="22"/>
        </w:rPr>
        <w:t xml:space="preserve">The CMVS Pre-Enrollment Report is used by </w:t>
      </w:r>
      <w:r w:rsidRPr="00496E5F">
        <w:rPr>
          <w:rFonts w:cstheme="minorHAnsi"/>
          <w:sz w:val="22"/>
          <w:szCs w:val="22"/>
        </w:rPr>
        <w:t xml:space="preserve">the Department of Elementary and Secondary Education (Department) </w:t>
      </w:r>
      <w:r w:rsidRPr="00395ADD">
        <w:rPr>
          <w:rFonts w:cstheme="minorHAnsi"/>
          <w:sz w:val="22"/>
          <w:szCs w:val="22"/>
        </w:rPr>
        <w:t>to estimate each virtual school's monthly tuition payments for the upcoming fiscal year.</w:t>
      </w:r>
      <w:r w:rsidRPr="00140A9C">
        <w:rPr>
          <w:rStyle w:val="FootnoteReference"/>
          <w:rFonts w:cstheme="minorHAnsi"/>
          <w:sz w:val="22"/>
          <w:szCs w:val="22"/>
          <w:vertAlign w:val="superscript"/>
        </w:rPr>
        <w:footnoteReference w:id="3"/>
      </w:r>
      <w:r w:rsidRPr="00140A9C">
        <w:rPr>
          <w:rFonts w:cstheme="minorHAnsi"/>
          <w:sz w:val="22"/>
          <w:szCs w:val="22"/>
          <w:vertAlign w:val="superscript"/>
        </w:rPr>
        <w:t xml:space="preserve"> </w:t>
      </w:r>
      <w:r w:rsidRPr="00395ADD">
        <w:rPr>
          <w:rFonts w:cstheme="minorHAnsi"/>
          <w:sz w:val="22"/>
          <w:szCs w:val="22"/>
        </w:rPr>
        <w:t> </w:t>
      </w:r>
    </w:p>
    <w:p w14:paraId="1140C618" w14:textId="4C3CF0D5" w:rsidR="00F57EE0" w:rsidRDefault="00F57EE0" w:rsidP="00F57EE0">
      <w:pPr>
        <w:spacing w:before="100" w:beforeAutospacing="1" w:after="100" w:afterAutospacing="1"/>
        <w:rPr>
          <w:rFonts w:cstheme="minorHAnsi"/>
          <w:sz w:val="22"/>
          <w:szCs w:val="22"/>
        </w:rPr>
      </w:pPr>
      <w:r>
        <w:rPr>
          <w:rFonts w:cstheme="minorHAnsi"/>
          <w:sz w:val="22"/>
          <w:szCs w:val="22"/>
        </w:rPr>
        <w:t>The</w:t>
      </w:r>
      <w:r w:rsidRPr="00395ADD">
        <w:rPr>
          <w:rFonts w:cstheme="minorHAnsi"/>
          <w:sz w:val="22"/>
          <w:szCs w:val="22"/>
        </w:rPr>
        <w:t xml:space="preserve"> first five monthly </w:t>
      </w:r>
      <w:r w:rsidR="00C965E8">
        <w:rPr>
          <w:rFonts w:cstheme="minorHAnsi"/>
          <w:sz w:val="22"/>
          <w:szCs w:val="22"/>
        </w:rPr>
        <w:t xml:space="preserve">tuition </w:t>
      </w:r>
      <w:r w:rsidRPr="00395ADD">
        <w:rPr>
          <w:rFonts w:cstheme="minorHAnsi"/>
          <w:sz w:val="22"/>
          <w:szCs w:val="22"/>
        </w:rPr>
        <w:t xml:space="preserve">payments in each fiscal year are based on the pre-enrollment report; monthly </w:t>
      </w:r>
      <w:r w:rsidR="005B7214">
        <w:rPr>
          <w:rFonts w:cstheme="minorHAnsi"/>
          <w:sz w:val="22"/>
          <w:szCs w:val="22"/>
        </w:rPr>
        <w:t xml:space="preserve">tuition </w:t>
      </w:r>
      <w:r w:rsidRPr="00395ADD">
        <w:rPr>
          <w:rFonts w:cstheme="minorHAnsi"/>
          <w:sz w:val="22"/>
          <w:szCs w:val="22"/>
        </w:rPr>
        <w:t>payments from December through May are based on the October student information management system (SIMS) collection</w:t>
      </w:r>
      <w:r w:rsidR="001F4F38">
        <w:rPr>
          <w:rFonts w:cstheme="minorHAnsi"/>
          <w:sz w:val="22"/>
          <w:szCs w:val="22"/>
        </w:rPr>
        <w:t xml:space="preserve"> with</w:t>
      </w:r>
      <w:r w:rsidRPr="00395ADD">
        <w:rPr>
          <w:rFonts w:cstheme="minorHAnsi"/>
          <w:sz w:val="22"/>
          <w:szCs w:val="22"/>
        </w:rPr>
        <w:t xml:space="preserve"> </w:t>
      </w:r>
      <w:r w:rsidR="00050CA3">
        <w:rPr>
          <w:rFonts w:cstheme="minorHAnsi"/>
          <w:sz w:val="22"/>
          <w:szCs w:val="22"/>
        </w:rPr>
        <w:t xml:space="preserve">adjustments made </w:t>
      </w:r>
      <w:r w:rsidR="00573C71">
        <w:rPr>
          <w:rFonts w:cstheme="minorHAnsi"/>
          <w:sz w:val="22"/>
          <w:szCs w:val="22"/>
        </w:rPr>
        <w:t xml:space="preserve">in </w:t>
      </w:r>
      <w:r w:rsidRPr="00395ADD">
        <w:rPr>
          <w:rFonts w:cstheme="minorHAnsi"/>
          <w:sz w:val="22"/>
          <w:szCs w:val="22"/>
        </w:rPr>
        <w:t xml:space="preserve">the final </w:t>
      </w:r>
      <w:r w:rsidR="005B7214">
        <w:rPr>
          <w:rFonts w:cstheme="minorHAnsi"/>
          <w:sz w:val="22"/>
          <w:szCs w:val="22"/>
        </w:rPr>
        <w:t xml:space="preserve">tuition </w:t>
      </w:r>
      <w:r w:rsidRPr="00395ADD">
        <w:rPr>
          <w:rFonts w:cstheme="minorHAnsi"/>
          <w:sz w:val="22"/>
          <w:szCs w:val="22"/>
        </w:rPr>
        <w:t xml:space="preserve">payment in June based on the school choice claim form and special education increment form submissions that are submitted at the end of April. Although each monthly </w:t>
      </w:r>
      <w:r w:rsidR="005B7214">
        <w:rPr>
          <w:rFonts w:cstheme="minorHAnsi"/>
          <w:sz w:val="22"/>
          <w:szCs w:val="22"/>
        </w:rPr>
        <w:t xml:space="preserve">tuition </w:t>
      </w:r>
      <w:r w:rsidRPr="00395ADD">
        <w:rPr>
          <w:rFonts w:cstheme="minorHAnsi"/>
          <w:sz w:val="22"/>
          <w:szCs w:val="22"/>
        </w:rPr>
        <w:t xml:space="preserve">payment is intended to equal approximately one twelfth of the projected annual amount, </w:t>
      </w:r>
      <w:r w:rsidR="003D1B6C">
        <w:rPr>
          <w:rFonts w:cstheme="minorHAnsi"/>
          <w:sz w:val="22"/>
          <w:szCs w:val="22"/>
        </w:rPr>
        <w:t xml:space="preserve">tuition </w:t>
      </w:r>
      <w:r w:rsidRPr="00395ADD">
        <w:rPr>
          <w:rFonts w:cstheme="minorHAnsi"/>
          <w:sz w:val="22"/>
          <w:szCs w:val="22"/>
        </w:rPr>
        <w:t xml:space="preserve">payments in the later months of each fiscal year (from December through June) include adjustments to correct </w:t>
      </w:r>
      <w:r w:rsidRPr="00395ADD">
        <w:rPr>
          <w:rFonts w:cstheme="minorHAnsi"/>
          <w:sz w:val="22"/>
          <w:szCs w:val="22"/>
        </w:rPr>
        <w:lastRenderedPageBreak/>
        <w:t>any over-or under-payments in earlier months, including adjustments for special education increments.</w:t>
      </w:r>
    </w:p>
    <w:p w14:paraId="7CFC3F5C" w14:textId="506EA7F8" w:rsidR="00F57EE0" w:rsidRPr="00395ADD" w:rsidRDefault="00F57EE0" w:rsidP="00F57EE0">
      <w:pPr>
        <w:spacing w:before="100" w:beforeAutospacing="1" w:after="100" w:afterAutospacing="1"/>
        <w:rPr>
          <w:rFonts w:cstheme="minorHAnsi"/>
          <w:sz w:val="22"/>
          <w:szCs w:val="22"/>
        </w:rPr>
      </w:pPr>
      <w:r>
        <w:rPr>
          <w:rFonts w:cstheme="minorHAnsi"/>
          <w:sz w:val="22"/>
          <w:szCs w:val="22"/>
        </w:rPr>
        <w:t xml:space="preserve">This guidance should be read in tandem with the </w:t>
      </w:r>
      <w:r w:rsidRPr="00E86FAD">
        <w:rPr>
          <w:rFonts w:cstheme="minorHAnsi"/>
          <w:sz w:val="22"/>
          <w:szCs w:val="22"/>
        </w:rPr>
        <w:t>CMVS Regulatory Notification of 202</w:t>
      </w:r>
      <w:r>
        <w:rPr>
          <w:rFonts w:cstheme="minorHAnsi"/>
          <w:sz w:val="22"/>
          <w:szCs w:val="22"/>
        </w:rPr>
        <w:t>4</w:t>
      </w:r>
      <w:r w:rsidRPr="00E86FAD">
        <w:rPr>
          <w:rFonts w:cstheme="minorHAnsi"/>
          <w:sz w:val="22"/>
          <w:szCs w:val="22"/>
        </w:rPr>
        <w:t>-202</w:t>
      </w:r>
      <w:r>
        <w:rPr>
          <w:rFonts w:cstheme="minorHAnsi"/>
          <w:sz w:val="22"/>
          <w:szCs w:val="22"/>
        </w:rPr>
        <w:t>5</w:t>
      </w:r>
      <w:r w:rsidRPr="00E86FAD">
        <w:rPr>
          <w:rFonts w:cstheme="minorHAnsi"/>
          <w:sz w:val="22"/>
          <w:szCs w:val="22"/>
        </w:rPr>
        <w:t xml:space="preserve"> Sending Districts 1% Vote At-Cap</w:t>
      </w:r>
      <w:r>
        <w:rPr>
          <w:rFonts w:cstheme="minorHAnsi"/>
          <w:sz w:val="22"/>
          <w:szCs w:val="22"/>
        </w:rPr>
        <w:t xml:space="preserve"> (Regulatory Notification) distributed to </w:t>
      </w:r>
      <w:r w:rsidR="008545D5">
        <w:rPr>
          <w:rFonts w:cstheme="minorHAnsi"/>
          <w:sz w:val="22"/>
          <w:szCs w:val="22"/>
        </w:rPr>
        <w:t>schools</w:t>
      </w:r>
      <w:r>
        <w:rPr>
          <w:rFonts w:cstheme="minorHAnsi"/>
          <w:sz w:val="22"/>
          <w:szCs w:val="22"/>
        </w:rPr>
        <w:t xml:space="preserve"> on </w:t>
      </w:r>
      <w:r w:rsidRPr="000D0BA8">
        <w:rPr>
          <w:rFonts w:cstheme="minorHAnsi"/>
          <w:sz w:val="22"/>
          <w:szCs w:val="22"/>
        </w:rPr>
        <w:t>March 1</w:t>
      </w:r>
      <w:r w:rsidR="000D0BA8" w:rsidRPr="000D0BA8">
        <w:rPr>
          <w:rFonts w:cstheme="minorHAnsi"/>
          <w:sz w:val="22"/>
          <w:szCs w:val="22"/>
        </w:rPr>
        <w:t>2</w:t>
      </w:r>
      <w:r w:rsidRPr="000D0BA8">
        <w:rPr>
          <w:rFonts w:cstheme="minorHAnsi"/>
          <w:sz w:val="22"/>
          <w:szCs w:val="22"/>
        </w:rPr>
        <w:t>, 202</w:t>
      </w:r>
      <w:r w:rsidR="000D0BA8" w:rsidRPr="000D0BA8">
        <w:rPr>
          <w:rFonts w:cstheme="minorHAnsi"/>
          <w:sz w:val="22"/>
          <w:szCs w:val="22"/>
        </w:rPr>
        <w:t>4</w:t>
      </w:r>
      <w:r>
        <w:rPr>
          <w:rFonts w:cstheme="minorHAnsi"/>
          <w:sz w:val="22"/>
          <w:szCs w:val="22"/>
        </w:rPr>
        <w:t xml:space="preserve">. The Regulatory Notification specifies enrollment restrictions for certain districts </w:t>
      </w:r>
      <w:r w:rsidR="008545D5">
        <w:rPr>
          <w:rFonts w:cstheme="minorHAnsi"/>
          <w:sz w:val="22"/>
          <w:szCs w:val="22"/>
        </w:rPr>
        <w:t xml:space="preserve">that </w:t>
      </w:r>
      <w:r>
        <w:rPr>
          <w:rFonts w:cstheme="minorHAnsi"/>
          <w:sz w:val="22"/>
          <w:szCs w:val="22"/>
        </w:rPr>
        <w:t xml:space="preserve">the CMVS must follow during their primary enrollment processes for the 2024-2025 school year, the 2024-2025 pre-enrollment data </w:t>
      </w:r>
      <w:r w:rsidRPr="0025404B">
        <w:rPr>
          <w:rFonts w:cstheme="minorHAnsi"/>
          <w:sz w:val="22"/>
          <w:szCs w:val="22"/>
        </w:rPr>
        <w:t>submission, and for all subsequent enrollment decisions for the 202</w:t>
      </w:r>
      <w:r>
        <w:rPr>
          <w:rFonts w:cstheme="minorHAnsi"/>
          <w:sz w:val="22"/>
          <w:szCs w:val="22"/>
        </w:rPr>
        <w:t>4</w:t>
      </w:r>
      <w:r w:rsidRPr="0025404B">
        <w:rPr>
          <w:rFonts w:cstheme="minorHAnsi"/>
          <w:sz w:val="22"/>
          <w:szCs w:val="22"/>
        </w:rPr>
        <w:t>-202</w:t>
      </w:r>
      <w:r>
        <w:rPr>
          <w:rFonts w:cstheme="minorHAnsi"/>
          <w:sz w:val="22"/>
          <w:szCs w:val="22"/>
        </w:rPr>
        <w:t>5</w:t>
      </w:r>
      <w:r w:rsidRPr="0025404B">
        <w:rPr>
          <w:rFonts w:cstheme="minorHAnsi"/>
          <w:sz w:val="22"/>
          <w:szCs w:val="22"/>
        </w:rPr>
        <w:t xml:space="preserve"> school year. </w:t>
      </w:r>
      <w:r w:rsidRPr="004571E8">
        <w:rPr>
          <w:rFonts w:cstheme="minorHAnsi"/>
          <w:sz w:val="22"/>
          <w:szCs w:val="22"/>
        </w:rPr>
        <w:t xml:space="preserve">CMVS must carefully track enrollment numbers and applications from restricted districts. </w:t>
      </w:r>
      <w:r w:rsidRPr="004571E8">
        <w:rPr>
          <w:rFonts w:cstheme="minorHAnsi"/>
          <w:b/>
          <w:bCs/>
          <w:sz w:val="22"/>
          <w:szCs w:val="22"/>
        </w:rPr>
        <w:t xml:space="preserve">If </w:t>
      </w:r>
      <w:r w:rsidR="00DC520D">
        <w:rPr>
          <w:rFonts w:cstheme="minorHAnsi"/>
          <w:b/>
          <w:bCs/>
          <w:sz w:val="22"/>
          <w:szCs w:val="22"/>
        </w:rPr>
        <w:t xml:space="preserve">a </w:t>
      </w:r>
      <w:r w:rsidRPr="004571E8">
        <w:rPr>
          <w:rFonts w:cstheme="minorHAnsi"/>
          <w:b/>
          <w:bCs/>
          <w:sz w:val="22"/>
          <w:szCs w:val="22"/>
        </w:rPr>
        <w:t>CMVS enrolls new students for the 202</w:t>
      </w:r>
      <w:r>
        <w:rPr>
          <w:rFonts w:cstheme="minorHAnsi"/>
          <w:b/>
          <w:bCs/>
          <w:sz w:val="22"/>
          <w:szCs w:val="22"/>
        </w:rPr>
        <w:t>4</w:t>
      </w:r>
      <w:r w:rsidRPr="004571E8">
        <w:rPr>
          <w:rFonts w:cstheme="minorHAnsi"/>
          <w:b/>
          <w:bCs/>
          <w:sz w:val="22"/>
          <w:szCs w:val="22"/>
        </w:rPr>
        <w:t>-202</w:t>
      </w:r>
      <w:r>
        <w:rPr>
          <w:rFonts w:cstheme="minorHAnsi"/>
          <w:b/>
          <w:bCs/>
          <w:sz w:val="22"/>
          <w:szCs w:val="22"/>
        </w:rPr>
        <w:t>5</w:t>
      </w:r>
      <w:r w:rsidRPr="004571E8">
        <w:rPr>
          <w:rFonts w:cstheme="minorHAnsi"/>
          <w:b/>
          <w:bCs/>
          <w:sz w:val="22"/>
          <w:szCs w:val="22"/>
        </w:rPr>
        <w:t xml:space="preserve"> school year beyond the caps found in the Regulatory Notification, the CMVS will not receive tuition for such students.</w:t>
      </w:r>
    </w:p>
    <w:p w14:paraId="7417B8E9" w14:textId="507F7AEE" w:rsidR="00F57EE0" w:rsidRDefault="00F57EE0" w:rsidP="00F57EE0">
      <w:pPr>
        <w:spacing w:before="100" w:beforeAutospacing="1" w:after="100" w:afterAutospacing="1"/>
        <w:rPr>
          <w:sz w:val="22"/>
          <w:szCs w:val="22"/>
        </w:rPr>
      </w:pPr>
      <w:r w:rsidRPr="3908C01F">
        <w:rPr>
          <w:sz w:val="22"/>
          <w:szCs w:val="22"/>
        </w:rPr>
        <w:t xml:space="preserve">The CMVS Pre-Enrollment Report collection will be completed via an application located in the </w:t>
      </w:r>
      <w:hyperlink r:id="rId13">
        <w:r w:rsidRPr="3908C01F">
          <w:rPr>
            <w:rStyle w:val="Hyperlink"/>
            <w:sz w:val="22"/>
            <w:szCs w:val="22"/>
          </w:rPr>
          <w:t>Security Portal</w:t>
        </w:r>
      </w:hyperlink>
      <w:r w:rsidRPr="3908C01F">
        <w:rPr>
          <w:sz w:val="22"/>
          <w:szCs w:val="22"/>
        </w:rPr>
        <w:t xml:space="preserve">. </w:t>
      </w:r>
      <w:r w:rsidRPr="3908C01F">
        <w:rPr>
          <w:b/>
          <w:sz w:val="22"/>
          <w:szCs w:val="22"/>
        </w:rPr>
        <w:t>CMVS 202</w:t>
      </w:r>
      <w:r>
        <w:rPr>
          <w:b/>
          <w:sz w:val="22"/>
          <w:szCs w:val="22"/>
        </w:rPr>
        <w:t>4</w:t>
      </w:r>
      <w:r w:rsidRPr="3908C01F">
        <w:rPr>
          <w:b/>
          <w:sz w:val="22"/>
          <w:szCs w:val="22"/>
        </w:rPr>
        <w:t>-202</w:t>
      </w:r>
      <w:r>
        <w:rPr>
          <w:b/>
          <w:sz w:val="22"/>
          <w:szCs w:val="22"/>
        </w:rPr>
        <w:t>5</w:t>
      </w:r>
      <w:r w:rsidRPr="3908C01F">
        <w:rPr>
          <w:b/>
          <w:sz w:val="22"/>
          <w:szCs w:val="22"/>
        </w:rPr>
        <w:t xml:space="preserve"> pre-enrollment data must be submitted to the Department by 12:00 pm noon on </w:t>
      </w:r>
      <w:r w:rsidR="009F0550">
        <w:rPr>
          <w:b/>
          <w:sz w:val="22"/>
          <w:szCs w:val="22"/>
        </w:rPr>
        <w:t>Wednesday</w:t>
      </w:r>
      <w:r w:rsidRPr="3908C01F">
        <w:rPr>
          <w:b/>
          <w:sz w:val="22"/>
          <w:szCs w:val="22"/>
        </w:rPr>
        <w:t>, May 1, 202</w:t>
      </w:r>
      <w:r>
        <w:rPr>
          <w:b/>
          <w:sz w:val="22"/>
          <w:szCs w:val="22"/>
        </w:rPr>
        <w:t>4</w:t>
      </w:r>
      <w:r w:rsidRPr="3908C01F">
        <w:rPr>
          <w:b/>
          <w:sz w:val="22"/>
          <w:szCs w:val="22"/>
        </w:rPr>
        <w:t xml:space="preserve">. </w:t>
      </w:r>
    </w:p>
    <w:p w14:paraId="4D1DB2A9" w14:textId="77777777" w:rsidR="00F57EE0" w:rsidRPr="00496E5F" w:rsidRDefault="00F57EE0" w:rsidP="00F57EE0">
      <w:pPr>
        <w:pBdr>
          <w:top w:val="single" w:sz="4" w:space="1" w:color="auto"/>
          <w:left w:val="single" w:sz="4" w:space="4" w:color="auto"/>
          <w:bottom w:val="single" w:sz="4" w:space="1" w:color="auto"/>
          <w:right w:val="single" w:sz="4" w:space="14" w:color="auto"/>
        </w:pBdr>
        <w:spacing w:before="100" w:beforeAutospacing="1" w:after="100" w:afterAutospacing="1"/>
        <w:rPr>
          <w:rFonts w:cstheme="minorHAnsi"/>
          <w:b/>
          <w:bCs/>
          <w:sz w:val="22"/>
          <w:szCs w:val="22"/>
        </w:rPr>
      </w:pPr>
      <w:r w:rsidRPr="004631FB">
        <w:rPr>
          <w:rFonts w:cstheme="minorHAnsi"/>
          <w:b/>
          <w:bCs/>
          <w:i/>
          <w:sz w:val="22"/>
          <w:szCs w:val="22"/>
        </w:rPr>
        <w:t xml:space="preserve">Please note: </w:t>
      </w:r>
      <w:r w:rsidRPr="004631FB">
        <w:rPr>
          <w:rFonts w:cstheme="minorHAnsi"/>
          <w:b/>
          <w:bCs/>
          <w:i/>
          <w:color w:val="CC0000"/>
          <w:sz w:val="22"/>
          <w:szCs w:val="22"/>
        </w:rPr>
        <w:t>The enrollment numbers submitted must be based on actual enrollment data</w:t>
      </w:r>
      <w:r w:rsidRPr="004631FB">
        <w:rPr>
          <w:rFonts w:cstheme="minorHAnsi"/>
          <w:b/>
          <w:bCs/>
          <w:i/>
          <w:sz w:val="22"/>
          <w:szCs w:val="22"/>
        </w:rPr>
        <w:t xml:space="preserve"> including, but not limited to, applications for admission, admission lottery results, accepted offers of admission, and students expected to return in the upcoming school year. The total number of pre-enrolled students in this </w:t>
      </w:r>
      <w:r>
        <w:rPr>
          <w:rFonts w:cstheme="minorHAnsi"/>
          <w:b/>
          <w:bCs/>
          <w:i/>
          <w:sz w:val="22"/>
          <w:szCs w:val="22"/>
        </w:rPr>
        <w:t>pre-enrollment</w:t>
      </w:r>
      <w:r w:rsidRPr="004631FB">
        <w:rPr>
          <w:rFonts w:cstheme="minorHAnsi"/>
          <w:b/>
          <w:bCs/>
          <w:i/>
          <w:sz w:val="22"/>
          <w:szCs w:val="22"/>
        </w:rPr>
        <w:t xml:space="preserve"> submission and the actual enrollment reported on the October 1 SIMS should be very similar.</w:t>
      </w:r>
      <w:r w:rsidRPr="00496E5F">
        <w:rPr>
          <w:rFonts w:cstheme="minorHAnsi"/>
          <w:b/>
          <w:bCs/>
          <w:i/>
          <w:sz w:val="22"/>
          <w:szCs w:val="22"/>
        </w:rPr>
        <w:t xml:space="preserve"> </w:t>
      </w:r>
    </w:p>
    <w:p w14:paraId="075BEC84" w14:textId="77777777" w:rsidR="00F57EE0" w:rsidRDefault="00F57EE0" w:rsidP="00F57EE0">
      <w:pPr>
        <w:rPr>
          <w:rFonts w:cstheme="minorHAnsi"/>
          <w:sz w:val="22"/>
          <w:szCs w:val="22"/>
        </w:rPr>
      </w:pPr>
      <w:bookmarkStart w:id="4" w:name="_Information_and_Instructions"/>
      <w:bookmarkEnd w:id="4"/>
      <w:r>
        <w:rPr>
          <w:rFonts w:cstheme="minorHAnsi"/>
          <w:sz w:val="22"/>
          <w:szCs w:val="22"/>
        </w:rPr>
        <w:t>Please review the instructions below before beginning your submission. P</w:t>
      </w:r>
      <w:r w:rsidRPr="005F1FE1">
        <w:rPr>
          <w:rFonts w:cstheme="minorHAnsi"/>
          <w:sz w:val="22"/>
          <w:szCs w:val="22"/>
        </w:rPr>
        <w:t xml:space="preserve">lease contact Brenton Stewart at </w:t>
      </w:r>
      <w:hyperlink r:id="rId14" w:history="1">
        <w:r w:rsidRPr="005F1FE1">
          <w:rPr>
            <w:rStyle w:val="Hyperlink"/>
            <w:rFonts w:cstheme="minorHAnsi"/>
            <w:sz w:val="22"/>
            <w:szCs w:val="22"/>
          </w:rPr>
          <w:t>Brenton.Stewart@mass.gov</w:t>
        </w:r>
      </w:hyperlink>
      <w:r w:rsidRPr="005F1FE1">
        <w:rPr>
          <w:rFonts w:cstheme="minorHAnsi"/>
          <w:sz w:val="22"/>
          <w:szCs w:val="22"/>
        </w:rPr>
        <w:t xml:space="preserve"> with any questions.</w:t>
      </w:r>
    </w:p>
    <w:p w14:paraId="6C8D45BD" w14:textId="77777777" w:rsidR="00F57EE0" w:rsidRDefault="00F57EE0" w:rsidP="00F57EE0">
      <w:pPr>
        <w:rPr>
          <w:rFonts w:cstheme="minorHAnsi"/>
          <w:sz w:val="22"/>
          <w:szCs w:val="22"/>
        </w:rPr>
      </w:pPr>
    </w:p>
    <w:p w14:paraId="01B19B50" w14:textId="77777777" w:rsidR="007F5300" w:rsidRDefault="007F5300">
      <w:pPr>
        <w:rPr>
          <w:rFonts w:eastAsiaTheme="majorEastAsia" w:cstheme="minorHAnsi"/>
          <w:color w:val="0F4761" w:themeColor="accent1" w:themeShade="BF"/>
          <w:sz w:val="22"/>
          <w:szCs w:val="22"/>
        </w:rPr>
      </w:pPr>
      <w:r>
        <w:rPr>
          <w:rFonts w:cstheme="minorHAnsi"/>
          <w:sz w:val="22"/>
          <w:szCs w:val="22"/>
        </w:rPr>
        <w:br w:type="page"/>
      </w:r>
    </w:p>
    <w:p w14:paraId="02B94FF0" w14:textId="72D57335" w:rsidR="00F57EE0" w:rsidRPr="00AB3B80" w:rsidRDefault="00F57EE0" w:rsidP="00F57EE0">
      <w:pPr>
        <w:pStyle w:val="Heading1"/>
        <w:rPr>
          <w:rFonts w:asciiTheme="minorHAnsi" w:hAnsiTheme="minorHAnsi" w:cstheme="minorHAnsi"/>
          <w:b/>
          <w:bCs/>
          <w:color w:val="auto"/>
          <w:sz w:val="24"/>
          <w:szCs w:val="24"/>
        </w:rPr>
      </w:pPr>
      <w:r w:rsidRPr="00AB3B80">
        <w:rPr>
          <w:rFonts w:asciiTheme="minorHAnsi" w:hAnsiTheme="minorHAnsi" w:cstheme="minorHAnsi"/>
          <w:b/>
          <w:bCs/>
          <w:color w:val="auto"/>
          <w:sz w:val="24"/>
          <w:szCs w:val="24"/>
        </w:rPr>
        <w:lastRenderedPageBreak/>
        <w:t>Instructions for 2024-2025 CMVS Pre-Enrollment Data Submission</w:t>
      </w:r>
    </w:p>
    <w:p w14:paraId="1A3C496F" w14:textId="49BD79ED" w:rsidR="00F57EE0" w:rsidRDefault="00F57EE0" w:rsidP="00F57EE0">
      <w:pPr>
        <w:spacing w:before="100" w:beforeAutospacing="1" w:after="100" w:afterAutospacing="1"/>
        <w:rPr>
          <w:sz w:val="22"/>
          <w:szCs w:val="22"/>
        </w:rPr>
      </w:pPr>
      <w:r w:rsidRPr="7878DE71">
        <w:rPr>
          <w:sz w:val="22"/>
          <w:szCs w:val="22"/>
        </w:rPr>
        <w:t xml:space="preserve">All CMVS pre-enrollment data will be submitted via the </w:t>
      </w:r>
      <w:r w:rsidRPr="7878DE71">
        <w:rPr>
          <w:b/>
          <w:sz w:val="22"/>
          <w:szCs w:val="22"/>
        </w:rPr>
        <w:t>Charter and Virtual School Pre-Enrollment</w:t>
      </w:r>
      <w:r w:rsidRPr="7878DE71">
        <w:rPr>
          <w:sz w:val="22"/>
          <w:szCs w:val="22"/>
        </w:rPr>
        <w:t xml:space="preserve"> application within the </w:t>
      </w:r>
      <w:hyperlink r:id="rId15">
        <w:r w:rsidRPr="7878DE71">
          <w:rPr>
            <w:rStyle w:val="Hyperlink"/>
            <w:sz w:val="22"/>
            <w:szCs w:val="22"/>
          </w:rPr>
          <w:t>Security Portal</w:t>
        </w:r>
      </w:hyperlink>
      <w:r w:rsidRPr="7878DE71">
        <w:rPr>
          <w:b/>
          <w:sz w:val="22"/>
          <w:szCs w:val="22"/>
        </w:rPr>
        <w:t xml:space="preserve"> by 12:00 pm noon on </w:t>
      </w:r>
      <w:r w:rsidR="007F5300">
        <w:rPr>
          <w:b/>
          <w:bCs/>
          <w:sz w:val="22"/>
          <w:szCs w:val="22"/>
        </w:rPr>
        <w:t>Wednesday</w:t>
      </w:r>
      <w:r w:rsidRPr="01CBBA01">
        <w:rPr>
          <w:b/>
          <w:bCs/>
          <w:sz w:val="22"/>
          <w:szCs w:val="22"/>
        </w:rPr>
        <w:t>, May 1, 202</w:t>
      </w:r>
      <w:r>
        <w:rPr>
          <w:b/>
          <w:bCs/>
          <w:sz w:val="22"/>
          <w:szCs w:val="22"/>
        </w:rPr>
        <w:t>4</w:t>
      </w:r>
      <w:r w:rsidRPr="01CBBA01">
        <w:rPr>
          <w:sz w:val="22"/>
          <w:szCs w:val="22"/>
        </w:rPr>
        <w:t xml:space="preserve">. </w:t>
      </w:r>
      <w:r w:rsidRPr="7878DE71">
        <w:rPr>
          <w:sz w:val="22"/>
          <w:szCs w:val="22"/>
        </w:rPr>
        <w:t xml:space="preserve">The </w:t>
      </w:r>
      <w:r w:rsidRPr="7878DE71">
        <w:rPr>
          <w:b/>
          <w:sz w:val="22"/>
          <w:szCs w:val="22"/>
        </w:rPr>
        <w:t>school leader is required to certify and submit the data</w:t>
      </w:r>
      <w:r w:rsidRPr="7878DE71">
        <w:rPr>
          <w:sz w:val="22"/>
          <w:szCs w:val="22"/>
        </w:rPr>
        <w:t xml:space="preserve">, even if someone else enters it into the application. Please plan for a </w:t>
      </w:r>
      <w:r w:rsidRPr="7878DE71">
        <w:rPr>
          <w:b/>
          <w:sz w:val="22"/>
          <w:szCs w:val="22"/>
        </w:rPr>
        <w:t>careful</w:t>
      </w:r>
      <w:r w:rsidRPr="7878DE71">
        <w:rPr>
          <w:sz w:val="22"/>
          <w:szCs w:val="22"/>
        </w:rPr>
        <w:t xml:space="preserve"> check of the data because it will impact tuition payments for FY202</w:t>
      </w:r>
      <w:r>
        <w:rPr>
          <w:sz w:val="22"/>
          <w:szCs w:val="22"/>
        </w:rPr>
        <w:t>5</w:t>
      </w:r>
      <w:r w:rsidRPr="7878DE71">
        <w:rPr>
          <w:sz w:val="22"/>
          <w:szCs w:val="22"/>
        </w:rPr>
        <w:t xml:space="preserve"> and </w:t>
      </w:r>
      <w:r w:rsidRPr="7878DE71">
        <w:rPr>
          <w:b/>
          <w:sz w:val="22"/>
          <w:szCs w:val="22"/>
        </w:rPr>
        <w:t>cannot be changed once submitted.</w:t>
      </w:r>
    </w:p>
    <w:p w14:paraId="15D9F75A" w14:textId="77777777" w:rsidR="00F57EE0" w:rsidRDefault="00F57EE0" w:rsidP="00F57EE0">
      <w:pPr>
        <w:pStyle w:val="ListParagraph"/>
        <w:spacing w:before="100" w:beforeAutospacing="1" w:after="100" w:afterAutospacing="1"/>
        <w:ind w:left="0"/>
        <w:rPr>
          <w:rFonts w:cstheme="minorHAnsi"/>
          <w:sz w:val="22"/>
          <w:szCs w:val="22"/>
        </w:rPr>
      </w:pPr>
      <w:r>
        <w:rPr>
          <w:rFonts w:cstheme="minorHAnsi"/>
          <w:sz w:val="22"/>
          <w:szCs w:val="22"/>
        </w:rPr>
        <w:t>The Department recommends that schools take the following steps prior to inputting pre-enrollment data:</w:t>
      </w:r>
    </w:p>
    <w:p w14:paraId="65F301DF" w14:textId="77777777" w:rsidR="00F57EE0" w:rsidRPr="004631FB" w:rsidRDefault="00F57EE0" w:rsidP="00F57EE0">
      <w:pPr>
        <w:pStyle w:val="BodyText"/>
        <w:numPr>
          <w:ilvl w:val="0"/>
          <w:numId w:val="1"/>
        </w:numPr>
        <w:rPr>
          <w:rFonts w:asciiTheme="minorHAnsi" w:hAnsiTheme="minorHAnsi" w:cstheme="minorHAnsi"/>
          <w:b/>
          <w:sz w:val="22"/>
          <w:szCs w:val="22"/>
        </w:rPr>
      </w:pPr>
      <w:r w:rsidRPr="004631FB">
        <w:rPr>
          <w:rFonts w:asciiTheme="minorHAnsi" w:hAnsiTheme="minorHAnsi" w:cstheme="minorHAnsi"/>
          <w:bCs/>
          <w:sz w:val="22"/>
          <w:szCs w:val="22"/>
        </w:rPr>
        <w:t>Identify</w:t>
      </w:r>
      <w:r>
        <w:rPr>
          <w:rFonts w:asciiTheme="minorHAnsi" w:hAnsiTheme="minorHAnsi" w:cstheme="minorHAnsi"/>
          <w:bCs/>
          <w:sz w:val="22"/>
          <w:szCs w:val="22"/>
        </w:rPr>
        <w:t xml:space="preserve"> all students enrolled </w:t>
      </w:r>
      <w:r w:rsidRPr="004631FB">
        <w:rPr>
          <w:rFonts w:asciiTheme="minorHAnsi" w:hAnsiTheme="minorHAnsi" w:cstheme="minorHAnsi"/>
          <w:bCs/>
          <w:sz w:val="22"/>
          <w:szCs w:val="22"/>
        </w:rPr>
        <w:t xml:space="preserve">for the </w:t>
      </w:r>
      <w:r>
        <w:rPr>
          <w:rFonts w:asciiTheme="minorHAnsi" w:hAnsiTheme="minorHAnsi" w:cstheme="minorHAnsi"/>
          <w:bCs/>
          <w:sz w:val="22"/>
          <w:szCs w:val="22"/>
        </w:rPr>
        <w:t xml:space="preserve">upcoming </w:t>
      </w:r>
      <w:r w:rsidRPr="004631FB">
        <w:rPr>
          <w:rFonts w:asciiTheme="minorHAnsi" w:hAnsiTheme="minorHAnsi" w:cstheme="minorHAnsi"/>
          <w:bCs/>
          <w:sz w:val="22"/>
          <w:szCs w:val="22"/>
        </w:rPr>
        <w:t>202</w:t>
      </w:r>
      <w:r>
        <w:rPr>
          <w:rFonts w:asciiTheme="minorHAnsi" w:hAnsiTheme="minorHAnsi" w:cstheme="minorHAnsi"/>
          <w:bCs/>
          <w:sz w:val="22"/>
          <w:szCs w:val="22"/>
        </w:rPr>
        <w:t>4</w:t>
      </w:r>
      <w:r w:rsidRPr="004631FB">
        <w:rPr>
          <w:rFonts w:asciiTheme="minorHAnsi" w:hAnsiTheme="minorHAnsi" w:cstheme="minorHAnsi"/>
          <w:bCs/>
          <w:sz w:val="22"/>
          <w:szCs w:val="22"/>
        </w:rPr>
        <w:t>-202</w:t>
      </w:r>
      <w:r>
        <w:rPr>
          <w:rFonts w:asciiTheme="minorHAnsi" w:hAnsiTheme="minorHAnsi" w:cstheme="minorHAnsi"/>
          <w:bCs/>
          <w:sz w:val="22"/>
          <w:szCs w:val="22"/>
        </w:rPr>
        <w:t>5</w:t>
      </w:r>
      <w:r w:rsidRPr="004631FB">
        <w:rPr>
          <w:rFonts w:asciiTheme="minorHAnsi" w:hAnsiTheme="minorHAnsi" w:cstheme="minorHAnsi"/>
          <w:bCs/>
          <w:sz w:val="22"/>
          <w:szCs w:val="22"/>
        </w:rPr>
        <w:t xml:space="preserve"> school year</w:t>
      </w:r>
      <w:r>
        <w:rPr>
          <w:rFonts w:asciiTheme="minorHAnsi" w:hAnsiTheme="minorHAnsi" w:cstheme="minorHAnsi"/>
          <w:bCs/>
          <w:sz w:val="22"/>
          <w:szCs w:val="22"/>
        </w:rPr>
        <w:t>, including current students who will return</w:t>
      </w:r>
      <w:r w:rsidRPr="004631FB">
        <w:rPr>
          <w:rFonts w:asciiTheme="minorHAnsi" w:hAnsiTheme="minorHAnsi" w:cstheme="minorHAnsi"/>
          <w:bCs/>
          <w:sz w:val="22"/>
          <w:szCs w:val="22"/>
        </w:rPr>
        <w:t xml:space="preserve"> and students who are newly admitted.</w:t>
      </w:r>
    </w:p>
    <w:p w14:paraId="369BC179" w14:textId="77777777" w:rsidR="00F57EE0" w:rsidRDefault="00F57EE0" w:rsidP="00F57EE0">
      <w:pPr>
        <w:pStyle w:val="BodyText"/>
        <w:numPr>
          <w:ilvl w:val="1"/>
          <w:numId w:val="1"/>
        </w:numPr>
        <w:spacing w:before="100" w:beforeAutospacing="1" w:after="100" w:afterAutospacing="1"/>
        <w:rPr>
          <w:rFonts w:asciiTheme="minorHAnsi" w:hAnsiTheme="minorHAnsi" w:cstheme="minorHAnsi"/>
          <w:sz w:val="22"/>
          <w:szCs w:val="22"/>
        </w:rPr>
      </w:pPr>
      <w:r w:rsidRPr="00624CD9">
        <w:rPr>
          <w:rFonts w:asciiTheme="minorHAnsi" w:hAnsiTheme="minorHAnsi" w:cstheme="minorHAnsi"/>
          <w:sz w:val="22"/>
          <w:szCs w:val="22"/>
        </w:rPr>
        <w:t>Organize student information by town and grade level.</w:t>
      </w:r>
    </w:p>
    <w:p w14:paraId="105A034B" w14:textId="77777777" w:rsidR="00F57EE0" w:rsidRDefault="00F57EE0" w:rsidP="00F57EE0">
      <w:pPr>
        <w:pStyle w:val="BodyText"/>
        <w:numPr>
          <w:ilvl w:val="1"/>
          <w:numId w:val="1"/>
        </w:numPr>
        <w:spacing w:before="100" w:beforeAutospacing="1" w:after="100" w:afterAutospacing="1"/>
        <w:rPr>
          <w:rFonts w:asciiTheme="minorHAnsi" w:hAnsiTheme="minorHAnsi" w:cstheme="minorHAnsi"/>
          <w:sz w:val="22"/>
          <w:szCs w:val="22"/>
        </w:rPr>
      </w:pPr>
      <w:r w:rsidRPr="00624CD9">
        <w:rPr>
          <w:rFonts w:asciiTheme="minorHAnsi" w:hAnsiTheme="minorHAnsi" w:cstheme="minorHAnsi"/>
          <w:sz w:val="22"/>
          <w:szCs w:val="22"/>
        </w:rPr>
        <w:t>Identify the total number of students by town and grade level.</w:t>
      </w:r>
    </w:p>
    <w:p w14:paraId="310C4784" w14:textId="77777777" w:rsidR="00682325" w:rsidRDefault="00682325" w:rsidP="00682325">
      <w:pPr>
        <w:pStyle w:val="BodyText"/>
        <w:keepNext/>
        <w:keepLines/>
        <w:spacing w:after="240"/>
        <w:rPr>
          <w:rFonts w:asciiTheme="minorHAnsi" w:hAnsiTheme="minorHAnsi" w:cstheme="minorHAnsi"/>
          <w:b/>
          <w:sz w:val="22"/>
          <w:szCs w:val="22"/>
        </w:rPr>
      </w:pPr>
      <w:r>
        <w:rPr>
          <w:rFonts w:asciiTheme="minorHAnsi" w:hAnsiTheme="minorHAnsi" w:cstheme="minorHAnsi"/>
          <w:b/>
          <w:sz w:val="22"/>
          <w:szCs w:val="22"/>
        </w:rPr>
        <w:t>Accessing the Pre-enrollment Application</w:t>
      </w:r>
    </w:p>
    <w:p w14:paraId="3F206D78" w14:textId="614BBA1C" w:rsidR="00682325" w:rsidRPr="00682325" w:rsidRDefault="00682325" w:rsidP="00682325">
      <w:pPr>
        <w:rPr>
          <w:rFonts w:cstheme="minorHAnsi"/>
          <w:sz w:val="22"/>
          <w:szCs w:val="18"/>
        </w:rPr>
      </w:pPr>
      <w:r>
        <w:rPr>
          <w:rFonts w:cstheme="minorHAnsi"/>
          <w:sz w:val="22"/>
          <w:szCs w:val="18"/>
        </w:rPr>
        <w:t>T</w:t>
      </w:r>
      <w:r w:rsidRPr="00682325">
        <w:rPr>
          <w:rFonts w:cstheme="minorHAnsi"/>
          <w:sz w:val="22"/>
          <w:szCs w:val="18"/>
        </w:rPr>
        <w:t xml:space="preserve">he pre-enrollment module can be accessed from within the </w:t>
      </w:r>
      <w:hyperlink r:id="rId16" w:history="1">
        <w:r w:rsidRPr="00682325">
          <w:rPr>
            <w:rStyle w:val="Hyperlink"/>
            <w:rFonts w:cstheme="minorHAnsi"/>
            <w:sz w:val="22"/>
            <w:szCs w:val="18"/>
          </w:rPr>
          <w:t>Security Portal</w:t>
        </w:r>
      </w:hyperlink>
      <w:r w:rsidRPr="00682325">
        <w:rPr>
          <w:rFonts w:cstheme="minorHAnsi"/>
          <w:sz w:val="22"/>
          <w:szCs w:val="18"/>
        </w:rPr>
        <w:t>. Once at the main security portal landing page, select ‘</w:t>
      </w:r>
      <w:r w:rsidRPr="00682325">
        <w:rPr>
          <w:rFonts w:cstheme="minorHAnsi"/>
          <w:b/>
          <w:bCs/>
          <w:sz w:val="22"/>
          <w:szCs w:val="18"/>
        </w:rPr>
        <w:t>Charter and Virtual School Pre-Enrollment</w:t>
      </w:r>
      <w:r w:rsidRPr="00682325">
        <w:rPr>
          <w:rFonts w:cstheme="minorHAnsi"/>
          <w:sz w:val="22"/>
          <w:szCs w:val="18"/>
        </w:rPr>
        <w:t>’ application. See screenshot for reference:</w:t>
      </w:r>
    </w:p>
    <w:p w14:paraId="735A4E3C" w14:textId="47219E3B" w:rsidR="00682325" w:rsidRDefault="00682325" w:rsidP="007A0BC8">
      <w:pPr>
        <w:ind w:left="360"/>
        <w:rPr>
          <w:rFonts w:cstheme="minorHAnsi"/>
          <w:b/>
          <w:sz w:val="22"/>
          <w:szCs w:val="22"/>
        </w:rPr>
      </w:pPr>
      <w:r>
        <w:rPr>
          <w:noProof/>
        </w:rPr>
        <w:drawing>
          <wp:inline distT="0" distB="0" distL="0" distR="0" wp14:anchorId="40845DB9" wp14:editId="195BC470">
            <wp:extent cx="2091055" cy="2409190"/>
            <wp:effectExtent l="0" t="0" r="4445" b="0"/>
            <wp:docPr id="166657182" name="Picture 1" descr="Screenshot of application with an arrow pointing to Charter and Virtual School Pre-enroll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creenshot of application with an arrow pointing to Charter and Virtual School Pre-enrollmen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91055" cy="2409190"/>
                    </a:xfrm>
                    <a:prstGeom prst="rect">
                      <a:avLst/>
                    </a:prstGeom>
                    <a:noFill/>
                    <a:ln>
                      <a:noFill/>
                    </a:ln>
                  </pic:spPr>
                </pic:pic>
              </a:graphicData>
            </a:graphic>
          </wp:inline>
        </w:drawing>
      </w:r>
    </w:p>
    <w:p w14:paraId="683D20E5" w14:textId="24BF9ED6" w:rsidR="00F57EE0" w:rsidRPr="004631FB" w:rsidRDefault="00F57EE0" w:rsidP="00F57EE0">
      <w:pPr>
        <w:pStyle w:val="BodyText"/>
        <w:keepNext/>
        <w:keepLines/>
        <w:spacing w:after="240"/>
        <w:rPr>
          <w:rFonts w:asciiTheme="minorHAnsi" w:hAnsiTheme="minorHAnsi" w:cstheme="minorHAnsi"/>
          <w:sz w:val="22"/>
          <w:szCs w:val="22"/>
        </w:rPr>
      </w:pPr>
      <w:r w:rsidRPr="004631FB">
        <w:rPr>
          <w:rFonts w:asciiTheme="minorHAnsi" w:hAnsiTheme="minorHAnsi" w:cstheme="minorHAnsi"/>
          <w:b/>
          <w:sz w:val="22"/>
          <w:szCs w:val="22"/>
        </w:rPr>
        <w:lastRenderedPageBreak/>
        <w:t>Inputting Pre-</w:t>
      </w:r>
      <w:r>
        <w:rPr>
          <w:rFonts w:asciiTheme="minorHAnsi" w:hAnsiTheme="minorHAnsi" w:cstheme="minorHAnsi"/>
          <w:b/>
          <w:sz w:val="22"/>
          <w:szCs w:val="22"/>
        </w:rPr>
        <w:t>E</w:t>
      </w:r>
      <w:r w:rsidRPr="004631FB">
        <w:rPr>
          <w:rFonts w:asciiTheme="minorHAnsi" w:hAnsiTheme="minorHAnsi" w:cstheme="minorHAnsi"/>
          <w:b/>
          <w:sz w:val="22"/>
          <w:szCs w:val="22"/>
        </w:rPr>
        <w:t>nrollment Data</w:t>
      </w:r>
    </w:p>
    <w:p w14:paraId="0C23EA6E" w14:textId="747D67D8" w:rsidR="00F57EE0" w:rsidRPr="004631FB" w:rsidRDefault="00F57EE0" w:rsidP="00F57EE0">
      <w:pPr>
        <w:pStyle w:val="BodyText"/>
        <w:keepNext/>
        <w:keepLines/>
        <w:numPr>
          <w:ilvl w:val="0"/>
          <w:numId w:val="2"/>
        </w:numPr>
        <w:rPr>
          <w:rFonts w:asciiTheme="minorHAnsi" w:hAnsiTheme="minorHAnsi" w:cstheme="minorHAnsi"/>
          <w:sz w:val="22"/>
          <w:szCs w:val="22"/>
        </w:rPr>
      </w:pPr>
      <w:r w:rsidRPr="004631FB">
        <w:rPr>
          <w:rFonts w:asciiTheme="minorHAnsi" w:hAnsiTheme="minorHAnsi" w:cstheme="minorHAnsi"/>
          <w:sz w:val="22"/>
          <w:szCs w:val="22"/>
        </w:rPr>
        <w:t xml:space="preserve">Select the upcoming fiscal year, the </w:t>
      </w:r>
      <w:r w:rsidRPr="005E03EC">
        <w:rPr>
          <w:rFonts w:asciiTheme="minorHAnsi" w:hAnsiTheme="minorHAnsi" w:cstheme="minorHAnsi"/>
          <w:b/>
          <w:bCs/>
          <w:sz w:val="22"/>
          <w:szCs w:val="22"/>
        </w:rPr>
        <w:t>Pre-Enrollment</w:t>
      </w:r>
      <w:r w:rsidRPr="004631FB">
        <w:rPr>
          <w:rFonts w:asciiTheme="minorHAnsi" w:hAnsiTheme="minorHAnsi" w:cstheme="minorHAnsi"/>
          <w:sz w:val="22"/>
          <w:szCs w:val="22"/>
        </w:rPr>
        <w:t xml:space="preserve"> module, and </w:t>
      </w:r>
      <w:r>
        <w:rPr>
          <w:rFonts w:asciiTheme="minorHAnsi" w:hAnsiTheme="minorHAnsi" w:cstheme="minorHAnsi"/>
          <w:sz w:val="22"/>
          <w:szCs w:val="22"/>
        </w:rPr>
        <w:t xml:space="preserve">the </w:t>
      </w:r>
      <w:r w:rsidRPr="004631FB">
        <w:rPr>
          <w:rFonts w:asciiTheme="minorHAnsi" w:hAnsiTheme="minorHAnsi" w:cstheme="minorHAnsi"/>
          <w:sz w:val="22"/>
          <w:szCs w:val="22"/>
        </w:rPr>
        <w:t xml:space="preserve">school’s name from each dropdown menu. Once all dropdowns are selected, click </w:t>
      </w:r>
      <w:r w:rsidRPr="004631FB">
        <w:rPr>
          <w:rFonts w:asciiTheme="minorHAnsi" w:hAnsiTheme="minorHAnsi" w:cstheme="minorHAnsi"/>
          <w:b/>
          <w:bCs/>
          <w:i/>
          <w:iCs/>
          <w:sz w:val="22"/>
          <w:szCs w:val="22"/>
        </w:rPr>
        <w:t>Next</w:t>
      </w:r>
      <w:r w:rsidRPr="004631FB">
        <w:rPr>
          <w:rFonts w:asciiTheme="minorHAnsi" w:hAnsiTheme="minorHAnsi" w:cstheme="minorHAnsi"/>
          <w:i/>
          <w:iCs/>
          <w:sz w:val="22"/>
          <w:szCs w:val="22"/>
        </w:rPr>
        <w:t>.</w:t>
      </w:r>
      <w:r>
        <w:rPr>
          <w:rFonts w:asciiTheme="minorHAnsi" w:hAnsiTheme="minorHAnsi" w:cstheme="minorHAnsi"/>
          <w:i/>
          <w:iCs/>
          <w:sz w:val="22"/>
          <w:szCs w:val="22"/>
        </w:rPr>
        <w:t xml:space="preserve"> </w:t>
      </w:r>
      <w:r w:rsidRPr="004631FB">
        <w:rPr>
          <w:rFonts w:asciiTheme="minorHAnsi" w:hAnsiTheme="minorHAnsi" w:cstheme="minorHAnsi"/>
          <w:sz w:val="22"/>
          <w:szCs w:val="22"/>
        </w:rPr>
        <w:t xml:space="preserve">You will be brought to the </w:t>
      </w:r>
      <w:r w:rsidRPr="004631FB">
        <w:rPr>
          <w:rFonts w:asciiTheme="minorHAnsi" w:hAnsiTheme="minorHAnsi" w:cstheme="minorHAnsi"/>
          <w:b/>
          <w:bCs/>
          <w:sz w:val="22"/>
          <w:szCs w:val="22"/>
        </w:rPr>
        <w:t xml:space="preserve">Pre-Enrollment </w:t>
      </w:r>
      <w:r w:rsidRPr="004631FB">
        <w:rPr>
          <w:rFonts w:asciiTheme="minorHAnsi" w:hAnsiTheme="minorHAnsi" w:cstheme="minorHAnsi"/>
          <w:sz w:val="22"/>
          <w:szCs w:val="22"/>
        </w:rPr>
        <w:t>landing page.</w:t>
      </w:r>
      <w:r>
        <w:rPr>
          <w:rFonts w:asciiTheme="minorHAnsi" w:hAnsiTheme="minorHAnsi" w:cstheme="minorHAnsi"/>
          <w:sz w:val="22"/>
          <w:szCs w:val="22"/>
        </w:rPr>
        <w:t xml:space="preserve"> The Pre-Enrollment landing page can also be accessed from the menu featured on the left-hand side of the screen.</w:t>
      </w:r>
      <w:r w:rsidR="00C03AF8">
        <w:rPr>
          <w:rFonts w:asciiTheme="minorHAnsi" w:hAnsiTheme="minorHAnsi" w:cstheme="minorHAnsi"/>
          <w:sz w:val="22"/>
          <w:szCs w:val="22"/>
        </w:rPr>
        <w:br/>
      </w:r>
      <w:r w:rsidR="00C03AF8">
        <w:rPr>
          <w:noProof/>
        </w:rPr>
        <w:drawing>
          <wp:inline distT="0" distB="0" distL="0" distR="0" wp14:anchorId="0A05CC4C" wp14:editId="1B7B442C">
            <wp:extent cx="4121150" cy="1532255"/>
            <wp:effectExtent l="0" t="0" r="0" b="0"/>
            <wp:docPr id="10" name="Picture 1" descr="Screenshot of application dropdown menus with Pre-enrollment selected in the &quot;Select Module&quot; fiel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creenshot of application dropdown menus with Pre-enrollment selected in the &quot;Select Module&quot; field. "/>
                    <pic:cNvPicPr>
                      <a:picLocks noChangeAspect="1"/>
                    </pic:cNvPicPr>
                  </pic:nvPicPr>
                  <pic:blipFill>
                    <a:blip r:embed="rId18"/>
                    <a:stretch>
                      <a:fillRect/>
                    </a:stretch>
                  </pic:blipFill>
                  <pic:spPr>
                    <a:xfrm>
                      <a:off x="0" y="0"/>
                      <a:ext cx="4121150" cy="1532255"/>
                    </a:xfrm>
                    <a:prstGeom prst="rect">
                      <a:avLst/>
                    </a:prstGeom>
                  </pic:spPr>
                </pic:pic>
              </a:graphicData>
            </a:graphic>
          </wp:inline>
        </w:drawing>
      </w:r>
    </w:p>
    <w:p w14:paraId="58E52D64" w14:textId="77777777" w:rsidR="00F57EE0" w:rsidRPr="004631FB" w:rsidRDefault="00F57EE0" w:rsidP="00F57EE0">
      <w:pPr>
        <w:pStyle w:val="BodyText"/>
        <w:numPr>
          <w:ilvl w:val="0"/>
          <w:numId w:val="2"/>
        </w:numPr>
        <w:rPr>
          <w:rFonts w:asciiTheme="minorHAnsi" w:hAnsiTheme="minorHAnsi" w:cstheme="minorHAnsi"/>
          <w:sz w:val="22"/>
          <w:szCs w:val="22"/>
        </w:rPr>
      </w:pPr>
      <w:r w:rsidRPr="004631FB">
        <w:rPr>
          <w:rFonts w:asciiTheme="minorHAnsi" w:hAnsiTheme="minorHAnsi" w:cstheme="minorHAnsi"/>
          <w:b/>
          <w:bCs/>
          <w:sz w:val="22"/>
          <w:szCs w:val="22"/>
        </w:rPr>
        <w:t>Column 1:</w:t>
      </w:r>
      <w:r w:rsidRPr="004631FB">
        <w:rPr>
          <w:rFonts w:asciiTheme="minorHAnsi" w:hAnsiTheme="minorHAnsi" w:cstheme="minorHAnsi"/>
          <w:sz w:val="22"/>
          <w:szCs w:val="22"/>
        </w:rPr>
        <w:t xml:space="preserve"> Select the first </w:t>
      </w:r>
      <w:r w:rsidRPr="004631FB">
        <w:rPr>
          <w:rFonts w:asciiTheme="minorHAnsi" w:hAnsiTheme="minorHAnsi" w:cstheme="minorHAnsi"/>
          <w:b/>
          <w:i/>
          <w:iCs/>
          <w:sz w:val="22"/>
          <w:szCs w:val="22"/>
        </w:rPr>
        <w:t>Town</w:t>
      </w:r>
      <w:r w:rsidRPr="004631FB">
        <w:rPr>
          <w:rFonts w:asciiTheme="minorHAnsi" w:hAnsiTheme="minorHAnsi" w:cstheme="minorHAnsi"/>
          <w:sz w:val="22"/>
          <w:szCs w:val="22"/>
        </w:rPr>
        <w:t xml:space="preserve"> </w:t>
      </w:r>
      <w:r w:rsidRPr="005F1FE1">
        <w:rPr>
          <w:rFonts w:asciiTheme="minorHAnsi" w:hAnsiTheme="minorHAnsi" w:cstheme="minorHAnsi"/>
          <w:sz w:val="22"/>
          <w:szCs w:val="22"/>
        </w:rPr>
        <w:t>from the dropdown menu</w:t>
      </w:r>
      <w:r w:rsidRPr="00B329CB">
        <w:rPr>
          <w:rFonts w:asciiTheme="minorHAnsi" w:hAnsiTheme="minorHAnsi" w:cstheme="minorHAnsi"/>
          <w:sz w:val="22"/>
          <w:szCs w:val="22"/>
        </w:rPr>
        <w:t xml:space="preserve"> </w:t>
      </w:r>
      <w:r w:rsidRPr="004631FB">
        <w:rPr>
          <w:rFonts w:asciiTheme="minorHAnsi" w:hAnsiTheme="minorHAnsi" w:cstheme="minorHAnsi"/>
          <w:sz w:val="22"/>
          <w:szCs w:val="22"/>
        </w:rPr>
        <w:t xml:space="preserve">for which the school has pre-enrolled students. The town names will be listed in </w:t>
      </w:r>
      <w:proofErr w:type="gramStart"/>
      <w:r>
        <w:rPr>
          <w:rFonts w:asciiTheme="minorHAnsi" w:hAnsiTheme="minorHAnsi" w:cstheme="minorHAnsi"/>
          <w:sz w:val="22"/>
          <w:szCs w:val="22"/>
        </w:rPr>
        <w:t xml:space="preserve">an </w:t>
      </w:r>
      <w:r w:rsidRPr="004631FB">
        <w:rPr>
          <w:rFonts w:asciiTheme="minorHAnsi" w:hAnsiTheme="minorHAnsi" w:cstheme="minorHAnsi"/>
          <w:sz w:val="22"/>
          <w:szCs w:val="22"/>
        </w:rPr>
        <w:t>order</w:t>
      </w:r>
      <w:proofErr w:type="gramEnd"/>
      <w:r w:rsidRPr="004631FB">
        <w:rPr>
          <w:rFonts w:asciiTheme="minorHAnsi" w:hAnsiTheme="minorHAnsi" w:cstheme="minorHAnsi"/>
          <w:sz w:val="22"/>
          <w:szCs w:val="22"/>
        </w:rPr>
        <w:t xml:space="preserve"> based on </w:t>
      </w:r>
      <w:r>
        <w:rPr>
          <w:rFonts w:asciiTheme="minorHAnsi" w:hAnsiTheme="minorHAnsi" w:cstheme="minorHAnsi"/>
          <w:sz w:val="22"/>
          <w:szCs w:val="22"/>
        </w:rPr>
        <w:t xml:space="preserve">the school’s </w:t>
      </w:r>
      <w:r w:rsidRPr="004631FB">
        <w:rPr>
          <w:rFonts w:asciiTheme="minorHAnsi" w:hAnsiTheme="minorHAnsi" w:cstheme="minorHAnsi"/>
          <w:sz w:val="22"/>
          <w:szCs w:val="22"/>
        </w:rPr>
        <w:t>enrollment trends.</w:t>
      </w:r>
    </w:p>
    <w:p w14:paraId="6B0B2E57" w14:textId="77777777" w:rsidR="00F57EE0" w:rsidRPr="004631FB" w:rsidRDefault="00F57EE0" w:rsidP="00F57EE0">
      <w:pPr>
        <w:pStyle w:val="BodyText"/>
        <w:numPr>
          <w:ilvl w:val="0"/>
          <w:numId w:val="2"/>
        </w:numPr>
        <w:rPr>
          <w:rFonts w:asciiTheme="minorHAnsi" w:hAnsiTheme="minorHAnsi" w:cstheme="minorHAnsi"/>
          <w:sz w:val="22"/>
          <w:szCs w:val="22"/>
        </w:rPr>
      </w:pPr>
      <w:r w:rsidRPr="004631FB">
        <w:rPr>
          <w:rFonts w:asciiTheme="minorHAnsi" w:hAnsiTheme="minorHAnsi" w:cstheme="minorHAnsi"/>
          <w:b/>
          <w:bCs/>
          <w:sz w:val="22"/>
          <w:szCs w:val="22"/>
        </w:rPr>
        <w:t>Column 2:</w:t>
      </w:r>
      <w:r w:rsidRPr="004631FB">
        <w:rPr>
          <w:rFonts w:asciiTheme="minorHAnsi" w:hAnsiTheme="minorHAnsi" w:cstheme="minorHAnsi"/>
          <w:sz w:val="22"/>
          <w:szCs w:val="22"/>
        </w:rPr>
        <w:t xml:space="preserve"> Select the applicable grade level from the </w:t>
      </w:r>
      <w:r w:rsidRPr="004631FB">
        <w:rPr>
          <w:rFonts w:asciiTheme="minorHAnsi" w:hAnsiTheme="minorHAnsi" w:cstheme="minorHAnsi"/>
          <w:b/>
          <w:i/>
          <w:iCs/>
          <w:sz w:val="22"/>
          <w:szCs w:val="22"/>
        </w:rPr>
        <w:t>Grade</w:t>
      </w:r>
      <w:r w:rsidRPr="004631FB">
        <w:rPr>
          <w:rFonts w:asciiTheme="minorHAnsi" w:hAnsiTheme="minorHAnsi" w:cstheme="minorHAnsi"/>
          <w:sz w:val="22"/>
          <w:szCs w:val="22"/>
        </w:rPr>
        <w:t xml:space="preserve"> drop down menu</w:t>
      </w:r>
      <w:r>
        <w:rPr>
          <w:rFonts w:asciiTheme="minorHAnsi" w:hAnsiTheme="minorHAnsi" w:cstheme="minorHAnsi"/>
          <w:sz w:val="22"/>
          <w:szCs w:val="22"/>
        </w:rPr>
        <w:t xml:space="preserve"> for the town</w:t>
      </w:r>
      <w:r w:rsidRPr="004631FB">
        <w:rPr>
          <w:rFonts w:asciiTheme="minorHAnsi" w:hAnsiTheme="minorHAnsi" w:cstheme="minorHAnsi"/>
          <w:sz w:val="22"/>
          <w:szCs w:val="22"/>
        </w:rPr>
        <w:t xml:space="preserve">. </w:t>
      </w:r>
    </w:p>
    <w:p w14:paraId="26FDB7B8" w14:textId="77777777" w:rsidR="00F57EE0" w:rsidRPr="004631FB" w:rsidRDefault="00F57EE0" w:rsidP="00F57EE0">
      <w:pPr>
        <w:pStyle w:val="BodyText"/>
        <w:numPr>
          <w:ilvl w:val="0"/>
          <w:numId w:val="2"/>
        </w:numPr>
        <w:rPr>
          <w:rFonts w:asciiTheme="minorHAnsi" w:hAnsiTheme="minorHAnsi" w:cstheme="minorHAnsi"/>
          <w:sz w:val="22"/>
          <w:szCs w:val="22"/>
        </w:rPr>
      </w:pPr>
      <w:r w:rsidRPr="004631FB">
        <w:rPr>
          <w:rFonts w:asciiTheme="minorHAnsi" w:hAnsiTheme="minorHAnsi" w:cstheme="minorHAnsi"/>
          <w:b/>
          <w:bCs/>
          <w:sz w:val="22"/>
          <w:szCs w:val="22"/>
        </w:rPr>
        <w:t>Column 3:</w:t>
      </w:r>
      <w:r w:rsidRPr="004631FB">
        <w:rPr>
          <w:rFonts w:asciiTheme="minorHAnsi" w:hAnsiTheme="minorHAnsi" w:cstheme="minorHAnsi"/>
          <w:sz w:val="22"/>
          <w:szCs w:val="22"/>
        </w:rPr>
        <w:t xml:space="preserve"> Enter the </w:t>
      </w:r>
      <w:r w:rsidRPr="00203B05">
        <w:rPr>
          <w:rFonts w:asciiTheme="minorHAnsi" w:hAnsiTheme="minorHAnsi" w:cstheme="minorHAnsi"/>
          <w:b/>
          <w:bCs/>
          <w:i/>
          <w:iCs/>
          <w:sz w:val="22"/>
          <w:szCs w:val="22"/>
        </w:rPr>
        <w:t>Total</w:t>
      </w:r>
      <w:r w:rsidRPr="004631FB">
        <w:rPr>
          <w:rFonts w:asciiTheme="minorHAnsi" w:hAnsiTheme="minorHAnsi" w:cstheme="minorHAnsi"/>
          <w:sz w:val="22"/>
          <w:szCs w:val="22"/>
        </w:rPr>
        <w:t xml:space="preserve"> </w:t>
      </w:r>
      <w:r>
        <w:rPr>
          <w:rFonts w:asciiTheme="minorHAnsi" w:hAnsiTheme="minorHAnsi" w:cstheme="minorHAnsi"/>
          <w:b/>
          <w:i/>
          <w:iCs/>
          <w:sz w:val="22"/>
          <w:szCs w:val="22"/>
        </w:rPr>
        <w:t>P</w:t>
      </w:r>
      <w:r w:rsidRPr="004631FB">
        <w:rPr>
          <w:rFonts w:asciiTheme="minorHAnsi" w:hAnsiTheme="minorHAnsi" w:cstheme="minorHAnsi"/>
          <w:b/>
          <w:i/>
          <w:iCs/>
          <w:sz w:val="22"/>
          <w:szCs w:val="22"/>
        </w:rPr>
        <w:t>re-</w:t>
      </w:r>
      <w:r>
        <w:rPr>
          <w:rFonts w:asciiTheme="minorHAnsi" w:hAnsiTheme="minorHAnsi" w:cstheme="minorHAnsi"/>
          <w:b/>
          <w:i/>
          <w:iCs/>
          <w:sz w:val="22"/>
          <w:szCs w:val="22"/>
        </w:rPr>
        <w:t>E</w:t>
      </w:r>
      <w:r w:rsidRPr="004631FB">
        <w:rPr>
          <w:rFonts w:asciiTheme="minorHAnsi" w:hAnsiTheme="minorHAnsi" w:cstheme="minorHAnsi"/>
          <w:b/>
          <w:i/>
          <w:iCs/>
          <w:sz w:val="22"/>
          <w:szCs w:val="22"/>
        </w:rPr>
        <w:t xml:space="preserve">nrollment </w:t>
      </w:r>
      <w:r>
        <w:rPr>
          <w:rFonts w:asciiTheme="minorHAnsi" w:hAnsiTheme="minorHAnsi" w:cstheme="minorHAnsi"/>
          <w:b/>
          <w:i/>
          <w:iCs/>
          <w:sz w:val="22"/>
          <w:szCs w:val="22"/>
        </w:rPr>
        <w:t>N</w:t>
      </w:r>
      <w:r w:rsidRPr="004631FB">
        <w:rPr>
          <w:rFonts w:asciiTheme="minorHAnsi" w:hAnsiTheme="minorHAnsi" w:cstheme="minorHAnsi"/>
          <w:b/>
          <w:i/>
          <w:iCs/>
          <w:sz w:val="22"/>
          <w:szCs w:val="22"/>
        </w:rPr>
        <w:t>umber</w:t>
      </w:r>
      <w:r w:rsidRPr="004631FB">
        <w:rPr>
          <w:rFonts w:asciiTheme="minorHAnsi" w:hAnsiTheme="minorHAnsi" w:cstheme="minorHAnsi"/>
          <w:sz w:val="22"/>
          <w:szCs w:val="22"/>
        </w:rPr>
        <w:t xml:space="preserve"> for the applicable town and grade level.</w:t>
      </w:r>
    </w:p>
    <w:p w14:paraId="6E7DC7E9" w14:textId="77777777" w:rsidR="00F57EE0" w:rsidRPr="004631FB" w:rsidRDefault="00F57EE0" w:rsidP="00F57EE0">
      <w:pPr>
        <w:pStyle w:val="BodyText"/>
        <w:numPr>
          <w:ilvl w:val="0"/>
          <w:numId w:val="2"/>
        </w:numPr>
        <w:rPr>
          <w:rFonts w:asciiTheme="minorHAnsi" w:hAnsiTheme="minorHAnsi" w:cstheme="minorHAnsi"/>
          <w:sz w:val="22"/>
          <w:szCs w:val="22"/>
        </w:rPr>
      </w:pPr>
      <w:r w:rsidRPr="004631FB">
        <w:rPr>
          <w:rFonts w:asciiTheme="minorHAnsi" w:hAnsiTheme="minorHAnsi" w:cstheme="minorHAnsi"/>
          <w:sz w:val="22"/>
          <w:szCs w:val="22"/>
        </w:rPr>
        <w:t xml:space="preserve">Click </w:t>
      </w:r>
      <w:r w:rsidRPr="004631FB">
        <w:rPr>
          <w:rFonts w:asciiTheme="minorHAnsi" w:hAnsiTheme="minorHAnsi" w:cstheme="minorHAnsi"/>
          <w:b/>
          <w:i/>
          <w:iCs/>
          <w:sz w:val="22"/>
          <w:szCs w:val="22"/>
        </w:rPr>
        <w:t>Add</w:t>
      </w:r>
      <w:r>
        <w:rPr>
          <w:rFonts w:asciiTheme="minorHAnsi" w:hAnsiTheme="minorHAnsi" w:cstheme="minorHAnsi"/>
          <w:b/>
          <w:i/>
          <w:iCs/>
          <w:sz w:val="22"/>
          <w:szCs w:val="22"/>
        </w:rPr>
        <w:t xml:space="preserve"> </w:t>
      </w:r>
      <w:r w:rsidRPr="004631FB">
        <w:rPr>
          <w:rFonts w:asciiTheme="minorHAnsi" w:hAnsiTheme="minorHAnsi" w:cstheme="minorHAnsi"/>
          <w:bCs/>
          <w:sz w:val="22"/>
          <w:szCs w:val="22"/>
        </w:rPr>
        <w:t>at the</w:t>
      </w:r>
      <w:r>
        <w:rPr>
          <w:rFonts w:asciiTheme="minorHAnsi" w:hAnsiTheme="minorHAnsi" w:cstheme="minorHAnsi"/>
          <w:bCs/>
          <w:sz w:val="22"/>
          <w:szCs w:val="22"/>
        </w:rPr>
        <w:t xml:space="preserve"> end of the row when finished.</w:t>
      </w:r>
      <w:r w:rsidRPr="004631FB">
        <w:rPr>
          <w:rFonts w:asciiTheme="minorHAnsi" w:hAnsiTheme="minorHAnsi" w:cstheme="minorHAnsi"/>
          <w:b/>
          <w:i/>
          <w:iCs/>
          <w:sz w:val="22"/>
          <w:szCs w:val="22"/>
        </w:rPr>
        <w:br/>
      </w:r>
      <w:r w:rsidRPr="004631FB">
        <w:rPr>
          <w:rFonts w:asciiTheme="minorHAnsi" w:hAnsiTheme="minorHAnsi" w:cstheme="minorHAnsi"/>
          <w:noProof/>
          <w:color w:val="2B579A"/>
          <w:shd w:val="clear" w:color="auto" w:fill="E6E6E6"/>
        </w:rPr>
        <w:drawing>
          <wp:inline distT="0" distB="0" distL="0" distR="0" wp14:anchorId="2AEED75B" wp14:editId="537B5A11">
            <wp:extent cx="5208905" cy="771494"/>
            <wp:effectExtent l="0" t="0" r="0" b="0"/>
            <wp:docPr id="4" name="Picture 4" descr="Town, Grade, and Total Pre-enrollment boxes. Click Add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own, Grade, and Total Pre-enrollment boxes. Click Add screenshot."/>
                    <pic:cNvPicPr/>
                  </pic:nvPicPr>
                  <pic:blipFill rotWithShape="1">
                    <a:blip r:embed="rId19"/>
                    <a:srcRect t="25689"/>
                    <a:stretch/>
                  </pic:blipFill>
                  <pic:spPr bwMode="auto">
                    <a:xfrm>
                      <a:off x="0" y="0"/>
                      <a:ext cx="5213165" cy="772125"/>
                    </a:xfrm>
                    <a:prstGeom prst="rect">
                      <a:avLst/>
                    </a:prstGeom>
                    <a:ln>
                      <a:noFill/>
                    </a:ln>
                    <a:extLst>
                      <a:ext uri="{53640926-AAD7-44D8-BBD7-CCE9431645EC}">
                        <a14:shadowObscured xmlns:a14="http://schemas.microsoft.com/office/drawing/2010/main"/>
                      </a:ext>
                    </a:extLst>
                  </pic:spPr>
                </pic:pic>
              </a:graphicData>
            </a:graphic>
          </wp:inline>
        </w:drawing>
      </w:r>
    </w:p>
    <w:p w14:paraId="6A6B2D14" w14:textId="77777777" w:rsidR="00F57EE0" w:rsidRPr="004631FB" w:rsidRDefault="00F57EE0" w:rsidP="00F57EE0">
      <w:pPr>
        <w:pStyle w:val="BodyText"/>
        <w:numPr>
          <w:ilvl w:val="0"/>
          <w:numId w:val="2"/>
        </w:numPr>
        <w:rPr>
          <w:rFonts w:asciiTheme="minorHAnsi" w:hAnsiTheme="minorHAnsi" w:cstheme="minorHAnsi"/>
          <w:sz w:val="22"/>
          <w:szCs w:val="22"/>
        </w:rPr>
      </w:pPr>
      <w:r w:rsidRPr="004631FB">
        <w:rPr>
          <w:rFonts w:asciiTheme="minorHAnsi" w:hAnsiTheme="minorHAnsi" w:cstheme="minorHAnsi"/>
          <w:sz w:val="22"/>
          <w:szCs w:val="22"/>
        </w:rPr>
        <w:t xml:space="preserve">Continue entering data for each town and grade, in the manner described above, until all pre-enrolled students have been entered.  </w:t>
      </w:r>
    </w:p>
    <w:p w14:paraId="0E8163CA" w14:textId="2BD50A2B" w:rsidR="00F57EE0" w:rsidRPr="002024D0" w:rsidRDefault="00F57EE0" w:rsidP="002A58AD">
      <w:pPr>
        <w:pStyle w:val="BodyText"/>
        <w:numPr>
          <w:ilvl w:val="0"/>
          <w:numId w:val="2"/>
        </w:numPr>
        <w:spacing w:before="100" w:beforeAutospacing="1" w:after="100" w:afterAutospacing="1"/>
        <w:rPr>
          <w:rFonts w:asciiTheme="minorHAnsi" w:hAnsiTheme="minorHAnsi" w:cstheme="minorHAnsi"/>
          <w:b/>
          <w:bCs/>
          <w:sz w:val="22"/>
          <w:szCs w:val="22"/>
        </w:rPr>
      </w:pPr>
      <w:r w:rsidRPr="002024D0">
        <w:rPr>
          <w:rFonts w:asciiTheme="minorHAnsi" w:hAnsiTheme="minorHAnsi" w:cstheme="minorHAnsi"/>
          <w:sz w:val="22"/>
          <w:szCs w:val="22"/>
        </w:rPr>
        <w:t>The final total enrollment must not exceed the estimated maximum, nor fall below the estimated minimum (</w:t>
      </w:r>
      <w:r w:rsidRPr="002024D0">
        <w:rPr>
          <w:rFonts w:asciiTheme="minorHAnsi" w:hAnsiTheme="minorHAnsi" w:cstheme="minorHAnsi"/>
          <w:b/>
          <w:bCs/>
          <w:i/>
          <w:iCs/>
          <w:sz w:val="22"/>
          <w:szCs w:val="22"/>
        </w:rPr>
        <w:t>Est. Min/Est. Max</w:t>
      </w:r>
      <w:r w:rsidRPr="002024D0">
        <w:rPr>
          <w:rFonts w:asciiTheme="minorHAnsi" w:hAnsiTheme="minorHAnsi" w:cstheme="minorHAnsi"/>
          <w:sz w:val="22"/>
          <w:szCs w:val="22"/>
        </w:rPr>
        <w:t xml:space="preserve">). If the final total enrollment falls outside of the </w:t>
      </w:r>
      <w:proofErr w:type="gramStart"/>
      <w:r w:rsidRPr="002024D0">
        <w:rPr>
          <w:rFonts w:asciiTheme="minorHAnsi" w:hAnsiTheme="minorHAnsi" w:cstheme="minorHAnsi"/>
          <w:sz w:val="22"/>
          <w:szCs w:val="22"/>
        </w:rPr>
        <w:t>min</w:t>
      </w:r>
      <w:proofErr w:type="gramEnd"/>
      <w:r w:rsidRPr="002024D0">
        <w:rPr>
          <w:rFonts w:asciiTheme="minorHAnsi" w:hAnsiTheme="minorHAnsi" w:cstheme="minorHAnsi"/>
          <w:sz w:val="22"/>
          <w:szCs w:val="22"/>
        </w:rPr>
        <w:t xml:space="preserve"> and max provided, your submission will receive an error at the validation stage. </w:t>
      </w:r>
      <w:r w:rsidRPr="002024D0">
        <w:rPr>
          <w:rFonts w:asciiTheme="minorHAnsi" w:hAnsiTheme="minorHAnsi" w:cstheme="minorHAnsi"/>
          <w:b/>
          <w:bCs/>
          <w:sz w:val="22"/>
          <w:szCs w:val="22"/>
        </w:rPr>
        <w:t>Sibling Pre-Enrollment Report, NOT APPLICABLE</w:t>
      </w:r>
    </w:p>
    <w:p w14:paraId="14DDFCE6" w14:textId="77777777" w:rsidR="00F57EE0" w:rsidRDefault="00F57EE0" w:rsidP="00F57EE0">
      <w:pPr>
        <w:pStyle w:val="ListParagraph"/>
        <w:spacing w:before="100" w:beforeAutospacing="1" w:after="100" w:afterAutospacing="1"/>
        <w:rPr>
          <w:rFonts w:cstheme="minorHAnsi"/>
          <w:color w:val="000000" w:themeColor="text1"/>
          <w:sz w:val="22"/>
          <w:szCs w:val="22"/>
        </w:rPr>
      </w:pPr>
      <w:r>
        <w:rPr>
          <w:rFonts w:cstheme="minorHAnsi"/>
          <w:sz w:val="22"/>
          <w:szCs w:val="22"/>
        </w:rPr>
        <w:t xml:space="preserve">Please note that the Sibling Pre-Enrollment Report, which is used </w:t>
      </w:r>
      <w:r w:rsidRPr="00A563CA">
        <w:rPr>
          <w:rFonts w:cstheme="minorHAnsi"/>
          <w:color w:val="000000" w:themeColor="text1"/>
          <w:sz w:val="22"/>
          <w:szCs w:val="22"/>
        </w:rPr>
        <w:t>by the Department to collect projected sibling enrollment data from charter schools</w:t>
      </w:r>
      <w:r>
        <w:rPr>
          <w:rFonts w:cstheme="minorHAnsi"/>
          <w:color w:val="000000" w:themeColor="text1"/>
          <w:sz w:val="22"/>
          <w:szCs w:val="22"/>
        </w:rPr>
        <w:t xml:space="preserve">, does not apply to CMVS. </w:t>
      </w:r>
    </w:p>
    <w:p w14:paraId="233BC618" w14:textId="77777777" w:rsidR="00F57EE0" w:rsidRPr="00081C76" w:rsidRDefault="00F57EE0" w:rsidP="00F57EE0">
      <w:pPr>
        <w:pStyle w:val="BodyText"/>
        <w:spacing w:after="240"/>
        <w:rPr>
          <w:rFonts w:asciiTheme="minorHAnsi" w:hAnsiTheme="minorHAnsi" w:cstheme="minorHAnsi"/>
          <w:b/>
          <w:sz w:val="22"/>
          <w:szCs w:val="22"/>
        </w:rPr>
      </w:pPr>
      <w:r w:rsidRPr="00081C76">
        <w:rPr>
          <w:rFonts w:asciiTheme="minorHAnsi" w:hAnsiTheme="minorHAnsi" w:cstheme="minorHAnsi"/>
          <w:b/>
          <w:sz w:val="22"/>
          <w:szCs w:val="22"/>
        </w:rPr>
        <w:t xml:space="preserve">Validate and Certify Pre-Enrollment Data </w:t>
      </w:r>
    </w:p>
    <w:p w14:paraId="472B4595" w14:textId="77777777" w:rsidR="00F57EE0" w:rsidRPr="00081C76" w:rsidRDefault="00F57EE0" w:rsidP="00F57EE0">
      <w:pPr>
        <w:pStyle w:val="BodyText"/>
        <w:numPr>
          <w:ilvl w:val="0"/>
          <w:numId w:val="3"/>
        </w:numPr>
        <w:ind w:left="1080"/>
        <w:rPr>
          <w:rFonts w:asciiTheme="minorHAnsi" w:hAnsiTheme="minorHAnsi" w:cstheme="minorHAnsi"/>
          <w:b/>
          <w:sz w:val="22"/>
          <w:szCs w:val="22"/>
        </w:rPr>
      </w:pPr>
      <w:r w:rsidRPr="00081C76">
        <w:rPr>
          <w:rFonts w:asciiTheme="minorHAnsi" w:hAnsiTheme="minorHAnsi" w:cstheme="minorHAnsi"/>
          <w:sz w:val="22"/>
          <w:szCs w:val="22"/>
        </w:rPr>
        <w:t xml:space="preserve">Select </w:t>
      </w:r>
      <w:r w:rsidRPr="00081C76">
        <w:rPr>
          <w:rFonts w:asciiTheme="minorHAnsi" w:hAnsiTheme="minorHAnsi" w:cstheme="minorHAnsi"/>
          <w:b/>
          <w:bCs/>
          <w:sz w:val="22"/>
          <w:szCs w:val="22"/>
        </w:rPr>
        <w:t>Validate and Review</w:t>
      </w:r>
      <w:r w:rsidRPr="00081C76">
        <w:rPr>
          <w:rFonts w:asciiTheme="minorHAnsi" w:hAnsiTheme="minorHAnsi" w:cstheme="minorHAnsi"/>
          <w:sz w:val="22"/>
          <w:szCs w:val="22"/>
        </w:rPr>
        <w:t xml:space="preserve"> from the menu featured on the left-hand side of the screen.</w:t>
      </w:r>
    </w:p>
    <w:p w14:paraId="62194E2D" w14:textId="77777777" w:rsidR="00F57EE0" w:rsidRPr="00081C76" w:rsidRDefault="00F57EE0" w:rsidP="00F57EE0">
      <w:pPr>
        <w:pStyle w:val="BodyText"/>
        <w:numPr>
          <w:ilvl w:val="0"/>
          <w:numId w:val="3"/>
        </w:numPr>
        <w:ind w:left="1080"/>
        <w:rPr>
          <w:rFonts w:asciiTheme="minorHAnsi" w:hAnsiTheme="minorHAnsi" w:cstheme="minorHAnsi"/>
          <w:b/>
          <w:sz w:val="22"/>
          <w:szCs w:val="22"/>
        </w:rPr>
      </w:pPr>
      <w:r w:rsidRPr="00081C76">
        <w:rPr>
          <w:rFonts w:asciiTheme="minorHAnsi" w:hAnsiTheme="minorHAnsi" w:cstheme="minorHAnsi"/>
          <w:bCs/>
          <w:sz w:val="22"/>
          <w:szCs w:val="22"/>
        </w:rPr>
        <w:t xml:space="preserve">Click </w:t>
      </w:r>
      <w:r>
        <w:rPr>
          <w:rFonts w:asciiTheme="minorHAnsi" w:hAnsiTheme="minorHAnsi" w:cstheme="minorHAnsi"/>
          <w:bCs/>
          <w:sz w:val="22"/>
          <w:szCs w:val="22"/>
        </w:rPr>
        <w:t xml:space="preserve">the </w:t>
      </w:r>
      <w:r w:rsidRPr="00081C76">
        <w:rPr>
          <w:rFonts w:asciiTheme="minorHAnsi" w:hAnsiTheme="minorHAnsi" w:cstheme="minorHAnsi"/>
          <w:b/>
          <w:i/>
          <w:iCs/>
          <w:sz w:val="22"/>
          <w:szCs w:val="22"/>
        </w:rPr>
        <w:t>Validate and Review</w:t>
      </w:r>
      <w:r w:rsidRPr="00081C76">
        <w:rPr>
          <w:rFonts w:asciiTheme="minorHAnsi" w:hAnsiTheme="minorHAnsi" w:cstheme="minorHAnsi"/>
          <w:bCs/>
          <w:sz w:val="22"/>
          <w:szCs w:val="22"/>
        </w:rPr>
        <w:t xml:space="preserve"> </w:t>
      </w:r>
      <w:r>
        <w:rPr>
          <w:rFonts w:asciiTheme="minorHAnsi" w:hAnsiTheme="minorHAnsi" w:cstheme="minorHAnsi"/>
          <w:bCs/>
          <w:sz w:val="22"/>
          <w:szCs w:val="22"/>
        </w:rPr>
        <w:t xml:space="preserve">button </w:t>
      </w:r>
      <w:r w:rsidRPr="00081C76">
        <w:rPr>
          <w:rFonts w:asciiTheme="minorHAnsi" w:hAnsiTheme="minorHAnsi" w:cstheme="minorHAnsi"/>
          <w:bCs/>
          <w:sz w:val="22"/>
          <w:szCs w:val="22"/>
        </w:rPr>
        <w:t>to review your pre-enrollment submissions</w:t>
      </w:r>
      <w:r>
        <w:rPr>
          <w:rFonts w:asciiTheme="minorHAnsi" w:hAnsiTheme="minorHAnsi" w:cstheme="minorHAnsi"/>
          <w:bCs/>
          <w:sz w:val="22"/>
          <w:szCs w:val="22"/>
        </w:rPr>
        <w:t xml:space="preserve"> for errors (</w:t>
      </w:r>
      <w:r w:rsidRPr="00081C76">
        <w:rPr>
          <w:rFonts w:asciiTheme="minorHAnsi" w:hAnsiTheme="minorHAnsi" w:cstheme="minorHAnsi"/>
          <w:bCs/>
          <w:sz w:val="22"/>
          <w:szCs w:val="22"/>
        </w:rPr>
        <w:t xml:space="preserve">and </w:t>
      </w:r>
      <w:r>
        <w:rPr>
          <w:rFonts w:asciiTheme="minorHAnsi" w:hAnsiTheme="minorHAnsi" w:cstheme="minorHAnsi"/>
          <w:bCs/>
          <w:sz w:val="22"/>
          <w:szCs w:val="22"/>
        </w:rPr>
        <w:t xml:space="preserve">that the </w:t>
      </w:r>
      <w:r w:rsidRPr="00CE262B">
        <w:rPr>
          <w:rFonts w:asciiTheme="minorHAnsi" w:hAnsiTheme="minorHAnsi" w:cstheme="minorHAnsi"/>
          <w:b/>
          <w:sz w:val="22"/>
          <w:szCs w:val="22"/>
        </w:rPr>
        <w:t xml:space="preserve">No Sibling Pre-Enrollment Counts to Report </w:t>
      </w:r>
      <w:r>
        <w:rPr>
          <w:rFonts w:asciiTheme="minorHAnsi" w:hAnsiTheme="minorHAnsi" w:cstheme="minorHAnsi"/>
          <w:bCs/>
          <w:sz w:val="22"/>
          <w:szCs w:val="22"/>
        </w:rPr>
        <w:t>box was checked)</w:t>
      </w:r>
      <w:r w:rsidRPr="00081C76">
        <w:rPr>
          <w:rFonts w:asciiTheme="minorHAnsi" w:hAnsiTheme="minorHAnsi" w:cstheme="minorHAnsi"/>
          <w:bCs/>
          <w:sz w:val="22"/>
          <w:szCs w:val="22"/>
        </w:rPr>
        <w:t xml:space="preserve">. </w:t>
      </w:r>
    </w:p>
    <w:p w14:paraId="7FD90782" w14:textId="77777777" w:rsidR="00F57EE0" w:rsidRPr="00081C76" w:rsidRDefault="00F57EE0" w:rsidP="00F57EE0">
      <w:pPr>
        <w:pStyle w:val="BodyText"/>
        <w:numPr>
          <w:ilvl w:val="0"/>
          <w:numId w:val="3"/>
        </w:numPr>
        <w:ind w:left="1080"/>
        <w:rPr>
          <w:rFonts w:asciiTheme="minorHAnsi" w:hAnsiTheme="minorHAnsi" w:cstheme="minorHAnsi"/>
          <w:b/>
          <w:sz w:val="22"/>
          <w:szCs w:val="22"/>
        </w:rPr>
      </w:pPr>
      <w:r>
        <w:rPr>
          <w:rFonts w:asciiTheme="minorHAnsi" w:hAnsiTheme="minorHAnsi" w:cstheme="minorHAnsi"/>
          <w:b/>
          <w:sz w:val="22"/>
          <w:szCs w:val="22"/>
        </w:rPr>
        <w:t>*</w:t>
      </w:r>
      <w:r w:rsidRPr="00081C76">
        <w:rPr>
          <w:rFonts w:asciiTheme="minorHAnsi" w:hAnsiTheme="minorHAnsi" w:cstheme="minorHAnsi"/>
          <w:b/>
          <w:sz w:val="22"/>
          <w:szCs w:val="22"/>
        </w:rPr>
        <w:t>No Errors:</w:t>
      </w:r>
      <w:r>
        <w:rPr>
          <w:rFonts w:asciiTheme="minorHAnsi" w:hAnsiTheme="minorHAnsi" w:cstheme="minorHAnsi"/>
          <w:bCs/>
          <w:sz w:val="22"/>
          <w:szCs w:val="22"/>
        </w:rPr>
        <w:t xml:space="preserve"> </w:t>
      </w:r>
      <w:r w:rsidRPr="00081C76">
        <w:rPr>
          <w:rFonts w:asciiTheme="minorHAnsi" w:hAnsiTheme="minorHAnsi" w:cstheme="minorHAnsi"/>
          <w:bCs/>
          <w:sz w:val="22"/>
          <w:szCs w:val="22"/>
        </w:rPr>
        <w:t xml:space="preserve">If there are no errors in your data, </w:t>
      </w:r>
      <w:r>
        <w:rPr>
          <w:rFonts w:asciiTheme="minorHAnsi" w:hAnsiTheme="minorHAnsi" w:cstheme="minorHAnsi"/>
          <w:bCs/>
          <w:sz w:val="22"/>
          <w:szCs w:val="22"/>
        </w:rPr>
        <w:t xml:space="preserve">you will receive a message that </w:t>
      </w:r>
      <w:proofErr w:type="gramStart"/>
      <w:r>
        <w:rPr>
          <w:rFonts w:asciiTheme="minorHAnsi" w:hAnsiTheme="minorHAnsi" w:cstheme="minorHAnsi"/>
          <w:bCs/>
          <w:sz w:val="22"/>
          <w:szCs w:val="22"/>
        </w:rPr>
        <w:t>identified</w:t>
      </w:r>
      <w:proofErr w:type="gramEnd"/>
      <w:r>
        <w:rPr>
          <w:rFonts w:asciiTheme="minorHAnsi" w:hAnsiTheme="minorHAnsi" w:cstheme="minorHAnsi"/>
          <w:bCs/>
          <w:sz w:val="22"/>
          <w:szCs w:val="22"/>
        </w:rPr>
        <w:t xml:space="preserve"> no errors.  C</w:t>
      </w:r>
      <w:r w:rsidRPr="00081C76">
        <w:rPr>
          <w:rFonts w:asciiTheme="minorHAnsi" w:hAnsiTheme="minorHAnsi" w:cstheme="minorHAnsi"/>
          <w:bCs/>
          <w:sz w:val="22"/>
          <w:szCs w:val="22"/>
        </w:rPr>
        <w:t xml:space="preserve">lick </w:t>
      </w:r>
      <w:r w:rsidRPr="00081C76">
        <w:rPr>
          <w:rFonts w:asciiTheme="minorHAnsi" w:hAnsiTheme="minorHAnsi" w:cstheme="minorHAnsi"/>
          <w:b/>
          <w:i/>
          <w:iCs/>
          <w:sz w:val="22"/>
          <w:szCs w:val="22"/>
        </w:rPr>
        <w:t>Certify</w:t>
      </w:r>
      <w:r>
        <w:rPr>
          <w:rFonts w:asciiTheme="minorHAnsi" w:hAnsiTheme="minorHAnsi" w:cstheme="minorHAnsi"/>
          <w:b/>
          <w:i/>
          <w:iCs/>
          <w:sz w:val="22"/>
          <w:szCs w:val="22"/>
        </w:rPr>
        <w:t xml:space="preserve"> </w:t>
      </w:r>
      <w:r>
        <w:rPr>
          <w:rFonts w:asciiTheme="minorHAnsi" w:hAnsiTheme="minorHAnsi" w:cstheme="minorHAnsi"/>
          <w:bCs/>
          <w:sz w:val="22"/>
          <w:szCs w:val="22"/>
        </w:rPr>
        <w:t>to complete your submission</w:t>
      </w:r>
      <w:r w:rsidRPr="00081C76">
        <w:rPr>
          <w:rFonts w:asciiTheme="minorHAnsi" w:hAnsiTheme="minorHAnsi" w:cstheme="minorHAnsi"/>
          <w:bCs/>
          <w:sz w:val="22"/>
          <w:szCs w:val="22"/>
        </w:rPr>
        <w:t>.</w:t>
      </w:r>
    </w:p>
    <w:p w14:paraId="44020D66" w14:textId="77777777" w:rsidR="00F57EE0" w:rsidRDefault="00F57EE0" w:rsidP="00F57EE0">
      <w:pPr>
        <w:pStyle w:val="BodyText"/>
        <w:ind w:left="1080"/>
        <w:rPr>
          <w:rFonts w:asciiTheme="minorHAnsi" w:hAnsiTheme="minorHAnsi" w:cstheme="minorHAnsi"/>
          <w:b/>
          <w:sz w:val="22"/>
          <w:szCs w:val="22"/>
        </w:rPr>
      </w:pPr>
    </w:p>
    <w:p w14:paraId="1DC8CF9C" w14:textId="25B9DE0E" w:rsidR="00F57EE0" w:rsidRPr="00081C76" w:rsidRDefault="008E3F19" w:rsidP="00F57EE0">
      <w:pPr>
        <w:pStyle w:val="BodyText"/>
        <w:ind w:left="1080"/>
        <w:rPr>
          <w:rFonts w:asciiTheme="minorHAnsi" w:hAnsiTheme="minorHAnsi" w:cstheme="minorHAnsi"/>
          <w:b/>
          <w:sz w:val="22"/>
          <w:szCs w:val="22"/>
        </w:rPr>
      </w:pPr>
      <w:r>
        <w:rPr>
          <w:noProof/>
        </w:rPr>
        <w:lastRenderedPageBreak/>
        <w:drawing>
          <wp:anchor distT="0" distB="0" distL="114300" distR="114300" simplePos="0" relativeHeight="251658240" behindDoc="1" locked="0" layoutInCell="1" allowOverlap="1" wp14:anchorId="50FFD75A" wp14:editId="52E228F6">
            <wp:simplePos x="0" y="0"/>
            <wp:positionH relativeFrom="column">
              <wp:posOffset>685800</wp:posOffset>
            </wp:positionH>
            <wp:positionV relativeFrom="paragraph">
              <wp:posOffset>647700</wp:posOffset>
            </wp:positionV>
            <wp:extent cx="5575300" cy="789940"/>
            <wp:effectExtent l="0" t="0" r="6350" b="0"/>
            <wp:wrapTight wrapText="bothSides">
              <wp:wrapPolygon edited="0">
                <wp:start x="0" y="0"/>
                <wp:lineTo x="0" y="20836"/>
                <wp:lineTo x="21551" y="20836"/>
                <wp:lineTo x="21551" y="0"/>
                <wp:lineTo x="0" y="0"/>
              </wp:wrapPolygon>
            </wp:wrapTight>
            <wp:docPr id="1769312953" name="Picture 1" descr="Arrow pointing to &quot;click he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9312953" name="Picture 1" descr="Arrow pointing to &quot;click here&quot;."/>
                    <pic:cNvPicPr/>
                  </pic:nvPicPr>
                  <pic:blipFill rotWithShape="1">
                    <a:blip r:embed="rId20">
                      <a:extLst>
                        <a:ext uri="{28A0092B-C50C-407E-A947-70E740481C1C}">
                          <a14:useLocalDpi xmlns:a14="http://schemas.microsoft.com/office/drawing/2010/main" val="0"/>
                        </a:ext>
                      </a:extLst>
                    </a:blip>
                    <a:srcRect r="1176"/>
                    <a:stretch/>
                  </pic:blipFill>
                  <pic:spPr bwMode="auto">
                    <a:xfrm>
                      <a:off x="0" y="0"/>
                      <a:ext cx="5575300" cy="7899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57EE0">
        <w:rPr>
          <w:rFonts w:asciiTheme="minorHAnsi" w:hAnsiTheme="minorHAnsi" w:cstheme="minorHAnsi"/>
          <w:b/>
          <w:sz w:val="22"/>
          <w:szCs w:val="22"/>
        </w:rPr>
        <w:t>*</w:t>
      </w:r>
      <w:r w:rsidR="00F57EE0" w:rsidRPr="00081C76">
        <w:rPr>
          <w:rFonts w:asciiTheme="minorHAnsi" w:hAnsiTheme="minorHAnsi" w:cstheme="minorHAnsi"/>
          <w:b/>
          <w:sz w:val="22"/>
          <w:szCs w:val="22"/>
        </w:rPr>
        <w:t>Errors:</w:t>
      </w:r>
      <w:r w:rsidR="00F57EE0">
        <w:rPr>
          <w:rFonts w:asciiTheme="minorHAnsi" w:hAnsiTheme="minorHAnsi" w:cstheme="minorHAnsi"/>
          <w:bCs/>
          <w:sz w:val="22"/>
          <w:szCs w:val="22"/>
        </w:rPr>
        <w:t xml:space="preserve"> </w:t>
      </w:r>
      <w:r w:rsidR="00F57EE0" w:rsidRPr="00081C76">
        <w:rPr>
          <w:rFonts w:asciiTheme="minorHAnsi" w:hAnsiTheme="minorHAnsi" w:cstheme="minorHAnsi"/>
          <w:bCs/>
          <w:sz w:val="22"/>
          <w:szCs w:val="22"/>
        </w:rPr>
        <w:t xml:space="preserve">If error(s) are present in your data, </w:t>
      </w:r>
      <w:r w:rsidR="00F57EE0">
        <w:rPr>
          <w:rFonts w:asciiTheme="minorHAnsi" w:hAnsiTheme="minorHAnsi" w:cstheme="minorHAnsi"/>
          <w:bCs/>
          <w:sz w:val="22"/>
          <w:szCs w:val="22"/>
        </w:rPr>
        <w:t xml:space="preserve">you will receive </w:t>
      </w:r>
      <w:r w:rsidR="00F57EE0" w:rsidRPr="00081C76">
        <w:rPr>
          <w:rFonts w:asciiTheme="minorHAnsi" w:hAnsiTheme="minorHAnsi" w:cstheme="minorHAnsi"/>
          <w:bCs/>
          <w:sz w:val="22"/>
          <w:szCs w:val="22"/>
        </w:rPr>
        <w:t xml:space="preserve">a message </w:t>
      </w:r>
      <w:r w:rsidR="00F57EE0">
        <w:rPr>
          <w:rFonts w:asciiTheme="minorHAnsi" w:hAnsiTheme="minorHAnsi" w:cstheme="minorHAnsi"/>
          <w:bCs/>
          <w:sz w:val="22"/>
          <w:szCs w:val="22"/>
        </w:rPr>
        <w:t>that</w:t>
      </w:r>
      <w:r w:rsidR="00F57EE0" w:rsidRPr="00081C76">
        <w:rPr>
          <w:rFonts w:asciiTheme="minorHAnsi" w:hAnsiTheme="minorHAnsi" w:cstheme="minorHAnsi"/>
          <w:bCs/>
          <w:sz w:val="22"/>
          <w:szCs w:val="22"/>
        </w:rPr>
        <w:t xml:space="preserve"> identif</w:t>
      </w:r>
      <w:r w:rsidR="00F57EE0">
        <w:rPr>
          <w:rFonts w:asciiTheme="minorHAnsi" w:hAnsiTheme="minorHAnsi" w:cstheme="minorHAnsi"/>
          <w:bCs/>
          <w:sz w:val="22"/>
          <w:szCs w:val="22"/>
        </w:rPr>
        <w:t>ies</w:t>
      </w:r>
      <w:r w:rsidR="00F57EE0" w:rsidRPr="00081C76">
        <w:rPr>
          <w:rFonts w:asciiTheme="minorHAnsi" w:hAnsiTheme="minorHAnsi" w:cstheme="minorHAnsi"/>
          <w:bCs/>
          <w:sz w:val="22"/>
          <w:szCs w:val="22"/>
        </w:rPr>
        <w:t xml:space="preserve"> the number of validation errors found. Click on the </w:t>
      </w:r>
      <w:r w:rsidR="00F57EE0" w:rsidRPr="00081C76">
        <w:rPr>
          <w:rFonts w:asciiTheme="minorHAnsi" w:hAnsiTheme="minorHAnsi" w:cstheme="minorHAnsi"/>
          <w:b/>
          <w:sz w:val="22"/>
          <w:szCs w:val="22"/>
        </w:rPr>
        <w:t>click here</w:t>
      </w:r>
      <w:r w:rsidR="00F57EE0" w:rsidRPr="00081C76">
        <w:rPr>
          <w:rFonts w:asciiTheme="minorHAnsi" w:hAnsiTheme="minorHAnsi" w:cstheme="minorHAnsi"/>
          <w:bCs/>
          <w:sz w:val="22"/>
          <w:szCs w:val="22"/>
        </w:rPr>
        <w:t xml:space="preserve"> link to view and download the error(s)</w:t>
      </w:r>
      <w:r w:rsidR="00F57EE0">
        <w:rPr>
          <w:rFonts w:asciiTheme="minorHAnsi" w:hAnsiTheme="minorHAnsi" w:cstheme="minorHAnsi"/>
          <w:bCs/>
          <w:sz w:val="22"/>
          <w:szCs w:val="22"/>
        </w:rPr>
        <w:t>.</w:t>
      </w:r>
      <w:r w:rsidR="00F57EE0" w:rsidRPr="00081C76">
        <w:rPr>
          <w:rFonts w:asciiTheme="minorHAnsi" w:hAnsiTheme="minorHAnsi" w:cstheme="minorHAnsi"/>
          <w:bCs/>
          <w:sz w:val="22"/>
          <w:szCs w:val="22"/>
        </w:rPr>
        <w:t xml:space="preserve"> </w:t>
      </w:r>
      <w:r w:rsidR="00F57EE0">
        <w:rPr>
          <w:rFonts w:asciiTheme="minorHAnsi" w:hAnsiTheme="minorHAnsi" w:cstheme="minorHAnsi"/>
          <w:bCs/>
          <w:sz w:val="22"/>
          <w:szCs w:val="22"/>
        </w:rPr>
        <w:t>S</w:t>
      </w:r>
      <w:r w:rsidR="00F57EE0" w:rsidRPr="00081C76">
        <w:rPr>
          <w:rFonts w:asciiTheme="minorHAnsi" w:hAnsiTheme="minorHAnsi" w:cstheme="minorHAnsi"/>
          <w:bCs/>
          <w:sz w:val="22"/>
          <w:szCs w:val="22"/>
        </w:rPr>
        <w:t xml:space="preserve">ee image below. A new tab will appear; your current </w:t>
      </w:r>
      <w:r w:rsidR="00F57EE0">
        <w:rPr>
          <w:rFonts w:asciiTheme="minorHAnsi" w:hAnsiTheme="minorHAnsi" w:cstheme="minorHAnsi"/>
          <w:bCs/>
          <w:sz w:val="22"/>
          <w:szCs w:val="22"/>
        </w:rPr>
        <w:t xml:space="preserve">tab </w:t>
      </w:r>
      <w:r w:rsidR="00F57EE0" w:rsidRPr="00081C76">
        <w:rPr>
          <w:rFonts w:asciiTheme="minorHAnsi" w:hAnsiTheme="minorHAnsi" w:cstheme="minorHAnsi"/>
          <w:bCs/>
          <w:sz w:val="22"/>
          <w:szCs w:val="22"/>
        </w:rPr>
        <w:t>will not close.</w:t>
      </w:r>
    </w:p>
    <w:p w14:paraId="3BD14713" w14:textId="28C4ECB7" w:rsidR="00F57EE0" w:rsidRPr="00081C76" w:rsidRDefault="00F57EE0" w:rsidP="00F57EE0">
      <w:pPr>
        <w:pStyle w:val="BodyText"/>
        <w:numPr>
          <w:ilvl w:val="0"/>
          <w:numId w:val="3"/>
        </w:numPr>
        <w:ind w:left="1080"/>
        <w:rPr>
          <w:rFonts w:asciiTheme="minorHAnsi" w:hAnsiTheme="minorHAnsi" w:cstheme="minorHAnsi"/>
          <w:b/>
          <w:sz w:val="22"/>
          <w:szCs w:val="22"/>
        </w:rPr>
      </w:pPr>
      <w:r w:rsidRPr="00081C76">
        <w:rPr>
          <w:rFonts w:asciiTheme="minorHAnsi" w:hAnsiTheme="minorHAnsi" w:cstheme="minorHAnsi"/>
          <w:bCs/>
          <w:sz w:val="22"/>
          <w:szCs w:val="22"/>
        </w:rPr>
        <w:t>Review the type</w:t>
      </w:r>
      <w:r>
        <w:rPr>
          <w:rFonts w:asciiTheme="minorHAnsi" w:hAnsiTheme="minorHAnsi" w:cstheme="minorHAnsi"/>
          <w:bCs/>
          <w:sz w:val="22"/>
          <w:szCs w:val="22"/>
        </w:rPr>
        <w:t>(s)</w:t>
      </w:r>
      <w:r w:rsidRPr="00081C76">
        <w:rPr>
          <w:rFonts w:asciiTheme="minorHAnsi" w:hAnsiTheme="minorHAnsi" w:cstheme="minorHAnsi"/>
          <w:bCs/>
          <w:sz w:val="22"/>
          <w:szCs w:val="22"/>
        </w:rPr>
        <w:t xml:space="preserve"> of error(s) and the identified module where error(s) are present. Correct the error(s) by navigating back to that module</w:t>
      </w:r>
      <w:r>
        <w:rPr>
          <w:rFonts w:asciiTheme="minorHAnsi" w:hAnsiTheme="minorHAnsi" w:cstheme="minorHAnsi"/>
          <w:bCs/>
          <w:sz w:val="22"/>
          <w:szCs w:val="22"/>
        </w:rPr>
        <w:t>’s</w:t>
      </w:r>
      <w:r w:rsidRPr="00081C76">
        <w:rPr>
          <w:rFonts w:asciiTheme="minorHAnsi" w:hAnsiTheme="minorHAnsi" w:cstheme="minorHAnsi"/>
          <w:bCs/>
          <w:sz w:val="22"/>
          <w:szCs w:val="22"/>
        </w:rPr>
        <w:t xml:space="preserve"> subpage and editing the identified data </w:t>
      </w:r>
      <w:r>
        <w:rPr>
          <w:rFonts w:asciiTheme="minorHAnsi" w:hAnsiTheme="minorHAnsi" w:cstheme="minorHAnsi"/>
          <w:bCs/>
          <w:sz w:val="22"/>
          <w:szCs w:val="22"/>
        </w:rPr>
        <w:t>error(s)</w:t>
      </w:r>
      <w:r w:rsidRPr="00081C76">
        <w:rPr>
          <w:rFonts w:asciiTheme="minorHAnsi" w:hAnsiTheme="minorHAnsi" w:cstheme="minorHAnsi"/>
          <w:bCs/>
          <w:sz w:val="22"/>
          <w:szCs w:val="22"/>
        </w:rPr>
        <w:t xml:space="preserve">. After correcting the error(s), click </w:t>
      </w:r>
      <w:r w:rsidRPr="00081C76">
        <w:rPr>
          <w:rFonts w:asciiTheme="minorHAnsi" w:hAnsiTheme="minorHAnsi" w:cstheme="minorHAnsi"/>
          <w:b/>
          <w:i/>
          <w:iCs/>
          <w:sz w:val="22"/>
          <w:szCs w:val="22"/>
        </w:rPr>
        <w:t>Validate and Review</w:t>
      </w:r>
      <w:r w:rsidRPr="00081C76">
        <w:rPr>
          <w:rFonts w:asciiTheme="minorHAnsi" w:hAnsiTheme="minorHAnsi" w:cstheme="minorHAnsi"/>
          <w:bCs/>
          <w:sz w:val="22"/>
          <w:szCs w:val="22"/>
        </w:rPr>
        <w:t xml:space="preserve"> again. If error(s) are rectified, </w:t>
      </w:r>
      <w:r>
        <w:rPr>
          <w:rFonts w:asciiTheme="minorHAnsi" w:hAnsiTheme="minorHAnsi" w:cstheme="minorHAnsi"/>
          <w:bCs/>
          <w:sz w:val="22"/>
          <w:szCs w:val="22"/>
        </w:rPr>
        <w:t xml:space="preserve">you will receive a message that </w:t>
      </w:r>
      <w:proofErr w:type="gramStart"/>
      <w:r>
        <w:rPr>
          <w:rFonts w:asciiTheme="minorHAnsi" w:hAnsiTheme="minorHAnsi" w:cstheme="minorHAnsi"/>
          <w:bCs/>
          <w:sz w:val="22"/>
          <w:szCs w:val="22"/>
        </w:rPr>
        <w:t>identified</w:t>
      </w:r>
      <w:proofErr w:type="gramEnd"/>
      <w:r>
        <w:rPr>
          <w:rFonts w:asciiTheme="minorHAnsi" w:hAnsiTheme="minorHAnsi" w:cstheme="minorHAnsi"/>
          <w:bCs/>
          <w:sz w:val="22"/>
          <w:szCs w:val="22"/>
        </w:rPr>
        <w:t xml:space="preserve"> no errors.  C</w:t>
      </w:r>
      <w:r w:rsidRPr="005F1FE1">
        <w:rPr>
          <w:rFonts w:asciiTheme="minorHAnsi" w:hAnsiTheme="minorHAnsi" w:cstheme="minorHAnsi"/>
          <w:bCs/>
          <w:sz w:val="22"/>
          <w:szCs w:val="22"/>
        </w:rPr>
        <w:t xml:space="preserve">lick </w:t>
      </w:r>
      <w:r w:rsidRPr="005F1FE1">
        <w:rPr>
          <w:rFonts w:asciiTheme="minorHAnsi" w:hAnsiTheme="minorHAnsi" w:cstheme="minorHAnsi"/>
          <w:b/>
          <w:i/>
          <w:iCs/>
          <w:sz w:val="22"/>
          <w:szCs w:val="22"/>
        </w:rPr>
        <w:t>Certify</w:t>
      </w:r>
      <w:r>
        <w:rPr>
          <w:rFonts w:asciiTheme="minorHAnsi" w:hAnsiTheme="minorHAnsi" w:cstheme="minorHAnsi"/>
          <w:b/>
          <w:i/>
          <w:iCs/>
          <w:sz w:val="22"/>
          <w:szCs w:val="22"/>
        </w:rPr>
        <w:t xml:space="preserve"> </w:t>
      </w:r>
      <w:r>
        <w:rPr>
          <w:rFonts w:asciiTheme="minorHAnsi" w:hAnsiTheme="minorHAnsi" w:cstheme="minorHAnsi"/>
          <w:bCs/>
          <w:sz w:val="22"/>
          <w:szCs w:val="22"/>
        </w:rPr>
        <w:t>to complete your submission</w:t>
      </w:r>
      <w:r w:rsidRPr="005F1FE1">
        <w:rPr>
          <w:rFonts w:asciiTheme="minorHAnsi" w:hAnsiTheme="minorHAnsi" w:cstheme="minorHAnsi"/>
          <w:bCs/>
          <w:sz w:val="22"/>
          <w:szCs w:val="22"/>
        </w:rPr>
        <w:t>.</w:t>
      </w:r>
    </w:p>
    <w:p w14:paraId="66A06E9B" w14:textId="77777777" w:rsidR="00F57EE0" w:rsidRPr="00081C76" w:rsidRDefault="00F57EE0" w:rsidP="00F57EE0">
      <w:pPr>
        <w:pStyle w:val="BodyText"/>
        <w:numPr>
          <w:ilvl w:val="0"/>
          <w:numId w:val="3"/>
        </w:numPr>
        <w:ind w:left="1080"/>
        <w:rPr>
          <w:rFonts w:asciiTheme="minorHAnsi" w:hAnsiTheme="minorHAnsi" w:cstheme="minorHAnsi"/>
          <w:bCs/>
          <w:sz w:val="22"/>
          <w:szCs w:val="22"/>
        </w:rPr>
      </w:pPr>
      <w:r w:rsidRPr="00081C76">
        <w:rPr>
          <w:rFonts w:asciiTheme="minorHAnsi" w:hAnsiTheme="minorHAnsi" w:cstheme="minorHAnsi"/>
          <w:bCs/>
          <w:sz w:val="22"/>
          <w:szCs w:val="22"/>
        </w:rPr>
        <w:t xml:space="preserve">After certifying, you </w:t>
      </w:r>
      <w:r w:rsidRPr="00081C76">
        <w:rPr>
          <w:rFonts w:asciiTheme="minorHAnsi" w:hAnsiTheme="minorHAnsi" w:cstheme="minorHAnsi"/>
          <w:b/>
          <w:sz w:val="22"/>
          <w:szCs w:val="22"/>
        </w:rPr>
        <w:t>must</w:t>
      </w:r>
      <w:r w:rsidRPr="00081C76">
        <w:rPr>
          <w:rFonts w:asciiTheme="minorHAnsi" w:hAnsiTheme="minorHAnsi" w:cstheme="minorHAnsi"/>
          <w:bCs/>
          <w:sz w:val="22"/>
          <w:szCs w:val="22"/>
        </w:rPr>
        <w:t xml:space="preserve"> take a screenshot of your submission to provide to your auditor.</w:t>
      </w:r>
    </w:p>
    <w:p w14:paraId="69DEFF23" w14:textId="77777777" w:rsidR="00F57EE0" w:rsidRDefault="00F57EE0" w:rsidP="00F57EE0"/>
    <w:p w14:paraId="69131B3B" w14:textId="777D1B42" w:rsidR="002024D0" w:rsidRPr="004631FB" w:rsidRDefault="002024D0" w:rsidP="002024D0">
      <w:pPr>
        <w:pStyle w:val="BodyText"/>
        <w:rPr>
          <w:rFonts w:asciiTheme="minorHAnsi" w:hAnsiTheme="minorHAnsi" w:cstheme="minorHAnsi"/>
          <w:sz w:val="22"/>
          <w:szCs w:val="22"/>
        </w:rPr>
      </w:pPr>
      <w:r>
        <w:rPr>
          <w:rFonts w:asciiTheme="minorHAnsi" w:hAnsiTheme="minorHAnsi" w:cstheme="minorHAnsi"/>
          <w:sz w:val="22"/>
          <w:szCs w:val="22"/>
        </w:rPr>
        <w:t>P</w:t>
      </w:r>
      <w:r w:rsidRPr="005F1FE1">
        <w:rPr>
          <w:rFonts w:asciiTheme="minorHAnsi" w:hAnsiTheme="minorHAnsi" w:cstheme="minorHAnsi"/>
          <w:sz w:val="22"/>
          <w:szCs w:val="22"/>
        </w:rPr>
        <w:t xml:space="preserve">lease contact Brenton Stewart at </w:t>
      </w:r>
      <w:hyperlink r:id="rId21" w:history="1">
        <w:r w:rsidRPr="005F1FE1">
          <w:rPr>
            <w:rStyle w:val="Hyperlink"/>
            <w:rFonts w:asciiTheme="minorHAnsi" w:hAnsiTheme="minorHAnsi" w:cstheme="minorHAnsi"/>
            <w:sz w:val="22"/>
            <w:szCs w:val="22"/>
          </w:rPr>
          <w:t>Brenton.Stewart@mass.gov</w:t>
        </w:r>
      </w:hyperlink>
      <w:r w:rsidRPr="005F1FE1">
        <w:rPr>
          <w:rFonts w:asciiTheme="minorHAnsi" w:hAnsiTheme="minorHAnsi" w:cstheme="minorHAnsi"/>
          <w:sz w:val="22"/>
          <w:szCs w:val="22"/>
        </w:rPr>
        <w:t xml:space="preserve"> </w:t>
      </w:r>
      <w:r w:rsidR="007A0BC8">
        <w:rPr>
          <w:rFonts w:asciiTheme="minorHAnsi" w:hAnsiTheme="minorHAnsi" w:cstheme="minorHAnsi"/>
          <w:snapToGrid w:val="0"/>
          <w:sz w:val="22"/>
          <w:szCs w:val="22"/>
        </w:rPr>
        <w:t xml:space="preserve">with any questions regarding the pre-enrollment data submission or </w:t>
      </w:r>
      <w:r>
        <w:rPr>
          <w:rFonts w:asciiTheme="minorHAnsi" w:hAnsiTheme="minorHAnsi" w:cstheme="minorHAnsi"/>
          <w:sz w:val="22"/>
          <w:szCs w:val="22"/>
        </w:rPr>
        <w:t>for technical assistance, as needed</w:t>
      </w:r>
      <w:r w:rsidRPr="005F1FE1">
        <w:rPr>
          <w:rFonts w:asciiTheme="minorHAnsi" w:hAnsiTheme="minorHAnsi" w:cstheme="minorHAnsi"/>
          <w:sz w:val="22"/>
          <w:szCs w:val="22"/>
        </w:rPr>
        <w:t>.</w:t>
      </w:r>
    </w:p>
    <w:p w14:paraId="4ED544EF" w14:textId="77777777" w:rsidR="00075DB3" w:rsidRPr="00755187" w:rsidRDefault="00075DB3" w:rsidP="00ED5501"/>
    <w:p w14:paraId="14B27558" w14:textId="77777777" w:rsidR="003D72C8" w:rsidRPr="00755187" w:rsidRDefault="003D72C8" w:rsidP="00ED5501"/>
    <w:sectPr w:rsidR="003D72C8" w:rsidRPr="00755187" w:rsidSect="00900E8F">
      <w:headerReference w:type="default" r:id="rId22"/>
      <w:footerReference w:type="default" r:id="rId2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DB0003" w14:textId="77777777" w:rsidR="00900E8F" w:rsidRDefault="00900E8F" w:rsidP="00ED5501">
      <w:r>
        <w:separator/>
      </w:r>
    </w:p>
  </w:endnote>
  <w:endnote w:type="continuationSeparator" w:id="0">
    <w:p w14:paraId="5D9F7665" w14:textId="77777777" w:rsidR="00900E8F" w:rsidRDefault="00900E8F" w:rsidP="00ED5501">
      <w:r>
        <w:continuationSeparator/>
      </w:r>
    </w:p>
  </w:endnote>
  <w:endnote w:type="continuationNotice" w:id="1">
    <w:p w14:paraId="62BD5CCD" w14:textId="77777777" w:rsidR="00900E8F" w:rsidRDefault="00900E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Georgia">
    <w:panose1 w:val="02040502050405020303"/>
    <w:charset w:val="00"/>
    <w:family w:val="roman"/>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Aptos Display">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D8C818" w14:textId="27232996" w:rsidR="00ED5501" w:rsidRPr="00ED5501" w:rsidRDefault="00ED5501" w:rsidP="00ED5501">
    <w:pPr>
      <w:pStyle w:val="Footer"/>
    </w:pPr>
    <w:r>
      <w:rPr>
        <w:noProof/>
      </w:rPr>
      <w:drawing>
        <wp:anchor distT="0" distB="0" distL="114300" distR="114300" simplePos="0" relativeHeight="251658241" behindDoc="1" locked="0" layoutInCell="1" allowOverlap="1" wp14:anchorId="120D86E0" wp14:editId="6ADB60F6">
          <wp:simplePos x="0" y="0"/>
          <wp:positionH relativeFrom="column">
            <wp:posOffset>-970915</wp:posOffset>
          </wp:positionH>
          <wp:positionV relativeFrom="paragraph">
            <wp:posOffset>-80645</wp:posOffset>
          </wp:positionV>
          <wp:extent cx="8080001" cy="528308"/>
          <wp:effectExtent l="0" t="0" r="0" b="0"/>
          <wp:wrapNone/>
          <wp:docPr id="2051122816" name="Picture 2" descr="135 Santilli Hwy, Everett, MA 02149&#10;781-338-3000&#10;1-800-439-2370&#10;www.doe.mass.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122816" name="Picture 2" descr="135 Santilli Hwy, Everett, MA 02149&#10;781-338-3000&#10;1-800-439-2370&#10;www.doe.mass.edu"/>
                  <pic:cNvPicPr/>
                </pic:nvPicPr>
                <pic:blipFill>
                  <a:blip r:embed="rId1">
                    <a:extLst>
                      <a:ext uri="{28A0092B-C50C-407E-A947-70E740481C1C}">
                        <a14:useLocalDpi xmlns:a14="http://schemas.microsoft.com/office/drawing/2010/main" val="0"/>
                      </a:ext>
                    </a:extLst>
                  </a:blip>
                  <a:stretch>
                    <a:fillRect/>
                  </a:stretch>
                </pic:blipFill>
                <pic:spPr>
                  <a:xfrm>
                    <a:off x="0" y="0"/>
                    <a:ext cx="8080001" cy="528308"/>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48660440"/>
      <w:docPartObj>
        <w:docPartGallery w:val="Page Numbers (Bottom of Page)"/>
        <w:docPartUnique/>
      </w:docPartObj>
    </w:sdtPr>
    <w:sdtEndPr>
      <w:rPr>
        <w:noProof/>
      </w:rPr>
    </w:sdtEndPr>
    <w:sdtContent>
      <w:p w14:paraId="6C68C50C" w14:textId="2FE857D8" w:rsidR="00E2551F" w:rsidRDefault="00E2551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738A8D" w14:textId="08F58ED5" w:rsidR="00E2551F" w:rsidRPr="00ED5501" w:rsidRDefault="00E2551F" w:rsidP="00ED55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5A9858" w14:textId="77777777" w:rsidR="00900E8F" w:rsidRDefault="00900E8F" w:rsidP="00ED5501">
      <w:r>
        <w:separator/>
      </w:r>
    </w:p>
  </w:footnote>
  <w:footnote w:type="continuationSeparator" w:id="0">
    <w:p w14:paraId="7D81FFB6" w14:textId="77777777" w:rsidR="00900E8F" w:rsidRDefault="00900E8F" w:rsidP="00ED5501">
      <w:r>
        <w:continuationSeparator/>
      </w:r>
    </w:p>
  </w:footnote>
  <w:footnote w:type="continuationNotice" w:id="1">
    <w:p w14:paraId="3506080E" w14:textId="77777777" w:rsidR="00900E8F" w:rsidRDefault="00900E8F"/>
  </w:footnote>
  <w:footnote w:id="2">
    <w:p w14:paraId="116D8FBA" w14:textId="77777777" w:rsidR="00F57EE0" w:rsidRPr="00DA42D7" w:rsidRDefault="00F57EE0" w:rsidP="00F57EE0">
      <w:pPr>
        <w:pStyle w:val="FootnoteText"/>
        <w:ind w:left="180" w:hanging="180"/>
        <w:rPr>
          <w:rFonts w:asciiTheme="minorHAnsi" w:hAnsiTheme="minorHAnsi" w:cstheme="minorHAnsi"/>
        </w:rPr>
      </w:pPr>
      <w:r w:rsidRPr="00DA42D7">
        <w:rPr>
          <w:rStyle w:val="FootnoteReference"/>
          <w:rFonts w:eastAsiaTheme="majorEastAsia"/>
          <w:vertAlign w:val="superscript"/>
        </w:rPr>
        <w:footnoteRef/>
      </w:r>
      <w:r w:rsidRPr="00C54DAE">
        <w:t xml:space="preserve">  </w:t>
      </w:r>
      <w:r w:rsidRPr="00DA42D7">
        <w:rPr>
          <w:rFonts w:asciiTheme="minorHAnsi" w:hAnsiTheme="minorHAnsi" w:cstheme="minorHAnsi"/>
        </w:rPr>
        <w:t>603 CMR 52.08(5)</w:t>
      </w:r>
      <w:r>
        <w:rPr>
          <w:rFonts w:asciiTheme="minorHAnsi" w:hAnsiTheme="minorHAnsi" w:cstheme="minorHAnsi"/>
        </w:rPr>
        <w:t xml:space="preserve">: </w:t>
      </w:r>
      <w:r w:rsidRPr="00DA42D7">
        <w:rPr>
          <w:rFonts w:asciiTheme="minorHAnsi" w:hAnsiTheme="minorHAnsi" w:cstheme="minorHAnsi"/>
        </w:rPr>
        <w:t>Pre-enrollment Report. A Commonwealth of Massachusetts virtual school shall file a pre-enrollment report annually with the Department in accordance with established deadlines. Pre-enrollment reports must include the virtual school's projected total enrollment for the subsequent academic year and the projected number of students, by grade, selected for admission from each sending district for the subsequent academic year.</w:t>
      </w:r>
    </w:p>
    <w:p w14:paraId="332F8D64" w14:textId="77777777" w:rsidR="00F57EE0" w:rsidRDefault="00F57EE0" w:rsidP="00F57EE0">
      <w:pPr>
        <w:pStyle w:val="FootnoteText"/>
        <w:ind w:left="720"/>
      </w:pPr>
    </w:p>
  </w:footnote>
  <w:footnote w:id="3">
    <w:p w14:paraId="424FFF5C" w14:textId="77777777" w:rsidR="00F57EE0" w:rsidRPr="00DA42D7" w:rsidRDefault="00F57EE0" w:rsidP="00F57EE0">
      <w:pPr>
        <w:pStyle w:val="FootnoteText"/>
        <w:ind w:left="180" w:hanging="180"/>
        <w:rPr>
          <w:rFonts w:asciiTheme="minorHAnsi" w:hAnsiTheme="minorHAnsi" w:cstheme="minorHAnsi"/>
        </w:rPr>
      </w:pPr>
      <w:r w:rsidRPr="00DA42D7">
        <w:rPr>
          <w:rStyle w:val="FootnoteReference"/>
          <w:rFonts w:eastAsiaTheme="majorEastAsia"/>
          <w:vertAlign w:val="superscript"/>
        </w:rPr>
        <w:footnoteRef/>
      </w:r>
      <w:r w:rsidRPr="00C54DAE">
        <w:t xml:space="preserve">  </w:t>
      </w:r>
      <w:r w:rsidRPr="00DA42D7">
        <w:rPr>
          <w:rFonts w:asciiTheme="minorHAnsi" w:hAnsiTheme="minorHAnsi" w:cstheme="minorHAnsi"/>
        </w:rPr>
        <w:t>603 CMR 52.07(4)</w:t>
      </w:r>
      <w:r>
        <w:rPr>
          <w:rFonts w:asciiTheme="minorHAnsi" w:hAnsiTheme="minorHAnsi" w:cstheme="minorHAnsi"/>
        </w:rPr>
        <w:t xml:space="preserve">: </w:t>
      </w:r>
      <w:r w:rsidRPr="00DA42D7">
        <w:rPr>
          <w:rFonts w:asciiTheme="minorHAnsi" w:hAnsiTheme="minorHAnsi" w:cstheme="minorHAnsi"/>
        </w:rPr>
        <w:t xml:space="preserve">Monthly Payments. The first five monthly payments in each fiscal year will be based on the Commonwealth of Massachusetts virtual school's pre-enrollment report. Remaining monthly payments for the fiscal year will be based on the October SIMS collection from the Commonwealth of Massachusetts virtual school. Although each monthly payment is intended to equal approximately one twelve of the projected annual </w:t>
      </w:r>
      <w:proofErr w:type="gramStart"/>
      <w:r w:rsidRPr="00DA42D7">
        <w:rPr>
          <w:rFonts w:asciiTheme="minorHAnsi" w:hAnsiTheme="minorHAnsi" w:cstheme="minorHAnsi"/>
        </w:rPr>
        <w:t>amount</w:t>
      </w:r>
      <w:proofErr w:type="gramEnd"/>
      <w:r w:rsidRPr="00DA42D7">
        <w:rPr>
          <w:rFonts w:asciiTheme="minorHAnsi" w:hAnsiTheme="minorHAnsi" w:cstheme="minorHAnsi"/>
        </w:rPr>
        <w:t>, payments in the later months of each fiscal year (from December through June) shall include adjustments to correct any over- or under-payments in earlier months, including adjustments for special education increments.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B551A2" w14:textId="085EA560" w:rsidR="00ED5501" w:rsidRDefault="00ED5501">
    <w:pPr>
      <w:pStyle w:val="Header"/>
    </w:pPr>
    <w:r>
      <w:rPr>
        <w:noProof/>
      </w:rPr>
      <w:drawing>
        <wp:anchor distT="0" distB="0" distL="114300" distR="114300" simplePos="0" relativeHeight="251658240" behindDoc="1" locked="0" layoutInCell="1" allowOverlap="1" wp14:anchorId="29412DF0" wp14:editId="727550E4">
          <wp:simplePos x="0" y="0"/>
          <wp:positionH relativeFrom="page">
            <wp:posOffset>0</wp:posOffset>
          </wp:positionH>
          <wp:positionV relativeFrom="paragraph">
            <wp:posOffset>-505460</wp:posOffset>
          </wp:positionV>
          <wp:extent cx="7810500" cy="1590675"/>
          <wp:effectExtent l="0" t="0" r="0" b="0"/>
          <wp:wrapNone/>
          <wp:docPr id="960139627" name="Picture 1" descr="DESE logo and Massachusetts state seal. &#10;Russell D Johnston, Acting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0139627" name="Picture 1" descr="DESE logo and Massachusetts state seal. &#10;Russell D Johnston, Acting Commissioner"/>
                  <pic:cNvPicPr/>
                </pic:nvPicPr>
                <pic:blipFill>
                  <a:blip r:embed="rId1">
                    <a:extLst>
                      <a:ext uri="{28A0092B-C50C-407E-A947-70E740481C1C}">
                        <a14:useLocalDpi xmlns:a14="http://schemas.microsoft.com/office/drawing/2010/main" val="0"/>
                      </a:ext>
                    </a:extLst>
                  </a:blip>
                  <a:srcRect l="1460" r="1460"/>
                  <a:stretch>
                    <a:fillRect/>
                  </a:stretch>
                </pic:blipFill>
                <pic:spPr bwMode="auto">
                  <a:xfrm>
                    <a:off x="0" y="0"/>
                    <a:ext cx="7810500" cy="1590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2E5170" w14:textId="4215CAAC" w:rsidR="004873A1" w:rsidRDefault="004873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94255B"/>
    <w:multiLevelType w:val="hybridMultilevel"/>
    <w:tmpl w:val="000AFEFC"/>
    <w:lvl w:ilvl="0" w:tplc="AA202658">
      <w:start w:val="1"/>
      <w:numFmt w:val="lowerLetter"/>
      <w:lvlText w:val="%1."/>
      <w:lvlJc w:val="left"/>
      <w:pPr>
        <w:ind w:left="720" w:hanging="360"/>
      </w:pPr>
      <w:rPr>
        <w:rFonts w:hint="default"/>
        <w:b w:val="0"/>
        <w:bC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4850A4"/>
    <w:multiLevelType w:val="hybridMultilevel"/>
    <w:tmpl w:val="107CB2BA"/>
    <w:lvl w:ilvl="0" w:tplc="FCF629F4">
      <w:start w:val="1"/>
      <w:numFmt w:val="decimal"/>
      <w:lvlText w:val="%1."/>
      <w:lvlJc w:val="left"/>
      <w:pPr>
        <w:ind w:left="-720" w:hanging="360"/>
      </w:pPr>
      <w:rPr>
        <w:rFonts w:asciiTheme="minorHAnsi" w:eastAsia="Times New Roman" w:hAnsiTheme="minorHAnsi" w:cstheme="minorHAnsi" w:hint="default"/>
        <w:b w:val="0"/>
        <w:bCs/>
      </w:rPr>
    </w:lvl>
    <w:lvl w:ilvl="1" w:tplc="E6CE1FB8">
      <w:start w:val="1"/>
      <w:numFmt w:val="decimal"/>
      <w:lvlText w:val="%2."/>
      <w:lvlJc w:val="left"/>
      <w:pPr>
        <w:ind w:left="-720" w:hanging="360"/>
      </w:pPr>
      <w:rPr>
        <w:rFonts w:ascii="Georgia" w:eastAsia="Times New Roman" w:hAnsi="Georgia" w:cs="Times New Roman" w:hint="default"/>
      </w:r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2" w15:restartNumberingAfterBreak="0">
    <w:nsid w:val="7EA134A0"/>
    <w:multiLevelType w:val="hybridMultilevel"/>
    <w:tmpl w:val="E4B81E28"/>
    <w:lvl w:ilvl="0" w:tplc="55F2AAF8">
      <w:start w:val="1"/>
      <w:numFmt w:val="decimal"/>
      <w:lvlText w:val="%1."/>
      <w:lvlJc w:val="left"/>
      <w:pPr>
        <w:ind w:left="1080" w:hanging="360"/>
      </w:pPr>
      <w:rPr>
        <w:rFonts w:asciiTheme="minorHAnsi" w:eastAsia="Times New Roman" w:hAnsiTheme="minorHAnsi" w:cstheme="minorHAnsi" w:hint="default"/>
        <w:b w:val="0"/>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92527050">
    <w:abstractNumId w:val="0"/>
  </w:num>
  <w:num w:numId="2" w16cid:durableId="1833138077">
    <w:abstractNumId w:val="2"/>
  </w:num>
  <w:num w:numId="3" w16cid:durableId="4322114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501"/>
    <w:rsid w:val="00032C6B"/>
    <w:rsid w:val="00050CA3"/>
    <w:rsid w:val="00052299"/>
    <w:rsid w:val="00075DB3"/>
    <w:rsid w:val="000A3197"/>
    <w:rsid w:val="000A649D"/>
    <w:rsid w:val="000D0BA8"/>
    <w:rsid w:val="000E5D6A"/>
    <w:rsid w:val="00126B50"/>
    <w:rsid w:val="00141ABD"/>
    <w:rsid w:val="001D69F2"/>
    <w:rsid w:val="001F4F38"/>
    <w:rsid w:val="002024D0"/>
    <w:rsid w:val="0021630A"/>
    <w:rsid w:val="002238F3"/>
    <w:rsid w:val="002A6D58"/>
    <w:rsid w:val="002B627A"/>
    <w:rsid w:val="002C4236"/>
    <w:rsid w:val="00315D11"/>
    <w:rsid w:val="00350FAF"/>
    <w:rsid w:val="00393D45"/>
    <w:rsid w:val="00396D7B"/>
    <w:rsid w:val="003A3862"/>
    <w:rsid w:val="003C23CE"/>
    <w:rsid w:val="003D1B6C"/>
    <w:rsid w:val="003D72C8"/>
    <w:rsid w:val="003F6C26"/>
    <w:rsid w:val="004107BE"/>
    <w:rsid w:val="00416DD9"/>
    <w:rsid w:val="004873A1"/>
    <w:rsid w:val="0049762E"/>
    <w:rsid w:val="004A7EDD"/>
    <w:rsid w:val="004D524D"/>
    <w:rsid w:val="004E429D"/>
    <w:rsid w:val="004E7807"/>
    <w:rsid w:val="004F0DCA"/>
    <w:rsid w:val="00573C71"/>
    <w:rsid w:val="005B7214"/>
    <w:rsid w:val="005E4812"/>
    <w:rsid w:val="00604D7F"/>
    <w:rsid w:val="00682325"/>
    <w:rsid w:val="006C3F62"/>
    <w:rsid w:val="006C5BA2"/>
    <w:rsid w:val="006D3FBB"/>
    <w:rsid w:val="00755187"/>
    <w:rsid w:val="00781B81"/>
    <w:rsid w:val="00793DA8"/>
    <w:rsid w:val="007A0BC8"/>
    <w:rsid w:val="007F5300"/>
    <w:rsid w:val="00804B5A"/>
    <w:rsid w:val="00807734"/>
    <w:rsid w:val="008136B4"/>
    <w:rsid w:val="00843D76"/>
    <w:rsid w:val="008545D5"/>
    <w:rsid w:val="0085682B"/>
    <w:rsid w:val="00863B72"/>
    <w:rsid w:val="008E3F19"/>
    <w:rsid w:val="00900E8F"/>
    <w:rsid w:val="009327E5"/>
    <w:rsid w:val="009560A6"/>
    <w:rsid w:val="009A28ED"/>
    <w:rsid w:val="009E3964"/>
    <w:rsid w:val="009E7F94"/>
    <w:rsid w:val="009F0550"/>
    <w:rsid w:val="00A07CD4"/>
    <w:rsid w:val="00A14460"/>
    <w:rsid w:val="00A60D02"/>
    <w:rsid w:val="00A9392D"/>
    <w:rsid w:val="00AB386D"/>
    <w:rsid w:val="00AB3B80"/>
    <w:rsid w:val="00AC11CE"/>
    <w:rsid w:val="00AF38A2"/>
    <w:rsid w:val="00B40509"/>
    <w:rsid w:val="00B85C9C"/>
    <w:rsid w:val="00B95566"/>
    <w:rsid w:val="00BA6040"/>
    <w:rsid w:val="00BC7FCD"/>
    <w:rsid w:val="00BE7983"/>
    <w:rsid w:val="00C03AF8"/>
    <w:rsid w:val="00C07302"/>
    <w:rsid w:val="00C12ACD"/>
    <w:rsid w:val="00C60E8C"/>
    <w:rsid w:val="00C965E8"/>
    <w:rsid w:val="00D95730"/>
    <w:rsid w:val="00DC188A"/>
    <w:rsid w:val="00DC520D"/>
    <w:rsid w:val="00E07B1A"/>
    <w:rsid w:val="00E24B80"/>
    <w:rsid w:val="00E2551F"/>
    <w:rsid w:val="00E3706A"/>
    <w:rsid w:val="00E51041"/>
    <w:rsid w:val="00E55F2B"/>
    <w:rsid w:val="00E643CC"/>
    <w:rsid w:val="00E96BD6"/>
    <w:rsid w:val="00EA13EF"/>
    <w:rsid w:val="00EC0664"/>
    <w:rsid w:val="00EC5C9A"/>
    <w:rsid w:val="00ED5501"/>
    <w:rsid w:val="00EF2B04"/>
    <w:rsid w:val="00EF42C6"/>
    <w:rsid w:val="00F04524"/>
    <w:rsid w:val="00F1128E"/>
    <w:rsid w:val="00F1446C"/>
    <w:rsid w:val="00F21CE7"/>
    <w:rsid w:val="00F3434F"/>
    <w:rsid w:val="00F57EE0"/>
    <w:rsid w:val="00F76088"/>
    <w:rsid w:val="00F91293"/>
    <w:rsid w:val="00FA01C0"/>
    <w:rsid w:val="00FB070A"/>
    <w:rsid w:val="00FB5EE3"/>
    <w:rsid w:val="10BC6790"/>
    <w:rsid w:val="1192965C"/>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5896C8"/>
  <w15:chartTrackingRefBased/>
  <w15:docId w15:val="{70A2B330-C9B3-4DC7-BBE2-C717F8980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550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D550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D550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D550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D550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D5501"/>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D5501"/>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D5501"/>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D5501"/>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550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D550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D550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D550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D550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D550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D550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D550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D5501"/>
    <w:rPr>
      <w:rFonts w:eastAsiaTheme="majorEastAsia" w:cstheme="majorBidi"/>
      <w:color w:val="272727" w:themeColor="text1" w:themeTint="D8"/>
    </w:rPr>
  </w:style>
  <w:style w:type="paragraph" w:styleId="Title">
    <w:name w:val="Title"/>
    <w:basedOn w:val="Normal"/>
    <w:next w:val="Normal"/>
    <w:link w:val="TitleChar"/>
    <w:uiPriority w:val="10"/>
    <w:qFormat/>
    <w:rsid w:val="00ED5501"/>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550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D5501"/>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D550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D5501"/>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ED5501"/>
    <w:rPr>
      <w:i/>
      <w:iCs/>
      <w:color w:val="404040" w:themeColor="text1" w:themeTint="BF"/>
    </w:rPr>
  </w:style>
  <w:style w:type="paragraph" w:styleId="ListParagraph">
    <w:name w:val="List Paragraph"/>
    <w:basedOn w:val="Normal"/>
    <w:uiPriority w:val="34"/>
    <w:qFormat/>
    <w:rsid w:val="00ED5501"/>
    <w:pPr>
      <w:ind w:left="720"/>
      <w:contextualSpacing/>
    </w:pPr>
  </w:style>
  <w:style w:type="character" w:styleId="IntenseEmphasis">
    <w:name w:val="Intense Emphasis"/>
    <w:basedOn w:val="DefaultParagraphFont"/>
    <w:uiPriority w:val="21"/>
    <w:qFormat/>
    <w:rsid w:val="00ED5501"/>
    <w:rPr>
      <w:i/>
      <w:iCs/>
      <w:color w:val="0F4761" w:themeColor="accent1" w:themeShade="BF"/>
    </w:rPr>
  </w:style>
  <w:style w:type="paragraph" w:styleId="IntenseQuote">
    <w:name w:val="Intense Quote"/>
    <w:basedOn w:val="Normal"/>
    <w:next w:val="Normal"/>
    <w:link w:val="IntenseQuoteChar"/>
    <w:uiPriority w:val="30"/>
    <w:qFormat/>
    <w:rsid w:val="00ED550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D5501"/>
    <w:rPr>
      <w:i/>
      <w:iCs/>
      <w:color w:val="0F4761" w:themeColor="accent1" w:themeShade="BF"/>
    </w:rPr>
  </w:style>
  <w:style w:type="character" w:styleId="IntenseReference">
    <w:name w:val="Intense Reference"/>
    <w:basedOn w:val="DefaultParagraphFont"/>
    <w:uiPriority w:val="32"/>
    <w:qFormat/>
    <w:rsid w:val="00ED5501"/>
    <w:rPr>
      <w:b/>
      <w:bCs/>
      <w:smallCaps/>
      <w:color w:val="0F4761" w:themeColor="accent1" w:themeShade="BF"/>
      <w:spacing w:val="5"/>
    </w:rPr>
  </w:style>
  <w:style w:type="paragraph" w:styleId="Header">
    <w:name w:val="header"/>
    <w:basedOn w:val="Normal"/>
    <w:link w:val="HeaderChar"/>
    <w:uiPriority w:val="99"/>
    <w:unhideWhenUsed/>
    <w:rsid w:val="00ED5501"/>
    <w:pPr>
      <w:tabs>
        <w:tab w:val="center" w:pos="4680"/>
        <w:tab w:val="right" w:pos="9360"/>
      </w:tabs>
    </w:pPr>
  </w:style>
  <w:style w:type="character" w:customStyle="1" w:styleId="HeaderChar">
    <w:name w:val="Header Char"/>
    <w:basedOn w:val="DefaultParagraphFont"/>
    <w:link w:val="Header"/>
    <w:uiPriority w:val="99"/>
    <w:rsid w:val="00ED5501"/>
  </w:style>
  <w:style w:type="paragraph" w:styleId="Footer">
    <w:name w:val="footer"/>
    <w:basedOn w:val="Normal"/>
    <w:link w:val="FooterChar"/>
    <w:uiPriority w:val="99"/>
    <w:unhideWhenUsed/>
    <w:rsid w:val="00ED5501"/>
    <w:pPr>
      <w:tabs>
        <w:tab w:val="center" w:pos="4680"/>
        <w:tab w:val="right" w:pos="9360"/>
      </w:tabs>
    </w:pPr>
  </w:style>
  <w:style w:type="character" w:customStyle="1" w:styleId="FooterChar">
    <w:name w:val="Footer Char"/>
    <w:basedOn w:val="DefaultParagraphFont"/>
    <w:link w:val="Footer"/>
    <w:uiPriority w:val="99"/>
    <w:rsid w:val="00ED5501"/>
  </w:style>
  <w:style w:type="paragraph" w:customStyle="1" w:styleId="paragraph">
    <w:name w:val="paragraph"/>
    <w:basedOn w:val="Normal"/>
    <w:rsid w:val="00B95566"/>
    <w:pPr>
      <w:spacing w:before="100" w:beforeAutospacing="1" w:after="100" w:afterAutospacing="1"/>
    </w:pPr>
    <w:rPr>
      <w:rFonts w:ascii="Times New Roman" w:eastAsia="Times New Roman" w:hAnsi="Times New Roman" w:cs="Times New Roman"/>
      <w:kern w:val="0"/>
      <w:lang w:eastAsia="zh-CN" w:bidi="th-TH"/>
      <w14:ligatures w14:val="none"/>
    </w:rPr>
  </w:style>
  <w:style w:type="character" w:customStyle="1" w:styleId="normaltextrun">
    <w:name w:val="normaltextrun"/>
    <w:basedOn w:val="DefaultParagraphFont"/>
    <w:rsid w:val="00B95566"/>
  </w:style>
  <w:style w:type="character" w:customStyle="1" w:styleId="eop">
    <w:name w:val="eop"/>
    <w:basedOn w:val="DefaultParagraphFont"/>
    <w:rsid w:val="00B95566"/>
  </w:style>
  <w:style w:type="character" w:styleId="FootnoteReference">
    <w:name w:val="footnote reference"/>
    <w:semiHidden/>
    <w:rsid w:val="00F57EE0"/>
  </w:style>
  <w:style w:type="table" w:styleId="TableGrid">
    <w:name w:val="Table Grid"/>
    <w:basedOn w:val="TableNormal"/>
    <w:uiPriority w:val="59"/>
    <w:rsid w:val="00F57EE0"/>
    <w:pPr>
      <w:widowControl w:val="0"/>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F57EE0"/>
    <w:rPr>
      <w:rFonts w:ascii="Times New Roman" w:eastAsia="Times New Roman" w:hAnsi="Times New Roman" w:cs="Times New Roman"/>
      <w:kern w:val="0"/>
      <w:sz w:val="20"/>
      <w:szCs w:val="20"/>
      <w14:ligatures w14:val="none"/>
    </w:rPr>
  </w:style>
  <w:style w:type="character" w:customStyle="1" w:styleId="FootnoteTextChar">
    <w:name w:val="Footnote Text Char"/>
    <w:basedOn w:val="DefaultParagraphFont"/>
    <w:link w:val="FootnoteText"/>
    <w:uiPriority w:val="99"/>
    <w:rsid w:val="00F57EE0"/>
    <w:rPr>
      <w:rFonts w:ascii="Times New Roman" w:eastAsia="Times New Roman" w:hAnsi="Times New Roman" w:cs="Times New Roman"/>
      <w:kern w:val="0"/>
      <w:sz w:val="20"/>
      <w:szCs w:val="20"/>
      <w14:ligatures w14:val="none"/>
    </w:rPr>
  </w:style>
  <w:style w:type="character" w:styleId="Hyperlink">
    <w:name w:val="Hyperlink"/>
    <w:basedOn w:val="DefaultParagraphFont"/>
    <w:unhideWhenUsed/>
    <w:rsid w:val="00F57EE0"/>
    <w:rPr>
      <w:color w:val="0000FF"/>
      <w:u w:val="single"/>
    </w:rPr>
  </w:style>
  <w:style w:type="paragraph" w:styleId="BodyText">
    <w:name w:val="Body Text"/>
    <w:basedOn w:val="Normal"/>
    <w:link w:val="BodyTextChar"/>
    <w:rsid w:val="00F57EE0"/>
    <w:rPr>
      <w:rFonts w:ascii="Times New Roman" w:eastAsia="Times New Roman" w:hAnsi="Times New Roman" w:cs="Times New Roman"/>
      <w:kern w:val="0"/>
      <w:szCs w:val="20"/>
      <w14:ligatures w14:val="none"/>
    </w:rPr>
  </w:style>
  <w:style w:type="character" w:customStyle="1" w:styleId="BodyTextChar">
    <w:name w:val="Body Text Char"/>
    <w:basedOn w:val="DefaultParagraphFont"/>
    <w:link w:val="BodyText"/>
    <w:rsid w:val="00F57EE0"/>
    <w:rPr>
      <w:rFonts w:ascii="Times New Roman" w:eastAsia="Times New Roman" w:hAnsi="Times New Roman" w:cs="Times New Roman"/>
      <w:kern w:val="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929994">
      <w:bodyDiv w:val="1"/>
      <w:marLeft w:val="0"/>
      <w:marRight w:val="0"/>
      <w:marTop w:val="0"/>
      <w:marBottom w:val="0"/>
      <w:divBdr>
        <w:top w:val="none" w:sz="0" w:space="0" w:color="auto"/>
        <w:left w:val="none" w:sz="0" w:space="0" w:color="auto"/>
        <w:bottom w:val="none" w:sz="0" w:space="0" w:color="auto"/>
        <w:right w:val="none" w:sz="0" w:space="0" w:color="auto"/>
      </w:divBdr>
      <w:divsChild>
        <w:div w:id="1982611101">
          <w:marLeft w:val="0"/>
          <w:marRight w:val="0"/>
          <w:marTop w:val="0"/>
          <w:marBottom w:val="0"/>
          <w:divBdr>
            <w:top w:val="none" w:sz="0" w:space="0" w:color="auto"/>
            <w:left w:val="none" w:sz="0" w:space="0" w:color="auto"/>
            <w:bottom w:val="none" w:sz="0" w:space="0" w:color="auto"/>
            <w:right w:val="none" w:sz="0" w:space="0" w:color="auto"/>
          </w:divBdr>
          <w:divsChild>
            <w:div w:id="1838111500">
              <w:marLeft w:val="0"/>
              <w:marRight w:val="0"/>
              <w:marTop w:val="0"/>
              <w:marBottom w:val="0"/>
              <w:divBdr>
                <w:top w:val="none" w:sz="0" w:space="0" w:color="auto"/>
                <w:left w:val="none" w:sz="0" w:space="0" w:color="auto"/>
                <w:bottom w:val="none" w:sz="0" w:space="0" w:color="auto"/>
                <w:right w:val="none" w:sz="0" w:space="0" w:color="auto"/>
              </w:divBdr>
            </w:div>
          </w:divsChild>
        </w:div>
        <w:div w:id="1176336110">
          <w:marLeft w:val="0"/>
          <w:marRight w:val="0"/>
          <w:marTop w:val="0"/>
          <w:marBottom w:val="0"/>
          <w:divBdr>
            <w:top w:val="none" w:sz="0" w:space="0" w:color="auto"/>
            <w:left w:val="none" w:sz="0" w:space="0" w:color="auto"/>
            <w:bottom w:val="none" w:sz="0" w:space="0" w:color="auto"/>
            <w:right w:val="none" w:sz="0" w:space="0" w:color="auto"/>
          </w:divBdr>
          <w:divsChild>
            <w:div w:id="896403198">
              <w:marLeft w:val="0"/>
              <w:marRight w:val="0"/>
              <w:marTop w:val="0"/>
              <w:marBottom w:val="0"/>
              <w:divBdr>
                <w:top w:val="none" w:sz="0" w:space="0" w:color="auto"/>
                <w:left w:val="none" w:sz="0" w:space="0" w:color="auto"/>
                <w:bottom w:val="none" w:sz="0" w:space="0" w:color="auto"/>
                <w:right w:val="none" w:sz="0" w:space="0" w:color="auto"/>
              </w:divBdr>
            </w:div>
          </w:divsChild>
        </w:div>
        <w:div w:id="1165978462">
          <w:marLeft w:val="0"/>
          <w:marRight w:val="0"/>
          <w:marTop w:val="0"/>
          <w:marBottom w:val="0"/>
          <w:divBdr>
            <w:top w:val="none" w:sz="0" w:space="0" w:color="auto"/>
            <w:left w:val="none" w:sz="0" w:space="0" w:color="auto"/>
            <w:bottom w:val="none" w:sz="0" w:space="0" w:color="auto"/>
            <w:right w:val="none" w:sz="0" w:space="0" w:color="auto"/>
          </w:divBdr>
          <w:divsChild>
            <w:div w:id="1141188919">
              <w:marLeft w:val="0"/>
              <w:marRight w:val="0"/>
              <w:marTop w:val="0"/>
              <w:marBottom w:val="0"/>
              <w:divBdr>
                <w:top w:val="none" w:sz="0" w:space="0" w:color="auto"/>
                <w:left w:val="none" w:sz="0" w:space="0" w:color="auto"/>
                <w:bottom w:val="none" w:sz="0" w:space="0" w:color="auto"/>
                <w:right w:val="none" w:sz="0" w:space="0" w:color="auto"/>
              </w:divBdr>
            </w:div>
          </w:divsChild>
        </w:div>
        <w:div w:id="199980415">
          <w:marLeft w:val="0"/>
          <w:marRight w:val="0"/>
          <w:marTop w:val="0"/>
          <w:marBottom w:val="0"/>
          <w:divBdr>
            <w:top w:val="none" w:sz="0" w:space="0" w:color="auto"/>
            <w:left w:val="none" w:sz="0" w:space="0" w:color="auto"/>
            <w:bottom w:val="none" w:sz="0" w:space="0" w:color="auto"/>
            <w:right w:val="none" w:sz="0" w:space="0" w:color="auto"/>
          </w:divBdr>
          <w:divsChild>
            <w:div w:id="51518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ateway.edu.state.ma.us/edu/myportal/meoe"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yperlink" Target="mailto:Brenton.Stewart@mass.gov"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gateway.edu.state.ma.us/stardust/home"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gateway.edu.state.ma.us/ResourceList"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renton.Stewart@mass.gov"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fdcd57df-05e8-4749-9cc8-5afe3dcd00a5" xsi:nil="true"/>
    <lcf76f155ced4ddcb4097134ff3c332f xmlns="b4f9eb54-60b0-4ef1-b507-fba3c7eb8bf0">
      <Terms xmlns="http://schemas.microsoft.com/office/infopath/2007/PartnerControls"/>
    </lcf76f155ced4ddcb4097134ff3c332f>
    <SharedWithUsers xmlns="fdcd57df-05e8-4749-9cc8-5afe3dcd00a5">
      <UserInfo>
        <DisplayName>Ahern, Elizabeth (DESE)</DisplayName>
        <AccountId>362</AccountId>
        <AccountType/>
      </UserInfo>
      <UserInfo>
        <DisplayName>SharingLinks.1e8ad36c-354d-5088-b767-f3b151162e66.Flexible.1fdbe793-a14e-4aa5-9f69-5009c04ae4fc</DisplayName>
        <AccountId>1864</AccountId>
        <AccountType/>
      </UserInfo>
      <UserInfo>
        <DisplayName>zzRodriguez, Minerva (DESE)</DisplayName>
        <AccountId>520</AccountId>
        <AccountType/>
      </UserInfo>
      <UserInfo>
        <DisplayName>Codreanu, Dan (DESE)</DisplayName>
        <AccountId>111</AccountId>
        <AccountType/>
      </UserInfo>
      <UserInfo>
        <DisplayName>Swinton, Amena (DESE)</DisplayName>
        <AccountId>26</AccountId>
        <AccountType/>
      </UserInfo>
      <UserInfo>
        <DisplayName>Benbenek, Jeffrey (DESE)</DisplayName>
        <AccountId>539</AccountId>
        <AccountType/>
      </UserInfo>
      <UserInfo>
        <DisplayName>ESE-SHARE-OASES-READ-ONLY</DisplayName>
        <AccountId>235</AccountId>
        <AccountType/>
      </UserInfo>
      <UserInfo>
        <DisplayName>Danos, Todd (EOE)</DisplayName>
        <AccountId>27</AccountId>
        <AccountType/>
      </UserInfo>
      <UserInfo>
        <DisplayName>Varon, Joshua (DESE)</DisplayName>
        <AccountId>339</AccountId>
        <AccountType/>
      </UserInfo>
      <UserInfo>
        <DisplayName>Harney, Lisa (DESE)</DisplayName>
        <AccountId>25</AccountId>
        <AccountType/>
      </UserInfo>
      <UserInfo>
        <DisplayName>Dodd, Unique (EEC)</DisplayName>
        <AccountId>551</AccountId>
        <AccountType/>
      </UserInfo>
      <UserInfo>
        <DisplayName>ESE-SHARE-OSPRE-RW</DisplayName>
        <AccountId>440</AccountId>
        <AccountType/>
      </UserInfo>
      <UserInfo>
        <DisplayName>DeLorenzo, Lee E (DESE)</DisplayName>
        <AccountId>83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69EED98F6272644B693E6BBBB80AC28" ma:contentTypeVersion="16" ma:contentTypeDescription="Create a new document." ma:contentTypeScope="" ma:versionID="57e7f16b06fffae05c8424d30e5bdbb2">
  <xsd:schema xmlns:xsd="http://www.w3.org/2001/XMLSchema" xmlns:xs="http://www.w3.org/2001/XMLSchema" xmlns:p="http://schemas.microsoft.com/office/2006/metadata/properties" xmlns:ns2="b4f9eb54-60b0-4ef1-b507-fba3c7eb8bf0" xmlns:ns3="fdcd57df-05e8-4749-9cc8-5afe3dcd00a5" targetNamespace="http://schemas.microsoft.com/office/2006/metadata/properties" ma:root="true" ma:fieldsID="6f86106f06ecdf706c6e02cff8704f74" ns2:_="" ns3:_="">
    <xsd:import namespace="b4f9eb54-60b0-4ef1-b507-fba3c7eb8bf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f9eb54-60b0-4ef1-b507-fba3c7eb8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71EDCF-09C3-4842-9A92-E745491FD0B9}">
  <ds:schemaRefs>
    <ds:schemaRef ds:uri="http://schemas.openxmlformats.org/officeDocument/2006/bibliography"/>
  </ds:schemaRefs>
</ds:datastoreItem>
</file>

<file path=customXml/itemProps2.xml><?xml version="1.0" encoding="utf-8"?>
<ds:datastoreItem xmlns:ds="http://schemas.openxmlformats.org/officeDocument/2006/customXml" ds:itemID="{A7C64CD0-6E98-4E44-BDA7-DCA2642942A4}">
  <ds:schemaRefs>
    <ds:schemaRef ds:uri="http://schemas.microsoft.com/office/2006/metadata/properties"/>
    <ds:schemaRef ds:uri="http://schemas.microsoft.com/office/infopath/2007/PartnerControls"/>
    <ds:schemaRef ds:uri="fdcd57df-05e8-4749-9cc8-5afe3dcd00a5"/>
    <ds:schemaRef ds:uri="b4f9eb54-60b0-4ef1-b507-fba3c7eb8bf0"/>
  </ds:schemaRefs>
</ds:datastoreItem>
</file>

<file path=customXml/itemProps3.xml><?xml version="1.0" encoding="utf-8"?>
<ds:datastoreItem xmlns:ds="http://schemas.openxmlformats.org/officeDocument/2006/customXml" ds:itemID="{AD6ADCD2-DD8C-47FA-81DA-CC382BF1D19B}">
  <ds:schemaRefs>
    <ds:schemaRef ds:uri="http://schemas.microsoft.com/sharepoint/v3/contenttype/forms"/>
  </ds:schemaRefs>
</ds:datastoreItem>
</file>

<file path=customXml/itemProps4.xml><?xml version="1.0" encoding="utf-8"?>
<ds:datastoreItem xmlns:ds="http://schemas.openxmlformats.org/officeDocument/2006/customXml" ds:itemID="{23AC37FE-3B2E-455A-AC66-46EF179EA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f9eb54-60b0-4ef1-b507-fba3c7eb8bf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1090</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2024-2025 Commonwealth Virtual School Pre-enrollment Memorandum and Instructions</vt:lpstr>
    </vt:vector>
  </TitlesOfParts>
  <Company/>
  <LinksUpToDate>false</LinksUpToDate>
  <CharactersWithSpaces>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 Commonwealth Virtual School Pre-enrollment Memorandum and Instructions</dc:title>
  <dc:subject/>
  <dc:creator>DESE</dc:creator>
  <cp:keywords/>
  <dc:description/>
  <cp:lastModifiedBy>Zou, Dong (EOE)</cp:lastModifiedBy>
  <cp:revision>4</cp:revision>
  <cp:lastPrinted>2024-03-18T15:40:00Z</cp:lastPrinted>
  <dcterms:created xsi:type="dcterms:W3CDTF">2024-04-03T13:22:00Z</dcterms:created>
  <dcterms:modified xsi:type="dcterms:W3CDTF">2024-04-04T19:16:00Z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4 2024 12:00AM</vt:lpwstr>
  </property>
</Properties>
</file>