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A3B38" w14:textId="77777777" w:rsidR="00CA19B4" w:rsidRPr="00200779" w:rsidRDefault="002E05D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00E82DB" w14:textId="77777777" w:rsidR="00CA19B4" w:rsidRDefault="002E1690" w:rsidP="00CA19B4">
      <w:pPr>
        <w:jc w:val="center"/>
        <w:rPr>
          <w:rFonts w:ascii="Times New Roman" w:hAnsi="Times New Roman" w:cs="Times New Roman"/>
          <w:sz w:val="24"/>
          <w:szCs w:val="24"/>
        </w:rPr>
      </w:pPr>
    </w:p>
    <w:p w14:paraId="47BEB5CF" w14:textId="77777777" w:rsidR="00CA19B4" w:rsidRDefault="002E05D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A51A1DD" w14:textId="77777777" w:rsidR="00CA19B4" w:rsidRDefault="002E1690" w:rsidP="00CA19B4">
      <w:pPr>
        <w:rPr>
          <w:rFonts w:ascii="Times New Roman" w:hAnsi="Times New Roman" w:cs="Times New Roman"/>
          <w:sz w:val="20"/>
          <w:szCs w:val="20"/>
        </w:rPr>
      </w:pPr>
    </w:p>
    <w:p w14:paraId="28BB8FCD" w14:textId="77777777" w:rsidR="00CA19B4" w:rsidRDefault="002E1690" w:rsidP="00CA19B4">
      <w:pPr>
        <w:rPr>
          <w:rFonts w:ascii="Times New Roman" w:hAnsi="Times New Roman" w:cs="Times New Roman"/>
          <w:sz w:val="20"/>
          <w:szCs w:val="20"/>
        </w:rPr>
      </w:pPr>
    </w:p>
    <w:p w14:paraId="3E887055" w14:textId="77777777" w:rsidR="00CA19B4" w:rsidRPr="00B63138" w:rsidRDefault="002E05D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Benjamin Franklin Classical Charter</w:t>
      </w:r>
      <w:bookmarkEnd w:id="0"/>
    </w:p>
    <w:p w14:paraId="134A43F3" w14:textId="77777777" w:rsidR="00CA19B4" w:rsidRDefault="002E1690" w:rsidP="00CA19B4">
      <w:pPr>
        <w:rPr>
          <w:rFonts w:ascii="Times New Roman" w:hAnsi="Times New Roman" w:cs="Times New Roman"/>
          <w:sz w:val="20"/>
          <w:szCs w:val="20"/>
        </w:rPr>
      </w:pPr>
    </w:p>
    <w:p w14:paraId="231D774E" w14:textId="77777777" w:rsidR="00CA19B4" w:rsidRDefault="002E05D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02/15/2022</w:t>
      </w:r>
      <w:bookmarkEnd w:id="1"/>
    </w:p>
    <w:p w14:paraId="3C769D63" w14:textId="77777777" w:rsidR="00CA19B4" w:rsidRDefault="002E1690" w:rsidP="00CA19B4">
      <w:pPr>
        <w:rPr>
          <w:rFonts w:ascii="Times New Roman" w:hAnsi="Times New Roman" w:cs="Times New Roman"/>
          <w:sz w:val="20"/>
          <w:szCs w:val="20"/>
        </w:rPr>
      </w:pPr>
    </w:p>
    <w:p w14:paraId="2D80C5B1" w14:textId="77777777" w:rsidR="00CA19B4" w:rsidRDefault="002E05D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02/15/2022</w:t>
      </w:r>
      <w:bookmarkEnd w:id="2"/>
    </w:p>
    <w:p w14:paraId="402CF244" w14:textId="77777777" w:rsidR="00CA19B4" w:rsidRDefault="002E05D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756E1D0" w14:textId="77777777" w:rsidR="00CA19B4" w:rsidRDefault="002E1690" w:rsidP="00CA19B4">
      <w:pPr>
        <w:pBdr>
          <w:bottom w:val="single" w:sz="12" w:space="1" w:color="auto"/>
        </w:pBdr>
        <w:rPr>
          <w:rFonts w:ascii="Times New Roman" w:hAnsi="Times New Roman" w:cs="Times New Roman"/>
          <w:sz w:val="20"/>
          <w:szCs w:val="20"/>
        </w:rPr>
      </w:pPr>
    </w:p>
    <w:p w14:paraId="7B21AA7F" w14:textId="77777777" w:rsidR="00CA19B4" w:rsidRDefault="002E05D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596C458" w14:textId="77777777" w:rsidR="00CA19B4" w:rsidRDefault="002E1690" w:rsidP="00CA19B4">
      <w:pPr>
        <w:rPr>
          <w:rFonts w:ascii="Times New Roman" w:hAnsi="Times New Roman" w:cs="Times New Roman"/>
          <w:sz w:val="20"/>
          <w:szCs w:val="20"/>
        </w:rPr>
      </w:pPr>
    </w:p>
    <w:p w14:paraId="13F747B4" w14:textId="77777777" w:rsidR="00CA19B4" w:rsidRPr="00223718" w:rsidRDefault="002E05D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0866ECE" w14:textId="77777777" w:rsidR="00CA19B4" w:rsidRDefault="002E1690" w:rsidP="00CA19B4">
      <w:pPr>
        <w:rPr>
          <w:rFonts w:ascii="Times New Roman" w:hAnsi="Times New Roman" w:cs="Times New Roman"/>
          <w:sz w:val="20"/>
          <w:szCs w:val="20"/>
        </w:rPr>
      </w:pPr>
    </w:p>
    <w:p w14:paraId="105580F9" w14:textId="77777777" w:rsidR="00CA19B4" w:rsidRDefault="002E05D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B418369" w14:textId="77777777" w:rsidR="00CA19B4" w:rsidRDefault="002E1690" w:rsidP="00CA19B4">
      <w:pPr>
        <w:ind w:left="720"/>
        <w:rPr>
          <w:rFonts w:ascii="Times New Roman" w:hAnsi="Times New Roman" w:cs="Times New Roman"/>
          <w:sz w:val="20"/>
          <w:szCs w:val="20"/>
        </w:rPr>
      </w:pPr>
    </w:p>
    <w:bookmarkStart w:id="3" w:name="CHK_SBP"/>
    <w:p w14:paraId="5B5B1A66" w14:textId="77777777" w:rsidR="00CA19B4" w:rsidRDefault="002E05D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110B14A" w14:textId="77777777" w:rsidR="00CA19B4" w:rsidRDefault="002E05D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86E55DA" w14:textId="77777777" w:rsidR="00CA19B4" w:rsidRDefault="002E05D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BE04A3D" w14:textId="77777777" w:rsidR="00CA19B4" w:rsidRDefault="002E05D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68CC8EC" w14:textId="77777777" w:rsidR="00CA19B4" w:rsidRDefault="002E05D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204D981" w14:textId="77777777" w:rsidR="00CA19B4" w:rsidRDefault="002E05D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F19068D" w14:textId="77777777" w:rsidR="00CA19B4" w:rsidRDefault="002E1690" w:rsidP="00CA19B4">
      <w:pPr>
        <w:rPr>
          <w:rFonts w:ascii="Times New Roman" w:hAnsi="Times New Roman" w:cs="Times New Roman"/>
          <w:sz w:val="20"/>
          <w:szCs w:val="20"/>
        </w:rPr>
      </w:pPr>
    </w:p>
    <w:p w14:paraId="1E1D1D27" w14:textId="77777777" w:rsidR="00CA19B4" w:rsidRDefault="002E05D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DF4110C" w14:textId="77777777" w:rsidR="00CA19B4" w:rsidRDefault="002E1690" w:rsidP="00CA19B4">
      <w:pPr>
        <w:ind w:left="720"/>
        <w:rPr>
          <w:rFonts w:ascii="Times New Roman" w:hAnsi="Times New Roman" w:cs="Times New Roman"/>
          <w:sz w:val="20"/>
          <w:szCs w:val="20"/>
        </w:rPr>
      </w:pPr>
    </w:p>
    <w:bookmarkStart w:id="9" w:name="CHK_CEP"/>
    <w:p w14:paraId="773ED5D1" w14:textId="77777777" w:rsidR="00CA19B4" w:rsidRDefault="002E05D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09DB8AC" w14:textId="77777777" w:rsidR="00CA19B4" w:rsidRDefault="002E05D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DC28129" w14:textId="77777777" w:rsidR="00CA19B4" w:rsidRDefault="002E05D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9E20A91" w14:textId="77777777" w:rsidR="00CA19B4" w:rsidRDefault="002E05D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1690">
        <w:rPr>
          <w:rFonts w:ascii="Times New Roman" w:hAnsi="Times New Roman" w:cs="Times New Roman"/>
          <w:sz w:val="20"/>
          <w:szCs w:val="20"/>
        </w:rPr>
      </w:r>
      <w:r w:rsidR="002E169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FBC1C23" w14:textId="77777777" w:rsidR="00CA19B4" w:rsidRDefault="002E1690" w:rsidP="00CA19B4">
      <w:pPr>
        <w:rPr>
          <w:rFonts w:ascii="Times New Roman" w:hAnsi="Times New Roman" w:cs="Times New Roman"/>
          <w:sz w:val="20"/>
          <w:szCs w:val="20"/>
        </w:rPr>
      </w:pPr>
    </w:p>
    <w:p w14:paraId="4E906526" w14:textId="77777777" w:rsidR="00CA19B4" w:rsidRPr="00D6151F" w:rsidRDefault="002E05D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4853501" w14:textId="77777777" w:rsidR="00CA19B4" w:rsidRDefault="002E1690" w:rsidP="00CA19B4">
      <w:pPr>
        <w:rPr>
          <w:rFonts w:ascii="Times New Roman" w:hAnsi="Times New Roman" w:cs="Times New Roman"/>
          <w:sz w:val="20"/>
          <w:szCs w:val="20"/>
        </w:rPr>
      </w:pPr>
    </w:p>
    <w:p w14:paraId="554F24CE" w14:textId="77777777" w:rsidR="00CA19B4" w:rsidRDefault="002E05D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843CA93" w14:textId="77777777" w:rsidR="00CA19B4" w:rsidRDefault="002E05D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2E1690">
        <w:rPr>
          <w:rFonts w:ascii="MS Gothic" w:eastAsia="MS Gothic" w:hAnsi="Times New Roman" w:cs="Times New Roman"/>
          <w:sz w:val="20"/>
          <w:szCs w:val="20"/>
        </w:rPr>
      </w:r>
      <w:r w:rsidR="002E169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2E1690">
        <w:rPr>
          <w:rFonts w:ascii="MS Gothic" w:eastAsia="MS Gothic" w:hAnsi="Times New Roman" w:cs="Times New Roman"/>
          <w:sz w:val="20"/>
          <w:szCs w:val="20"/>
        </w:rPr>
      </w:r>
      <w:r w:rsidR="002E169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BBF5E24" w14:textId="77777777" w:rsidR="00CA19B4" w:rsidRDefault="002E1690" w:rsidP="00CA19B4">
      <w:pPr>
        <w:ind w:firstLine="720"/>
        <w:rPr>
          <w:rFonts w:ascii="Times New Roman" w:hAnsi="Times New Roman" w:cs="Times New Roman"/>
          <w:sz w:val="20"/>
          <w:szCs w:val="20"/>
        </w:rPr>
      </w:pPr>
    </w:p>
    <w:p w14:paraId="378B64C5" w14:textId="77777777" w:rsidR="00CA19B4" w:rsidRDefault="002E05D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9A59D4C" w14:textId="77777777" w:rsidR="006D68B7" w:rsidRDefault="002E1690">
      <w:pPr>
        <w:sectPr w:rsidR="006D68B7" w:rsidSect="005B420A">
          <w:footerReference w:type="default" r:id="rId9"/>
          <w:pgSz w:w="12240" w:h="15840"/>
          <w:pgMar w:top="1440" w:right="1440" w:bottom="1440" w:left="1440" w:header="720" w:footer="720" w:gutter="0"/>
          <w:cols w:space="720"/>
        </w:sectPr>
      </w:pPr>
    </w:p>
    <w:p w14:paraId="6190749A" w14:textId="77777777" w:rsidR="00A53CEA" w:rsidRDefault="002E1690" w:rsidP="00A53CEA">
      <w:pPr>
        <w:pStyle w:val="Normal0"/>
        <w:ind w:firstLine="720"/>
        <w:rPr>
          <w:rFonts w:ascii="Times New Roman" w:hAnsi="Times New Roman" w:cs="Times New Roman"/>
          <w:sz w:val="20"/>
          <w:szCs w:val="20"/>
        </w:rPr>
      </w:pPr>
    </w:p>
    <w:p w14:paraId="7DD62BDB" w14:textId="77777777" w:rsidR="00A53CEA" w:rsidRPr="00C61944" w:rsidRDefault="002E05D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38B6" w14:paraId="47B8DACA" w14:textId="77777777" w:rsidTr="008175F8">
        <w:trPr>
          <w:trHeight w:val="37"/>
        </w:trPr>
        <w:tc>
          <w:tcPr>
            <w:tcW w:w="8545" w:type="dxa"/>
            <w:shd w:val="clear" w:color="auto" w:fill="31849B" w:themeFill="accent5" w:themeFillShade="BF"/>
          </w:tcPr>
          <w:p w14:paraId="1C5D70B0" w14:textId="77777777" w:rsidR="00A53CEA" w:rsidRPr="005B0132" w:rsidRDefault="002E05D8" w:rsidP="008175F8">
            <w:pPr>
              <w:pStyle w:val="Normal0"/>
              <w:rPr>
                <w:rFonts w:asciiTheme="minorHAnsi" w:hAnsiTheme="minorHAnsi" w:cstheme="minorHAnsi"/>
                <w:b/>
                <w:i/>
                <w:color w:val="DBE5F1" w:themeColor="accent1" w:themeTint="33"/>
                <w:sz w:val="32"/>
                <w:szCs w:val="20"/>
              </w:rPr>
            </w:pPr>
            <w:r>
              <w:t>Program Access and Reimbursement</w:t>
            </w:r>
          </w:p>
        </w:tc>
      </w:tr>
      <w:tr w:rsidR="00CE38B6" w14:paraId="52124AFD" w14:textId="77777777" w:rsidTr="008175F8">
        <w:trPr>
          <w:trHeight w:val="37"/>
        </w:trPr>
        <w:tc>
          <w:tcPr>
            <w:tcW w:w="8545" w:type="dxa"/>
            <w:shd w:val="clear" w:color="auto" w:fill="D9D9D9" w:themeFill="background1" w:themeFillShade="D9"/>
          </w:tcPr>
          <w:p w14:paraId="19AE62D5" w14:textId="77777777" w:rsidR="00A53CEA" w:rsidRPr="0076532F" w:rsidRDefault="002E05D8" w:rsidP="008175F8">
            <w:pPr>
              <w:pStyle w:val="Normal0"/>
              <w:rPr>
                <w:rFonts w:ascii="Times New Roman" w:hAnsi="Times New Roman" w:cs="Times New Roman"/>
                <w:b/>
                <w:sz w:val="20"/>
                <w:szCs w:val="20"/>
              </w:rPr>
            </w:pPr>
            <w:r>
              <w:t>Meal Counting and Claiming</w:t>
            </w:r>
          </w:p>
        </w:tc>
      </w:tr>
      <w:tr w:rsidR="00CE38B6" w14:paraId="2B11F95D" w14:textId="77777777" w:rsidTr="008175F8">
        <w:trPr>
          <w:trHeight w:val="37"/>
        </w:trPr>
        <w:tc>
          <w:tcPr>
            <w:tcW w:w="8545" w:type="dxa"/>
            <w:shd w:val="clear" w:color="auto" w:fill="auto"/>
          </w:tcPr>
          <w:p w14:paraId="22D39BF0"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 The school food authority shall establish internal controls which ensure the accuracy of meal counts prior to the submission of the monthly Claim for Reimbursement. One or more meal count totals were not combined and recorded correctly.</w:t>
            </w:r>
          </w:p>
        </w:tc>
      </w:tr>
      <w:tr w:rsidR="00CE38B6" w14:paraId="4B006DCA" w14:textId="77777777" w:rsidTr="008175F8">
        <w:trPr>
          <w:trHeight w:val="37"/>
        </w:trPr>
        <w:tc>
          <w:tcPr>
            <w:tcW w:w="8545" w:type="dxa"/>
            <w:shd w:val="clear" w:color="auto" w:fill="auto"/>
          </w:tcPr>
          <w:p w14:paraId="6B9840F2"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CE38B6" w14:paraId="65340AE1" w14:textId="77777777" w:rsidTr="008175F8">
        <w:trPr>
          <w:trHeight w:val="37"/>
        </w:trPr>
        <w:tc>
          <w:tcPr>
            <w:tcW w:w="8545" w:type="dxa"/>
            <w:shd w:val="clear" w:color="auto" w:fill="31849B" w:themeFill="accent5" w:themeFillShade="BF"/>
          </w:tcPr>
          <w:p w14:paraId="6A80AB2F" w14:textId="77777777" w:rsidR="00A53CEA" w:rsidRPr="005B0132" w:rsidRDefault="002E05D8" w:rsidP="008175F8">
            <w:pPr>
              <w:pStyle w:val="Normal0"/>
              <w:rPr>
                <w:rFonts w:asciiTheme="minorHAnsi" w:hAnsiTheme="minorHAnsi" w:cstheme="minorHAnsi"/>
                <w:b/>
                <w:i/>
                <w:color w:val="DBE5F1" w:themeColor="accent1" w:themeTint="33"/>
                <w:sz w:val="32"/>
                <w:szCs w:val="20"/>
              </w:rPr>
            </w:pPr>
            <w:r>
              <w:t>Meal Patterns and Nutritional Quality</w:t>
            </w:r>
          </w:p>
        </w:tc>
      </w:tr>
      <w:tr w:rsidR="00CE38B6" w14:paraId="3FB9D96F" w14:textId="77777777" w:rsidTr="008175F8">
        <w:trPr>
          <w:trHeight w:val="37"/>
        </w:trPr>
        <w:tc>
          <w:tcPr>
            <w:tcW w:w="8545" w:type="dxa"/>
            <w:shd w:val="clear" w:color="auto" w:fill="D9D9D9" w:themeFill="background1" w:themeFillShade="D9"/>
          </w:tcPr>
          <w:p w14:paraId="18924DA8" w14:textId="77777777" w:rsidR="00A53CEA" w:rsidRPr="0076532F" w:rsidRDefault="002E05D8" w:rsidP="008175F8">
            <w:pPr>
              <w:pStyle w:val="Normal0"/>
              <w:rPr>
                <w:rFonts w:ascii="Times New Roman" w:hAnsi="Times New Roman" w:cs="Times New Roman"/>
                <w:b/>
                <w:sz w:val="20"/>
                <w:szCs w:val="20"/>
              </w:rPr>
            </w:pPr>
            <w:r>
              <w:t>Meal Components and Quantities</w:t>
            </w:r>
          </w:p>
        </w:tc>
      </w:tr>
      <w:tr w:rsidR="00CE38B6" w14:paraId="780CE40D" w14:textId="77777777" w:rsidTr="008175F8">
        <w:trPr>
          <w:trHeight w:val="37"/>
        </w:trPr>
        <w:tc>
          <w:tcPr>
            <w:tcW w:w="8545" w:type="dxa"/>
            <w:shd w:val="clear" w:color="auto" w:fill="auto"/>
          </w:tcPr>
          <w:p w14:paraId="57D74207"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CE38B6" w14:paraId="0831588A" w14:textId="77777777" w:rsidTr="008175F8">
        <w:trPr>
          <w:trHeight w:val="37"/>
        </w:trPr>
        <w:tc>
          <w:tcPr>
            <w:tcW w:w="8545" w:type="dxa"/>
            <w:shd w:val="clear" w:color="auto" w:fill="31849B" w:themeFill="accent5" w:themeFillShade="BF"/>
          </w:tcPr>
          <w:p w14:paraId="2195BAF0" w14:textId="77777777" w:rsidR="00A53CEA" w:rsidRPr="005B0132" w:rsidRDefault="002E05D8" w:rsidP="008175F8">
            <w:pPr>
              <w:pStyle w:val="Normal0"/>
              <w:rPr>
                <w:rFonts w:asciiTheme="minorHAnsi" w:hAnsiTheme="minorHAnsi" w:cstheme="minorHAnsi"/>
                <w:b/>
                <w:i/>
                <w:color w:val="DBE5F1" w:themeColor="accent1" w:themeTint="33"/>
                <w:sz w:val="32"/>
                <w:szCs w:val="20"/>
              </w:rPr>
            </w:pPr>
            <w:r>
              <w:t>School Nutrition Environment</w:t>
            </w:r>
          </w:p>
        </w:tc>
      </w:tr>
      <w:tr w:rsidR="00CE38B6" w14:paraId="716E8FAD" w14:textId="77777777" w:rsidTr="008175F8">
        <w:trPr>
          <w:trHeight w:val="37"/>
        </w:trPr>
        <w:tc>
          <w:tcPr>
            <w:tcW w:w="8545" w:type="dxa"/>
            <w:shd w:val="clear" w:color="auto" w:fill="D9D9D9" w:themeFill="background1" w:themeFillShade="D9"/>
          </w:tcPr>
          <w:p w14:paraId="681E6751" w14:textId="77777777" w:rsidR="00A53CEA" w:rsidRPr="0076532F" w:rsidRDefault="002E05D8" w:rsidP="008175F8">
            <w:pPr>
              <w:pStyle w:val="Normal0"/>
              <w:rPr>
                <w:rFonts w:ascii="Times New Roman" w:hAnsi="Times New Roman" w:cs="Times New Roman"/>
                <w:b/>
                <w:sz w:val="20"/>
                <w:szCs w:val="20"/>
              </w:rPr>
            </w:pPr>
            <w:r>
              <w:t>Food Safety</w:t>
            </w:r>
          </w:p>
        </w:tc>
      </w:tr>
      <w:tr w:rsidR="00CE38B6" w14:paraId="1BE830C1" w14:textId="77777777" w:rsidTr="008175F8">
        <w:trPr>
          <w:trHeight w:val="37"/>
        </w:trPr>
        <w:tc>
          <w:tcPr>
            <w:tcW w:w="8545" w:type="dxa"/>
            <w:shd w:val="clear" w:color="auto" w:fill="auto"/>
          </w:tcPr>
          <w:p w14:paraId="398AC65A"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CE38B6" w14:paraId="50654E4E" w14:textId="77777777" w:rsidTr="008175F8">
        <w:trPr>
          <w:trHeight w:val="37"/>
        </w:trPr>
        <w:tc>
          <w:tcPr>
            <w:tcW w:w="8545" w:type="dxa"/>
            <w:shd w:val="clear" w:color="auto" w:fill="auto"/>
          </w:tcPr>
          <w:p w14:paraId="35A32F96"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w:t>
            </w:r>
          </w:p>
        </w:tc>
      </w:tr>
      <w:tr w:rsidR="00CE38B6" w14:paraId="34494822" w14:textId="77777777" w:rsidTr="008175F8">
        <w:trPr>
          <w:trHeight w:val="37"/>
        </w:trPr>
        <w:tc>
          <w:tcPr>
            <w:tcW w:w="8545" w:type="dxa"/>
            <w:shd w:val="clear" w:color="auto" w:fill="auto"/>
          </w:tcPr>
          <w:p w14:paraId="5979E4BF"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 One or more foodservice employees have not been trained on fire extinguisher procedures. All foodservice employees must be trained to use the fire extinguisher(s).</w:t>
            </w:r>
          </w:p>
        </w:tc>
      </w:tr>
      <w:tr w:rsidR="00CE38B6" w14:paraId="76F7E0D8" w14:textId="77777777" w:rsidTr="008175F8">
        <w:trPr>
          <w:trHeight w:val="37"/>
        </w:trPr>
        <w:tc>
          <w:tcPr>
            <w:tcW w:w="8545" w:type="dxa"/>
            <w:shd w:val="clear" w:color="auto" w:fill="auto"/>
          </w:tcPr>
          <w:p w14:paraId="7A610488"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 xml:space="preserve">Program facilities are not off-limits to unauthorized personnel. Facilities for the handling, storage, and distribution of purchased and donated foods must properly safeguarded against theft, </w:t>
            </w:r>
            <w:proofErr w:type="gramStart"/>
            <w:r>
              <w:t>spoilage</w:t>
            </w:r>
            <w:proofErr w:type="gramEnd"/>
            <w:r>
              <w:t xml:space="preserve"> and other loss.</w:t>
            </w:r>
          </w:p>
        </w:tc>
      </w:tr>
      <w:tr w:rsidR="00CE38B6" w14:paraId="3FC85BE7" w14:textId="77777777" w:rsidTr="008175F8">
        <w:trPr>
          <w:trHeight w:val="37"/>
        </w:trPr>
        <w:tc>
          <w:tcPr>
            <w:tcW w:w="8545" w:type="dxa"/>
            <w:shd w:val="clear" w:color="auto" w:fill="auto"/>
          </w:tcPr>
          <w:p w14:paraId="1E79C006"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CE38B6" w14:paraId="6CEC627F" w14:textId="77777777" w:rsidTr="008175F8">
        <w:trPr>
          <w:trHeight w:val="37"/>
        </w:trPr>
        <w:tc>
          <w:tcPr>
            <w:tcW w:w="8545" w:type="dxa"/>
            <w:shd w:val="clear" w:color="auto" w:fill="auto"/>
          </w:tcPr>
          <w:p w14:paraId="047A8FD4"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CE38B6" w14:paraId="5ED15612" w14:textId="77777777" w:rsidTr="008175F8">
        <w:trPr>
          <w:trHeight w:val="37"/>
        </w:trPr>
        <w:tc>
          <w:tcPr>
            <w:tcW w:w="8545" w:type="dxa"/>
            <w:shd w:val="clear" w:color="auto" w:fill="auto"/>
          </w:tcPr>
          <w:p w14:paraId="438BA1F7"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The SFA did not provide an adequate written food safety program that covers any facility or part of a facility where food is stored, prepared, or served. The food safety program must meet the program requirements; The SFA's standard operating procedures (SOPs) were not implemented. A school food authority with a food safety program must implement traditional hazard analysis and critical control point (HACCP) principles.</w:t>
            </w:r>
          </w:p>
        </w:tc>
      </w:tr>
      <w:tr w:rsidR="00CE38B6" w14:paraId="6C7FA211" w14:textId="77777777" w:rsidTr="008175F8">
        <w:trPr>
          <w:trHeight w:val="37"/>
        </w:trPr>
        <w:tc>
          <w:tcPr>
            <w:tcW w:w="8545" w:type="dxa"/>
            <w:shd w:val="clear" w:color="auto" w:fill="auto"/>
          </w:tcPr>
          <w:p w14:paraId="1FDFEC79"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There are not safeguards against theft and damage. Facilities for the handling, storage, and distribution of purchased and donated foods must properly safeguard against theft.</w:t>
            </w:r>
          </w:p>
        </w:tc>
      </w:tr>
      <w:tr w:rsidR="00CE38B6" w14:paraId="023D83C2" w14:textId="77777777" w:rsidTr="008175F8">
        <w:trPr>
          <w:trHeight w:val="37"/>
        </w:trPr>
        <w:tc>
          <w:tcPr>
            <w:tcW w:w="8545" w:type="dxa"/>
            <w:shd w:val="clear" w:color="auto" w:fill="D9D9D9" w:themeFill="background1" w:themeFillShade="D9"/>
          </w:tcPr>
          <w:p w14:paraId="77794448" w14:textId="77777777" w:rsidR="00A53CEA" w:rsidRPr="0076532F" w:rsidRDefault="002E05D8" w:rsidP="008175F8">
            <w:pPr>
              <w:pStyle w:val="Normal0"/>
              <w:rPr>
                <w:rFonts w:ascii="Times New Roman" w:hAnsi="Times New Roman" w:cs="Times New Roman"/>
                <w:b/>
                <w:sz w:val="20"/>
                <w:szCs w:val="20"/>
              </w:rPr>
            </w:pPr>
            <w:r>
              <w:t>Local School Wellness Policy</w:t>
            </w:r>
          </w:p>
        </w:tc>
      </w:tr>
      <w:tr w:rsidR="00CE38B6" w14:paraId="14DB571D" w14:textId="77777777" w:rsidTr="008175F8">
        <w:trPr>
          <w:trHeight w:val="37"/>
        </w:trPr>
        <w:tc>
          <w:tcPr>
            <w:tcW w:w="8545" w:type="dxa"/>
            <w:shd w:val="clear" w:color="auto" w:fill="auto"/>
          </w:tcPr>
          <w:p w14:paraId="0CF457DC"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lastRenderedPageBreak/>
              <w:t>The SFA does not have documentation demonstrating the results of the assessment have been made available to the public. The SFA must make available to the public the Triennial Assessment, including progress toward meeting the goals of the policy.</w:t>
            </w:r>
          </w:p>
        </w:tc>
      </w:tr>
      <w:tr w:rsidR="00CE38B6" w14:paraId="2FDA7AE7" w14:textId="77777777" w:rsidTr="008175F8">
        <w:trPr>
          <w:trHeight w:val="37"/>
        </w:trPr>
        <w:tc>
          <w:tcPr>
            <w:tcW w:w="8545" w:type="dxa"/>
            <w:shd w:val="clear" w:color="auto" w:fill="auto"/>
          </w:tcPr>
          <w:p w14:paraId="3DA9A2E2"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CE38B6" w14:paraId="68696EC8" w14:textId="77777777" w:rsidTr="008175F8">
        <w:trPr>
          <w:trHeight w:val="37"/>
        </w:trPr>
        <w:tc>
          <w:tcPr>
            <w:tcW w:w="8545" w:type="dxa"/>
            <w:shd w:val="clear" w:color="auto" w:fill="auto"/>
          </w:tcPr>
          <w:p w14:paraId="6BA9B3F3"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CE38B6" w14:paraId="39477141" w14:textId="77777777" w:rsidTr="008175F8">
        <w:trPr>
          <w:trHeight w:val="37"/>
        </w:trPr>
        <w:tc>
          <w:tcPr>
            <w:tcW w:w="8545" w:type="dxa"/>
            <w:shd w:val="clear" w:color="auto" w:fill="31849B" w:themeFill="accent5" w:themeFillShade="BF"/>
          </w:tcPr>
          <w:p w14:paraId="2FCBD216" w14:textId="77777777" w:rsidR="00A53CEA" w:rsidRPr="005B0132" w:rsidRDefault="002E05D8" w:rsidP="008175F8">
            <w:pPr>
              <w:pStyle w:val="Normal0"/>
              <w:rPr>
                <w:rFonts w:asciiTheme="minorHAnsi" w:hAnsiTheme="minorHAnsi" w:cstheme="minorHAnsi"/>
                <w:b/>
                <w:i/>
                <w:color w:val="DBE5F1" w:themeColor="accent1" w:themeTint="33"/>
                <w:sz w:val="32"/>
                <w:szCs w:val="20"/>
              </w:rPr>
            </w:pPr>
            <w:r>
              <w:t>Civil Rights</w:t>
            </w:r>
          </w:p>
        </w:tc>
      </w:tr>
      <w:tr w:rsidR="00CE38B6" w14:paraId="54A07809" w14:textId="77777777" w:rsidTr="008175F8">
        <w:trPr>
          <w:trHeight w:val="37"/>
        </w:trPr>
        <w:tc>
          <w:tcPr>
            <w:tcW w:w="8545" w:type="dxa"/>
            <w:shd w:val="clear" w:color="auto" w:fill="auto"/>
          </w:tcPr>
          <w:p w14:paraId="04D0AD99"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School Food Authorities and local educational agencies of schools participating in the National School Lunch Program, School Breakfast Program or Special Milk Program must take all actions that are necessary to insure compliance with the nondiscrimination practices for children eligible to receive free and reduced price meals or free milk. The "And Justice for All" poster must be prominently displayed.</w:t>
            </w:r>
          </w:p>
        </w:tc>
      </w:tr>
      <w:tr w:rsidR="00CE38B6" w14:paraId="7CB54A9A" w14:textId="77777777" w:rsidTr="008175F8">
        <w:trPr>
          <w:trHeight w:val="37"/>
        </w:trPr>
        <w:tc>
          <w:tcPr>
            <w:tcW w:w="8545" w:type="dxa"/>
            <w:shd w:val="clear" w:color="auto" w:fill="auto"/>
          </w:tcPr>
          <w:p w14:paraId="2B29C69D" w14:textId="77777777" w:rsidR="00A53CEA" w:rsidRPr="005B0132" w:rsidRDefault="002E05D8" w:rsidP="00A53CEA">
            <w:pPr>
              <w:pStyle w:val="ListParagraph"/>
              <w:numPr>
                <w:ilvl w:val="0"/>
                <w:numId w:val="2"/>
              </w:numPr>
              <w:ind w:left="540"/>
              <w:rPr>
                <w:rFonts w:ascii="Times New Roman" w:hAnsi="Times New Roman" w:cs="Times New Roman"/>
                <w:sz w:val="20"/>
                <w:szCs w:val="20"/>
              </w:rPr>
            </w:pPr>
            <w:r>
              <w:t>The SFAs civil rights policy does not include or is missing requirements outlined in SP59-2016 Modifications to Accommodate Disabilities in School Meal Programs.</w:t>
            </w:r>
          </w:p>
        </w:tc>
      </w:tr>
    </w:tbl>
    <w:p w14:paraId="51FBE06B" w14:textId="77777777" w:rsidR="00A53CEA" w:rsidRPr="00223718" w:rsidRDefault="002E1690" w:rsidP="00A53CEA">
      <w:pPr>
        <w:pStyle w:val="Normal0"/>
        <w:rPr>
          <w:rFonts w:ascii="Times New Roman" w:hAnsi="Times New Roman" w:cs="Times New Roman"/>
          <w:sz w:val="20"/>
          <w:szCs w:val="20"/>
        </w:rPr>
      </w:pPr>
    </w:p>
    <w:p w14:paraId="46DD470E" w14:textId="77777777" w:rsidR="00A53CEA" w:rsidRDefault="002E1690" w:rsidP="00A53CEA">
      <w:pPr>
        <w:pStyle w:val="Normal0"/>
      </w:pPr>
    </w:p>
    <w:p w14:paraId="31FBCA4A" w14:textId="77777777" w:rsidR="006D68B7" w:rsidRDefault="002E1690">
      <w:pPr>
        <w:pStyle w:val="Normal0"/>
      </w:pPr>
    </w:p>
    <w:sectPr w:rsidR="006D68B7" w:rsidSect="00AB672B">
      <w:footerReference w:type="default" r:id="rId10"/>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29AD9" w14:textId="77777777" w:rsidR="002E1690" w:rsidRDefault="002E1690">
      <w:r>
        <w:separator/>
      </w:r>
    </w:p>
  </w:endnote>
  <w:endnote w:type="continuationSeparator" w:id="0">
    <w:p w14:paraId="62BBEFA8" w14:textId="77777777" w:rsidR="002E1690" w:rsidRDefault="002E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4791" w14:textId="77777777" w:rsidR="0037068A" w:rsidRDefault="002E05D8" w:rsidP="000F3A03">
    <w:pPr>
      <w:pStyle w:val="Footer"/>
      <w:jc w:val="center"/>
      <w:rPr>
        <w:sz w:val="14"/>
      </w:rPr>
    </w:pPr>
    <w:r>
      <w:rPr>
        <w:sz w:val="14"/>
      </w:rPr>
      <w:t>This institution is an equal opportunity provider</w:t>
    </w:r>
  </w:p>
  <w:p w14:paraId="3ADE7039" w14:textId="77777777" w:rsidR="0037068A" w:rsidRDefault="002E1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43D22" w14:textId="77777777" w:rsidR="0037068A" w:rsidRDefault="002E05D8" w:rsidP="000F3A03">
    <w:pPr>
      <w:pStyle w:val="Footer0"/>
      <w:jc w:val="center"/>
      <w:rPr>
        <w:sz w:val="14"/>
      </w:rPr>
    </w:pPr>
    <w:r>
      <w:rPr>
        <w:sz w:val="14"/>
      </w:rPr>
      <w:t>This institution is an equal opportunity provider</w:t>
    </w:r>
  </w:p>
  <w:p w14:paraId="006A1667" w14:textId="77777777" w:rsidR="0037068A" w:rsidRDefault="002E169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6EBE9" w14:textId="77777777" w:rsidR="002E1690" w:rsidRDefault="002E1690">
      <w:r>
        <w:separator/>
      </w:r>
    </w:p>
  </w:footnote>
  <w:footnote w:type="continuationSeparator" w:id="0">
    <w:p w14:paraId="38B8C07E" w14:textId="77777777" w:rsidR="002E1690" w:rsidRDefault="002E1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ED684DC">
      <w:start w:val="1"/>
      <w:numFmt w:val="decimal"/>
      <w:lvlText w:val="%1."/>
      <w:lvlJc w:val="left"/>
      <w:pPr>
        <w:ind w:left="720" w:hanging="360"/>
      </w:pPr>
      <w:rPr>
        <w:rFonts w:hint="default"/>
      </w:rPr>
    </w:lvl>
    <w:lvl w:ilvl="1" w:tplc="78C2194A" w:tentative="1">
      <w:start w:val="1"/>
      <w:numFmt w:val="lowerLetter"/>
      <w:lvlText w:val="%2."/>
      <w:lvlJc w:val="left"/>
      <w:pPr>
        <w:ind w:left="1440" w:hanging="360"/>
      </w:pPr>
    </w:lvl>
    <w:lvl w:ilvl="2" w:tplc="A232F17A" w:tentative="1">
      <w:start w:val="1"/>
      <w:numFmt w:val="lowerRoman"/>
      <w:lvlText w:val="%3."/>
      <w:lvlJc w:val="right"/>
      <w:pPr>
        <w:ind w:left="2160" w:hanging="180"/>
      </w:pPr>
    </w:lvl>
    <w:lvl w:ilvl="3" w:tplc="8BF4A068" w:tentative="1">
      <w:start w:val="1"/>
      <w:numFmt w:val="decimal"/>
      <w:lvlText w:val="%4."/>
      <w:lvlJc w:val="left"/>
      <w:pPr>
        <w:ind w:left="2880" w:hanging="360"/>
      </w:pPr>
    </w:lvl>
    <w:lvl w:ilvl="4" w:tplc="5ED82238" w:tentative="1">
      <w:start w:val="1"/>
      <w:numFmt w:val="lowerLetter"/>
      <w:lvlText w:val="%5."/>
      <w:lvlJc w:val="left"/>
      <w:pPr>
        <w:ind w:left="3600" w:hanging="360"/>
      </w:pPr>
    </w:lvl>
    <w:lvl w:ilvl="5" w:tplc="11FE9376" w:tentative="1">
      <w:start w:val="1"/>
      <w:numFmt w:val="lowerRoman"/>
      <w:lvlText w:val="%6."/>
      <w:lvlJc w:val="right"/>
      <w:pPr>
        <w:ind w:left="4320" w:hanging="180"/>
      </w:pPr>
    </w:lvl>
    <w:lvl w:ilvl="6" w:tplc="9CA6197C" w:tentative="1">
      <w:start w:val="1"/>
      <w:numFmt w:val="decimal"/>
      <w:lvlText w:val="%7."/>
      <w:lvlJc w:val="left"/>
      <w:pPr>
        <w:ind w:left="5040" w:hanging="360"/>
      </w:pPr>
    </w:lvl>
    <w:lvl w:ilvl="7" w:tplc="2722B886" w:tentative="1">
      <w:start w:val="1"/>
      <w:numFmt w:val="lowerLetter"/>
      <w:lvlText w:val="%8."/>
      <w:lvlJc w:val="left"/>
      <w:pPr>
        <w:ind w:left="5760" w:hanging="360"/>
      </w:pPr>
    </w:lvl>
    <w:lvl w:ilvl="8" w:tplc="7CF675B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7B6B68A">
      <w:start w:val="1"/>
      <w:numFmt w:val="bullet"/>
      <w:lvlText w:val=""/>
      <w:lvlJc w:val="left"/>
      <w:pPr>
        <w:ind w:left="720" w:hanging="360"/>
      </w:pPr>
      <w:rPr>
        <w:rFonts w:ascii="Symbol" w:hAnsi="Symbol" w:hint="default"/>
      </w:rPr>
    </w:lvl>
    <w:lvl w:ilvl="1" w:tplc="6D7EDE9E" w:tentative="1">
      <w:start w:val="1"/>
      <w:numFmt w:val="bullet"/>
      <w:lvlText w:val="o"/>
      <w:lvlJc w:val="left"/>
      <w:pPr>
        <w:ind w:left="1440" w:hanging="360"/>
      </w:pPr>
      <w:rPr>
        <w:rFonts w:ascii="Courier New" w:hAnsi="Courier New" w:cs="Courier New" w:hint="default"/>
      </w:rPr>
    </w:lvl>
    <w:lvl w:ilvl="2" w:tplc="1138E2D8" w:tentative="1">
      <w:start w:val="1"/>
      <w:numFmt w:val="bullet"/>
      <w:lvlText w:val=""/>
      <w:lvlJc w:val="left"/>
      <w:pPr>
        <w:ind w:left="2160" w:hanging="360"/>
      </w:pPr>
      <w:rPr>
        <w:rFonts w:ascii="Wingdings" w:hAnsi="Wingdings" w:hint="default"/>
      </w:rPr>
    </w:lvl>
    <w:lvl w:ilvl="3" w:tplc="055E4AE0" w:tentative="1">
      <w:start w:val="1"/>
      <w:numFmt w:val="bullet"/>
      <w:lvlText w:val=""/>
      <w:lvlJc w:val="left"/>
      <w:pPr>
        <w:ind w:left="2880" w:hanging="360"/>
      </w:pPr>
      <w:rPr>
        <w:rFonts w:ascii="Symbol" w:hAnsi="Symbol" w:hint="default"/>
      </w:rPr>
    </w:lvl>
    <w:lvl w:ilvl="4" w:tplc="C87854AA" w:tentative="1">
      <w:start w:val="1"/>
      <w:numFmt w:val="bullet"/>
      <w:lvlText w:val="o"/>
      <w:lvlJc w:val="left"/>
      <w:pPr>
        <w:ind w:left="3600" w:hanging="360"/>
      </w:pPr>
      <w:rPr>
        <w:rFonts w:ascii="Courier New" w:hAnsi="Courier New" w:cs="Courier New" w:hint="default"/>
      </w:rPr>
    </w:lvl>
    <w:lvl w:ilvl="5" w:tplc="837ED78A" w:tentative="1">
      <w:start w:val="1"/>
      <w:numFmt w:val="bullet"/>
      <w:lvlText w:val=""/>
      <w:lvlJc w:val="left"/>
      <w:pPr>
        <w:ind w:left="4320" w:hanging="360"/>
      </w:pPr>
      <w:rPr>
        <w:rFonts w:ascii="Wingdings" w:hAnsi="Wingdings" w:hint="default"/>
      </w:rPr>
    </w:lvl>
    <w:lvl w:ilvl="6" w:tplc="7C1CA412" w:tentative="1">
      <w:start w:val="1"/>
      <w:numFmt w:val="bullet"/>
      <w:lvlText w:val=""/>
      <w:lvlJc w:val="left"/>
      <w:pPr>
        <w:ind w:left="5040" w:hanging="360"/>
      </w:pPr>
      <w:rPr>
        <w:rFonts w:ascii="Symbol" w:hAnsi="Symbol" w:hint="default"/>
      </w:rPr>
    </w:lvl>
    <w:lvl w:ilvl="7" w:tplc="C7B889AA" w:tentative="1">
      <w:start w:val="1"/>
      <w:numFmt w:val="bullet"/>
      <w:lvlText w:val="o"/>
      <w:lvlJc w:val="left"/>
      <w:pPr>
        <w:ind w:left="5760" w:hanging="360"/>
      </w:pPr>
      <w:rPr>
        <w:rFonts w:ascii="Courier New" w:hAnsi="Courier New" w:cs="Courier New" w:hint="default"/>
      </w:rPr>
    </w:lvl>
    <w:lvl w:ilvl="8" w:tplc="C37632A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B6"/>
    <w:rsid w:val="0007372D"/>
    <w:rsid w:val="002E05D8"/>
    <w:rsid w:val="002E1690"/>
    <w:rsid w:val="00A138AC"/>
    <w:rsid w:val="00CE3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B47C"/>
  <w15:docId w15:val="{06051618-B73E-45C6-A996-756EBB39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AC07D-197F-4C32-ABFC-AC16FBA0606C}">
  <ds:schemaRefs>
    <ds:schemaRef ds:uri="http://schemas.microsoft.com/sharepoint/v3/contenttype/forms"/>
  </ds:schemaRefs>
</ds:datastoreItem>
</file>

<file path=customXml/itemProps2.xml><?xml version="1.0" encoding="utf-8"?>
<ds:datastoreItem xmlns:ds="http://schemas.openxmlformats.org/officeDocument/2006/customXml" ds:itemID="{0893AF8B-DE97-41E0-BBDF-62986B55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Benjamin Franklin Classical Charter Administrative Review Summary School Year 2021-2022</dc:title>
  <dc:creator>DESE</dc:creator>
  <cp:lastModifiedBy>Zou, Dong (EOE)</cp:lastModifiedBy>
  <cp:revision>9</cp:revision>
  <dcterms:created xsi:type="dcterms:W3CDTF">2016-12-05T21:17:00Z</dcterms:created>
  <dcterms:modified xsi:type="dcterms:W3CDTF">2022-08-25T15:36:00Z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2022</vt:lpwstr>
  </property>
</Properties>
</file>