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126FB" w14:textId="77777777" w:rsidR="00CA19B4" w:rsidRPr="00200779" w:rsidRDefault="00344DF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3A1610B" w14:textId="77777777" w:rsidR="00CA19B4" w:rsidRDefault="00E0576E" w:rsidP="00CA19B4">
      <w:pPr>
        <w:jc w:val="center"/>
        <w:rPr>
          <w:rFonts w:ascii="Times New Roman" w:hAnsi="Times New Roman" w:cs="Times New Roman"/>
          <w:sz w:val="24"/>
          <w:szCs w:val="24"/>
        </w:rPr>
      </w:pPr>
    </w:p>
    <w:p w14:paraId="1114D87D" w14:textId="77777777" w:rsidR="00CA19B4" w:rsidRDefault="00344DF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7C1DFB1" w14:textId="77777777" w:rsidR="00CA19B4" w:rsidRDefault="00E0576E" w:rsidP="00CA19B4">
      <w:pPr>
        <w:rPr>
          <w:rFonts w:ascii="Times New Roman" w:hAnsi="Times New Roman" w:cs="Times New Roman"/>
          <w:sz w:val="20"/>
          <w:szCs w:val="20"/>
        </w:rPr>
      </w:pPr>
    </w:p>
    <w:p w14:paraId="13AF708E" w14:textId="77777777" w:rsidR="00CA19B4" w:rsidRDefault="00E0576E" w:rsidP="00CA19B4">
      <w:pPr>
        <w:rPr>
          <w:rFonts w:ascii="Times New Roman" w:hAnsi="Times New Roman" w:cs="Times New Roman"/>
          <w:sz w:val="20"/>
          <w:szCs w:val="20"/>
        </w:rPr>
      </w:pPr>
    </w:p>
    <w:p w14:paraId="4C7DB69A" w14:textId="77777777" w:rsidR="00CA19B4" w:rsidRPr="00B63138" w:rsidRDefault="00344DF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Cutchins Programs for Children</w:t>
      </w:r>
      <w:bookmarkEnd w:id="0"/>
    </w:p>
    <w:p w14:paraId="0DD30292" w14:textId="77777777" w:rsidR="00CA19B4" w:rsidRDefault="00E0576E" w:rsidP="00CA19B4">
      <w:pPr>
        <w:rPr>
          <w:rFonts w:ascii="Times New Roman" w:hAnsi="Times New Roman" w:cs="Times New Roman"/>
          <w:sz w:val="20"/>
          <w:szCs w:val="20"/>
        </w:rPr>
      </w:pPr>
    </w:p>
    <w:p w14:paraId="73165F98" w14:textId="77777777" w:rsidR="00CA19B4" w:rsidRDefault="00344DF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04/08/2022</w:t>
      </w:r>
      <w:bookmarkEnd w:id="1"/>
    </w:p>
    <w:p w14:paraId="3C5E5224" w14:textId="77777777" w:rsidR="00CA19B4" w:rsidRDefault="00E0576E" w:rsidP="00CA19B4">
      <w:pPr>
        <w:rPr>
          <w:rFonts w:ascii="Times New Roman" w:hAnsi="Times New Roman" w:cs="Times New Roman"/>
          <w:sz w:val="20"/>
          <w:szCs w:val="20"/>
        </w:rPr>
      </w:pPr>
    </w:p>
    <w:p w14:paraId="0981F5BD" w14:textId="77777777" w:rsidR="00CA19B4" w:rsidRDefault="00344DF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04/08/2022</w:t>
      </w:r>
      <w:bookmarkEnd w:id="2"/>
    </w:p>
    <w:p w14:paraId="59BD1226" w14:textId="77777777" w:rsidR="00CA19B4" w:rsidRDefault="00344DF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56E2860" w14:textId="77777777" w:rsidR="00CA19B4" w:rsidRDefault="00E0576E" w:rsidP="00CA19B4">
      <w:pPr>
        <w:pBdr>
          <w:bottom w:val="single" w:sz="12" w:space="1" w:color="auto"/>
        </w:pBdr>
        <w:rPr>
          <w:rFonts w:ascii="Times New Roman" w:hAnsi="Times New Roman" w:cs="Times New Roman"/>
          <w:sz w:val="20"/>
          <w:szCs w:val="20"/>
        </w:rPr>
      </w:pPr>
    </w:p>
    <w:p w14:paraId="2E0FCC48" w14:textId="77777777" w:rsidR="00CA19B4" w:rsidRDefault="00344DF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F1CC517" w14:textId="77777777" w:rsidR="00CA19B4" w:rsidRDefault="00E0576E" w:rsidP="00CA19B4">
      <w:pPr>
        <w:rPr>
          <w:rFonts w:ascii="Times New Roman" w:hAnsi="Times New Roman" w:cs="Times New Roman"/>
          <w:sz w:val="20"/>
          <w:szCs w:val="20"/>
        </w:rPr>
      </w:pPr>
    </w:p>
    <w:p w14:paraId="7DC1E283" w14:textId="77777777" w:rsidR="00CA19B4" w:rsidRPr="00223718" w:rsidRDefault="00344DF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21BAFA8" w14:textId="77777777" w:rsidR="00CA19B4" w:rsidRDefault="00E0576E" w:rsidP="00CA19B4">
      <w:pPr>
        <w:rPr>
          <w:rFonts w:ascii="Times New Roman" w:hAnsi="Times New Roman" w:cs="Times New Roman"/>
          <w:sz w:val="20"/>
          <w:szCs w:val="20"/>
        </w:rPr>
      </w:pPr>
    </w:p>
    <w:p w14:paraId="4B2E8171" w14:textId="77777777" w:rsidR="00CA19B4" w:rsidRDefault="00344DF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228BBD8" w14:textId="77777777" w:rsidR="00CA19B4" w:rsidRDefault="00E0576E" w:rsidP="00CA19B4">
      <w:pPr>
        <w:ind w:left="720"/>
        <w:rPr>
          <w:rFonts w:ascii="Times New Roman" w:hAnsi="Times New Roman" w:cs="Times New Roman"/>
          <w:sz w:val="20"/>
          <w:szCs w:val="20"/>
        </w:rPr>
      </w:pPr>
    </w:p>
    <w:bookmarkStart w:id="3" w:name="CHK_SBP"/>
    <w:p w14:paraId="7FBB279B" w14:textId="77777777" w:rsidR="00CA19B4" w:rsidRDefault="00344DF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0576E">
        <w:rPr>
          <w:rFonts w:ascii="Times New Roman" w:hAnsi="Times New Roman" w:cs="Times New Roman"/>
          <w:sz w:val="20"/>
          <w:szCs w:val="20"/>
        </w:rPr>
      </w:r>
      <w:r w:rsidR="00E0576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9EB52DA" w14:textId="77777777" w:rsidR="00CA19B4" w:rsidRDefault="00344DF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0576E">
        <w:rPr>
          <w:rFonts w:ascii="Times New Roman" w:hAnsi="Times New Roman" w:cs="Times New Roman"/>
          <w:sz w:val="20"/>
          <w:szCs w:val="20"/>
        </w:rPr>
      </w:r>
      <w:r w:rsidR="00E0576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3D6649D" w14:textId="77777777" w:rsidR="00CA19B4" w:rsidRDefault="00344DF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576E">
        <w:rPr>
          <w:rFonts w:ascii="Times New Roman" w:hAnsi="Times New Roman" w:cs="Times New Roman"/>
          <w:sz w:val="20"/>
          <w:szCs w:val="20"/>
        </w:rPr>
      </w:r>
      <w:r w:rsidR="00E0576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2DEB8B2" w14:textId="77777777" w:rsidR="00CA19B4" w:rsidRDefault="00344DF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576E">
        <w:rPr>
          <w:rFonts w:ascii="Times New Roman" w:hAnsi="Times New Roman" w:cs="Times New Roman"/>
          <w:sz w:val="20"/>
          <w:szCs w:val="20"/>
        </w:rPr>
      </w:r>
      <w:r w:rsidR="00E0576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5606074" w14:textId="77777777" w:rsidR="00CA19B4" w:rsidRDefault="00344DF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576E">
        <w:rPr>
          <w:rFonts w:ascii="Times New Roman" w:hAnsi="Times New Roman" w:cs="Times New Roman"/>
          <w:sz w:val="20"/>
          <w:szCs w:val="20"/>
        </w:rPr>
      </w:r>
      <w:r w:rsidR="00E0576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D61092B" w14:textId="77777777" w:rsidR="00CA19B4" w:rsidRDefault="00344DF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576E">
        <w:rPr>
          <w:rFonts w:ascii="Times New Roman" w:hAnsi="Times New Roman" w:cs="Times New Roman"/>
          <w:sz w:val="20"/>
          <w:szCs w:val="20"/>
        </w:rPr>
      </w:r>
      <w:r w:rsidR="00E0576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EA9BE52" w14:textId="77777777" w:rsidR="00CA19B4" w:rsidRDefault="00E0576E" w:rsidP="00CA19B4">
      <w:pPr>
        <w:rPr>
          <w:rFonts w:ascii="Times New Roman" w:hAnsi="Times New Roman" w:cs="Times New Roman"/>
          <w:sz w:val="20"/>
          <w:szCs w:val="20"/>
        </w:rPr>
      </w:pPr>
    </w:p>
    <w:p w14:paraId="20F70178" w14:textId="77777777" w:rsidR="00CA19B4" w:rsidRDefault="00344DF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F001C7B" w14:textId="77777777" w:rsidR="00CA19B4" w:rsidRDefault="00E0576E" w:rsidP="00CA19B4">
      <w:pPr>
        <w:ind w:left="720"/>
        <w:rPr>
          <w:rFonts w:ascii="Times New Roman" w:hAnsi="Times New Roman" w:cs="Times New Roman"/>
          <w:sz w:val="20"/>
          <w:szCs w:val="20"/>
        </w:rPr>
      </w:pPr>
    </w:p>
    <w:bookmarkStart w:id="9" w:name="CHK_CEP"/>
    <w:p w14:paraId="025163E5" w14:textId="77777777" w:rsidR="00CA19B4" w:rsidRDefault="00344DF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576E">
        <w:rPr>
          <w:rFonts w:ascii="Times New Roman" w:hAnsi="Times New Roman" w:cs="Times New Roman"/>
          <w:sz w:val="20"/>
          <w:szCs w:val="20"/>
        </w:rPr>
      </w:r>
      <w:r w:rsidR="00E0576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771E711" w14:textId="77777777" w:rsidR="00CA19B4" w:rsidRDefault="00344DF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576E">
        <w:rPr>
          <w:rFonts w:ascii="Times New Roman" w:hAnsi="Times New Roman" w:cs="Times New Roman"/>
          <w:sz w:val="20"/>
          <w:szCs w:val="20"/>
        </w:rPr>
      </w:r>
      <w:r w:rsidR="00E0576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7BA245C" w14:textId="77777777" w:rsidR="00CA19B4" w:rsidRDefault="00344DF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576E">
        <w:rPr>
          <w:rFonts w:ascii="Times New Roman" w:hAnsi="Times New Roman" w:cs="Times New Roman"/>
          <w:sz w:val="20"/>
          <w:szCs w:val="20"/>
        </w:rPr>
      </w:r>
      <w:r w:rsidR="00E0576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B11BC32" w14:textId="77777777" w:rsidR="00CA19B4" w:rsidRDefault="00344DF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576E">
        <w:rPr>
          <w:rFonts w:ascii="Times New Roman" w:hAnsi="Times New Roman" w:cs="Times New Roman"/>
          <w:sz w:val="20"/>
          <w:szCs w:val="20"/>
        </w:rPr>
      </w:r>
      <w:r w:rsidR="00E0576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26DB276" w14:textId="77777777" w:rsidR="00CA19B4" w:rsidRDefault="00E0576E" w:rsidP="00CA19B4">
      <w:pPr>
        <w:rPr>
          <w:rFonts w:ascii="Times New Roman" w:hAnsi="Times New Roman" w:cs="Times New Roman"/>
          <w:sz w:val="20"/>
          <w:szCs w:val="20"/>
        </w:rPr>
      </w:pPr>
    </w:p>
    <w:p w14:paraId="75645313" w14:textId="77777777" w:rsidR="00CA19B4" w:rsidRPr="00D6151F" w:rsidRDefault="00344DF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4D3E3A2" w14:textId="77777777" w:rsidR="00CA19B4" w:rsidRDefault="00E0576E" w:rsidP="00CA19B4">
      <w:pPr>
        <w:rPr>
          <w:rFonts w:ascii="Times New Roman" w:hAnsi="Times New Roman" w:cs="Times New Roman"/>
          <w:sz w:val="20"/>
          <w:szCs w:val="20"/>
        </w:rPr>
      </w:pPr>
    </w:p>
    <w:p w14:paraId="6FD08EB2" w14:textId="77777777" w:rsidR="00CA19B4" w:rsidRDefault="00344DF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EFF427E" w14:textId="77777777" w:rsidR="00CA19B4" w:rsidRDefault="00344DF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E0576E">
        <w:rPr>
          <w:rFonts w:ascii="MS Gothic" w:eastAsia="MS Gothic" w:hAnsi="Times New Roman" w:cs="Times New Roman"/>
          <w:sz w:val="20"/>
          <w:szCs w:val="20"/>
        </w:rPr>
      </w:r>
      <w:r w:rsidR="00E0576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E0576E">
        <w:rPr>
          <w:rFonts w:ascii="MS Gothic" w:eastAsia="MS Gothic" w:hAnsi="Times New Roman" w:cs="Times New Roman"/>
          <w:sz w:val="20"/>
          <w:szCs w:val="20"/>
        </w:rPr>
      </w:r>
      <w:r w:rsidR="00E0576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1A6B11F" w14:textId="77777777" w:rsidR="00CA19B4" w:rsidRDefault="00E0576E" w:rsidP="00CA19B4">
      <w:pPr>
        <w:ind w:firstLine="720"/>
        <w:rPr>
          <w:rFonts w:ascii="Times New Roman" w:hAnsi="Times New Roman" w:cs="Times New Roman"/>
          <w:sz w:val="20"/>
          <w:szCs w:val="20"/>
        </w:rPr>
      </w:pPr>
    </w:p>
    <w:p w14:paraId="42E5A177" w14:textId="77777777" w:rsidR="00CA19B4" w:rsidRDefault="00344DF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E703CB3" w14:textId="77777777" w:rsidR="006D68B7" w:rsidRDefault="00E0576E">
      <w:pPr>
        <w:sectPr w:rsidR="006D68B7" w:rsidSect="005B420A">
          <w:footerReference w:type="default" r:id="rId9"/>
          <w:pgSz w:w="12240" w:h="15840"/>
          <w:pgMar w:top="1440" w:right="1440" w:bottom="1440" w:left="1440" w:header="720" w:footer="720" w:gutter="0"/>
          <w:cols w:space="720"/>
        </w:sectPr>
      </w:pPr>
    </w:p>
    <w:p w14:paraId="32D5A380" w14:textId="77777777" w:rsidR="00A53CEA" w:rsidRDefault="00E0576E" w:rsidP="00A53CEA">
      <w:pPr>
        <w:pStyle w:val="Normal0"/>
        <w:ind w:firstLine="720"/>
        <w:rPr>
          <w:rFonts w:ascii="Times New Roman" w:hAnsi="Times New Roman" w:cs="Times New Roman"/>
          <w:sz w:val="20"/>
          <w:szCs w:val="20"/>
        </w:rPr>
      </w:pPr>
    </w:p>
    <w:p w14:paraId="48EE44BC" w14:textId="77777777" w:rsidR="00A53CEA" w:rsidRPr="00C61944" w:rsidRDefault="00344DF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47D1F" w14:paraId="765E4B4F" w14:textId="77777777" w:rsidTr="008175F8">
        <w:trPr>
          <w:trHeight w:val="37"/>
        </w:trPr>
        <w:tc>
          <w:tcPr>
            <w:tcW w:w="8545" w:type="dxa"/>
            <w:shd w:val="clear" w:color="auto" w:fill="31849B" w:themeFill="accent5" w:themeFillShade="BF"/>
          </w:tcPr>
          <w:p w14:paraId="77CFB4F6" w14:textId="77777777" w:rsidR="00A53CEA" w:rsidRPr="005B0132" w:rsidRDefault="00344DF9" w:rsidP="008175F8">
            <w:pPr>
              <w:pStyle w:val="Normal0"/>
              <w:rPr>
                <w:rFonts w:asciiTheme="minorHAnsi" w:hAnsiTheme="minorHAnsi" w:cstheme="minorHAnsi"/>
                <w:b/>
                <w:i/>
                <w:color w:val="DBE5F1" w:themeColor="accent1" w:themeTint="33"/>
                <w:sz w:val="32"/>
                <w:szCs w:val="20"/>
              </w:rPr>
            </w:pPr>
            <w:r>
              <w:t>Program Access and Reimbursement</w:t>
            </w:r>
          </w:p>
        </w:tc>
      </w:tr>
      <w:tr w:rsidR="00E47D1F" w14:paraId="21F1783E" w14:textId="77777777" w:rsidTr="008175F8">
        <w:trPr>
          <w:trHeight w:val="37"/>
        </w:trPr>
        <w:tc>
          <w:tcPr>
            <w:tcW w:w="8545" w:type="dxa"/>
            <w:shd w:val="clear" w:color="auto" w:fill="D9D9D9" w:themeFill="background1" w:themeFillShade="D9"/>
          </w:tcPr>
          <w:p w14:paraId="1A7BFEFA" w14:textId="77777777" w:rsidR="00A53CEA" w:rsidRPr="0076532F" w:rsidRDefault="00344DF9" w:rsidP="008175F8">
            <w:pPr>
              <w:pStyle w:val="Normal0"/>
              <w:rPr>
                <w:rFonts w:ascii="Times New Roman" w:hAnsi="Times New Roman" w:cs="Times New Roman"/>
                <w:b/>
                <w:sz w:val="20"/>
                <w:szCs w:val="20"/>
              </w:rPr>
            </w:pPr>
            <w:r>
              <w:t>Verification</w:t>
            </w:r>
          </w:p>
        </w:tc>
      </w:tr>
      <w:tr w:rsidR="00E47D1F" w14:paraId="2A29ACF5" w14:textId="77777777" w:rsidTr="008175F8">
        <w:trPr>
          <w:trHeight w:val="37"/>
        </w:trPr>
        <w:tc>
          <w:tcPr>
            <w:tcW w:w="8545" w:type="dxa"/>
            <w:shd w:val="clear" w:color="auto" w:fill="auto"/>
          </w:tcPr>
          <w:p w14:paraId="479E9793"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w:t>
            </w:r>
          </w:p>
        </w:tc>
      </w:tr>
      <w:tr w:rsidR="00E47D1F" w14:paraId="08B8BDDD" w14:textId="77777777" w:rsidTr="008175F8">
        <w:trPr>
          <w:trHeight w:val="37"/>
        </w:trPr>
        <w:tc>
          <w:tcPr>
            <w:tcW w:w="8545" w:type="dxa"/>
            <w:shd w:val="clear" w:color="auto" w:fill="auto"/>
          </w:tcPr>
          <w:p w14:paraId="1BDD0295"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The SFA did not request an extension of the November 15 deadline, in writing, from ESE.</w:t>
            </w:r>
          </w:p>
        </w:tc>
      </w:tr>
      <w:tr w:rsidR="00E47D1F" w14:paraId="05B8500B" w14:textId="77777777" w:rsidTr="008175F8">
        <w:trPr>
          <w:trHeight w:val="37"/>
        </w:trPr>
        <w:tc>
          <w:tcPr>
            <w:tcW w:w="8545" w:type="dxa"/>
            <w:shd w:val="clear" w:color="auto" w:fill="D9D9D9" w:themeFill="background1" w:themeFillShade="D9"/>
          </w:tcPr>
          <w:p w14:paraId="32586F73" w14:textId="77777777" w:rsidR="00A53CEA" w:rsidRPr="0076532F" w:rsidRDefault="00344DF9" w:rsidP="008175F8">
            <w:pPr>
              <w:pStyle w:val="Normal0"/>
              <w:rPr>
                <w:rFonts w:ascii="Times New Roman" w:hAnsi="Times New Roman" w:cs="Times New Roman"/>
                <w:b/>
                <w:sz w:val="20"/>
                <w:szCs w:val="20"/>
              </w:rPr>
            </w:pPr>
            <w:r>
              <w:t>Meal Counting and Claiming</w:t>
            </w:r>
          </w:p>
        </w:tc>
      </w:tr>
      <w:tr w:rsidR="00E47D1F" w14:paraId="5285AACA" w14:textId="77777777" w:rsidTr="008175F8">
        <w:trPr>
          <w:trHeight w:val="37"/>
        </w:trPr>
        <w:tc>
          <w:tcPr>
            <w:tcW w:w="8545" w:type="dxa"/>
            <w:shd w:val="clear" w:color="auto" w:fill="auto"/>
          </w:tcPr>
          <w:p w14:paraId="0AE3717E"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Claims for Reimbursement shall include sufficient detail to justify the meals claimed. One or more lunch counts were incorrectly used in the Claim for Reimbursement.</w:t>
            </w:r>
          </w:p>
        </w:tc>
      </w:tr>
      <w:tr w:rsidR="00E47D1F" w14:paraId="32A558A9" w14:textId="77777777" w:rsidTr="008175F8">
        <w:trPr>
          <w:trHeight w:val="37"/>
        </w:trPr>
        <w:tc>
          <w:tcPr>
            <w:tcW w:w="8545" w:type="dxa"/>
            <w:shd w:val="clear" w:color="auto" w:fill="31849B" w:themeFill="accent5" w:themeFillShade="BF"/>
          </w:tcPr>
          <w:p w14:paraId="6CF5F42D" w14:textId="77777777" w:rsidR="00A53CEA" w:rsidRPr="005B0132" w:rsidRDefault="00344DF9" w:rsidP="008175F8">
            <w:pPr>
              <w:pStyle w:val="Normal0"/>
              <w:rPr>
                <w:rFonts w:asciiTheme="minorHAnsi" w:hAnsiTheme="minorHAnsi" w:cstheme="minorHAnsi"/>
                <w:b/>
                <w:i/>
                <w:color w:val="DBE5F1" w:themeColor="accent1" w:themeTint="33"/>
                <w:sz w:val="32"/>
                <w:szCs w:val="20"/>
              </w:rPr>
            </w:pPr>
            <w:r>
              <w:t>Meal Patterns and Nutritional Quality</w:t>
            </w:r>
          </w:p>
        </w:tc>
      </w:tr>
      <w:tr w:rsidR="00E47D1F" w14:paraId="1F584CE3" w14:textId="77777777" w:rsidTr="008175F8">
        <w:trPr>
          <w:trHeight w:val="37"/>
        </w:trPr>
        <w:tc>
          <w:tcPr>
            <w:tcW w:w="8545" w:type="dxa"/>
            <w:shd w:val="clear" w:color="auto" w:fill="D9D9D9" w:themeFill="background1" w:themeFillShade="D9"/>
          </w:tcPr>
          <w:p w14:paraId="0C471E0B" w14:textId="77777777" w:rsidR="00A53CEA" w:rsidRPr="0076532F" w:rsidRDefault="00344DF9" w:rsidP="008175F8">
            <w:pPr>
              <w:pStyle w:val="Normal0"/>
              <w:rPr>
                <w:rFonts w:ascii="Times New Roman" w:hAnsi="Times New Roman" w:cs="Times New Roman"/>
                <w:b/>
                <w:sz w:val="20"/>
                <w:szCs w:val="20"/>
              </w:rPr>
            </w:pPr>
            <w:r>
              <w:t>Meal Components and Quantities</w:t>
            </w:r>
          </w:p>
        </w:tc>
      </w:tr>
      <w:tr w:rsidR="00E47D1F" w14:paraId="6C7DC24E" w14:textId="77777777" w:rsidTr="008175F8">
        <w:trPr>
          <w:trHeight w:val="37"/>
        </w:trPr>
        <w:tc>
          <w:tcPr>
            <w:tcW w:w="8545" w:type="dxa"/>
            <w:shd w:val="clear" w:color="auto" w:fill="auto"/>
          </w:tcPr>
          <w:p w14:paraId="198A5F7B"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w:t>
            </w:r>
          </w:p>
        </w:tc>
      </w:tr>
      <w:tr w:rsidR="00E47D1F" w14:paraId="5F00669B" w14:textId="77777777" w:rsidTr="008175F8">
        <w:trPr>
          <w:trHeight w:val="37"/>
        </w:trPr>
        <w:tc>
          <w:tcPr>
            <w:tcW w:w="8545" w:type="dxa"/>
            <w:shd w:val="clear" w:color="auto" w:fill="auto"/>
          </w:tcPr>
          <w:p w14:paraId="2F941543"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E47D1F" w14:paraId="52A9509A" w14:textId="77777777" w:rsidTr="008175F8">
        <w:trPr>
          <w:trHeight w:val="37"/>
        </w:trPr>
        <w:tc>
          <w:tcPr>
            <w:tcW w:w="8545" w:type="dxa"/>
            <w:shd w:val="clear" w:color="auto" w:fill="31849B" w:themeFill="accent5" w:themeFillShade="BF"/>
          </w:tcPr>
          <w:p w14:paraId="2D6D3C26" w14:textId="77777777" w:rsidR="00A53CEA" w:rsidRPr="005B0132" w:rsidRDefault="00344DF9" w:rsidP="008175F8">
            <w:pPr>
              <w:pStyle w:val="Normal0"/>
              <w:rPr>
                <w:rFonts w:asciiTheme="minorHAnsi" w:hAnsiTheme="minorHAnsi" w:cstheme="minorHAnsi"/>
                <w:b/>
                <w:i/>
                <w:color w:val="DBE5F1" w:themeColor="accent1" w:themeTint="33"/>
                <w:sz w:val="32"/>
                <w:szCs w:val="20"/>
              </w:rPr>
            </w:pPr>
            <w:r>
              <w:t>School Nutrition Environment</w:t>
            </w:r>
          </w:p>
        </w:tc>
      </w:tr>
      <w:tr w:rsidR="00E47D1F" w14:paraId="61BF4CB3" w14:textId="77777777" w:rsidTr="008175F8">
        <w:trPr>
          <w:trHeight w:val="37"/>
        </w:trPr>
        <w:tc>
          <w:tcPr>
            <w:tcW w:w="8545" w:type="dxa"/>
            <w:shd w:val="clear" w:color="auto" w:fill="D9D9D9" w:themeFill="background1" w:themeFillShade="D9"/>
          </w:tcPr>
          <w:p w14:paraId="4485F2C5" w14:textId="77777777" w:rsidR="00A53CEA" w:rsidRPr="0076532F" w:rsidRDefault="00344DF9" w:rsidP="008175F8">
            <w:pPr>
              <w:pStyle w:val="Normal0"/>
              <w:rPr>
                <w:rFonts w:ascii="Times New Roman" w:hAnsi="Times New Roman" w:cs="Times New Roman"/>
                <w:b/>
                <w:sz w:val="20"/>
                <w:szCs w:val="20"/>
              </w:rPr>
            </w:pPr>
            <w:r>
              <w:t>Food Safety</w:t>
            </w:r>
          </w:p>
        </w:tc>
      </w:tr>
      <w:tr w:rsidR="00E47D1F" w14:paraId="0EE92AB9" w14:textId="77777777" w:rsidTr="008175F8">
        <w:trPr>
          <w:trHeight w:val="37"/>
        </w:trPr>
        <w:tc>
          <w:tcPr>
            <w:tcW w:w="8545" w:type="dxa"/>
            <w:shd w:val="clear" w:color="auto" w:fill="auto"/>
          </w:tcPr>
          <w:p w14:paraId="02EE66C4"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E47D1F" w14:paraId="28AD2FD8" w14:textId="77777777" w:rsidTr="008175F8">
        <w:trPr>
          <w:trHeight w:val="37"/>
        </w:trPr>
        <w:tc>
          <w:tcPr>
            <w:tcW w:w="8545" w:type="dxa"/>
            <w:shd w:val="clear" w:color="auto" w:fill="auto"/>
          </w:tcPr>
          <w:p w14:paraId="2218B38F"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E47D1F" w14:paraId="0C2FB6A3" w14:textId="77777777" w:rsidTr="008175F8">
        <w:trPr>
          <w:trHeight w:val="37"/>
        </w:trPr>
        <w:tc>
          <w:tcPr>
            <w:tcW w:w="8545" w:type="dxa"/>
            <w:shd w:val="clear" w:color="auto" w:fill="auto"/>
          </w:tcPr>
          <w:p w14:paraId="17114278"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E47D1F" w14:paraId="0D497438" w14:textId="77777777" w:rsidTr="008175F8">
        <w:trPr>
          <w:trHeight w:val="37"/>
        </w:trPr>
        <w:tc>
          <w:tcPr>
            <w:tcW w:w="8545" w:type="dxa"/>
            <w:shd w:val="clear" w:color="auto" w:fill="auto"/>
          </w:tcPr>
          <w:p w14:paraId="1D7E31CE"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Foods are not rotated properly according to accepted practice. SFAs should store and use food following first in, first out (FIFO) procedures to safeguard against spoilage.</w:t>
            </w:r>
          </w:p>
        </w:tc>
      </w:tr>
      <w:tr w:rsidR="00E47D1F" w14:paraId="4B3BDA2E" w14:textId="77777777" w:rsidTr="008175F8">
        <w:trPr>
          <w:trHeight w:val="37"/>
        </w:trPr>
        <w:tc>
          <w:tcPr>
            <w:tcW w:w="8545" w:type="dxa"/>
            <w:shd w:val="clear" w:color="auto" w:fill="auto"/>
          </w:tcPr>
          <w:p w14:paraId="55FC4DA7"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Limited documentation to determine if domestic alternatives were considered and if an exception was granted by the SFA because: The agricultural food component is not produced or manufactured in the US in sufficient and reasonably available quantities of a satisfactory quality; Competitive bids reveal the costs of domestic agricultural food components are significantly higher than the non-domestic ones; The exception was related to the domestic food as prohibitively costly or limited quantity availability.</w:t>
            </w:r>
          </w:p>
        </w:tc>
      </w:tr>
      <w:tr w:rsidR="00E47D1F" w14:paraId="49DF06F6" w14:textId="77777777" w:rsidTr="008175F8">
        <w:trPr>
          <w:trHeight w:val="37"/>
        </w:trPr>
        <w:tc>
          <w:tcPr>
            <w:tcW w:w="8545" w:type="dxa"/>
            <w:shd w:val="clear" w:color="auto" w:fill="auto"/>
          </w:tcPr>
          <w:p w14:paraId="522E00BC"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E47D1F" w14:paraId="7D9BC226" w14:textId="77777777" w:rsidTr="008175F8">
        <w:trPr>
          <w:trHeight w:val="37"/>
        </w:trPr>
        <w:tc>
          <w:tcPr>
            <w:tcW w:w="8545" w:type="dxa"/>
            <w:shd w:val="clear" w:color="auto" w:fill="auto"/>
          </w:tcPr>
          <w:p w14:paraId="0C1ADCF8"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E47D1F" w14:paraId="11A9A769" w14:textId="77777777" w:rsidTr="008175F8">
        <w:trPr>
          <w:trHeight w:val="37"/>
        </w:trPr>
        <w:tc>
          <w:tcPr>
            <w:tcW w:w="8545" w:type="dxa"/>
            <w:shd w:val="clear" w:color="auto" w:fill="auto"/>
          </w:tcPr>
          <w:p w14:paraId="5B742483"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E47D1F" w14:paraId="63F0BD40" w14:textId="77777777" w:rsidTr="008175F8">
        <w:trPr>
          <w:trHeight w:val="37"/>
        </w:trPr>
        <w:tc>
          <w:tcPr>
            <w:tcW w:w="8545" w:type="dxa"/>
            <w:shd w:val="clear" w:color="auto" w:fill="auto"/>
          </w:tcPr>
          <w:p w14:paraId="34881740"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lastRenderedPageBreak/>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E47D1F" w14:paraId="0244DF96" w14:textId="77777777" w:rsidTr="008175F8">
        <w:trPr>
          <w:trHeight w:val="37"/>
        </w:trPr>
        <w:tc>
          <w:tcPr>
            <w:tcW w:w="8545" w:type="dxa"/>
            <w:shd w:val="clear" w:color="auto" w:fill="D9D9D9" w:themeFill="background1" w:themeFillShade="D9"/>
          </w:tcPr>
          <w:p w14:paraId="259939A3" w14:textId="77777777" w:rsidR="00A53CEA" w:rsidRPr="0076532F" w:rsidRDefault="00344DF9" w:rsidP="008175F8">
            <w:pPr>
              <w:pStyle w:val="Normal0"/>
              <w:rPr>
                <w:rFonts w:ascii="Times New Roman" w:hAnsi="Times New Roman" w:cs="Times New Roman"/>
                <w:b/>
                <w:sz w:val="20"/>
                <w:szCs w:val="20"/>
              </w:rPr>
            </w:pPr>
            <w:r>
              <w:t>Local School Wellness Policy</w:t>
            </w:r>
          </w:p>
        </w:tc>
      </w:tr>
      <w:tr w:rsidR="00E47D1F" w14:paraId="30019B6B" w14:textId="77777777" w:rsidTr="008175F8">
        <w:trPr>
          <w:trHeight w:val="37"/>
        </w:trPr>
        <w:tc>
          <w:tcPr>
            <w:tcW w:w="8545" w:type="dxa"/>
            <w:shd w:val="clear" w:color="auto" w:fill="auto"/>
          </w:tcPr>
          <w:p w14:paraId="274227E7"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E47D1F" w14:paraId="41828035" w14:textId="77777777" w:rsidTr="008175F8">
        <w:trPr>
          <w:trHeight w:val="37"/>
        </w:trPr>
        <w:tc>
          <w:tcPr>
            <w:tcW w:w="8545" w:type="dxa"/>
            <w:shd w:val="clear" w:color="auto" w:fill="auto"/>
          </w:tcPr>
          <w:p w14:paraId="48B421D3"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E47D1F" w14:paraId="4E57F92B" w14:textId="77777777" w:rsidTr="008175F8">
        <w:trPr>
          <w:trHeight w:val="37"/>
        </w:trPr>
        <w:tc>
          <w:tcPr>
            <w:tcW w:w="8545" w:type="dxa"/>
            <w:shd w:val="clear" w:color="auto" w:fill="auto"/>
          </w:tcPr>
          <w:p w14:paraId="467D41F4"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E47D1F" w14:paraId="0BB43A56" w14:textId="77777777" w:rsidTr="008175F8">
        <w:trPr>
          <w:trHeight w:val="37"/>
        </w:trPr>
        <w:tc>
          <w:tcPr>
            <w:tcW w:w="8545" w:type="dxa"/>
            <w:shd w:val="clear" w:color="auto" w:fill="auto"/>
          </w:tcPr>
          <w:p w14:paraId="1FFEC40F"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E47D1F" w14:paraId="441437A3" w14:textId="77777777" w:rsidTr="008175F8">
        <w:trPr>
          <w:trHeight w:val="37"/>
        </w:trPr>
        <w:tc>
          <w:tcPr>
            <w:tcW w:w="8545" w:type="dxa"/>
            <w:shd w:val="clear" w:color="auto" w:fill="31849B" w:themeFill="accent5" w:themeFillShade="BF"/>
          </w:tcPr>
          <w:p w14:paraId="1C2EA247" w14:textId="77777777" w:rsidR="00A53CEA" w:rsidRPr="005B0132" w:rsidRDefault="00344DF9" w:rsidP="008175F8">
            <w:pPr>
              <w:pStyle w:val="Normal0"/>
              <w:rPr>
                <w:rFonts w:asciiTheme="minorHAnsi" w:hAnsiTheme="minorHAnsi" w:cstheme="minorHAnsi"/>
                <w:b/>
                <w:i/>
                <w:color w:val="DBE5F1" w:themeColor="accent1" w:themeTint="33"/>
                <w:sz w:val="32"/>
                <w:szCs w:val="20"/>
              </w:rPr>
            </w:pPr>
            <w:r>
              <w:t>Civil Rights</w:t>
            </w:r>
          </w:p>
        </w:tc>
      </w:tr>
      <w:tr w:rsidR="00E47D1F" w14:paraId="6AEB55C1" w14:textId="77777777" w:rsidTr="008175F8">
        <w:trPr>
          <w:trHeight w:val="37"/>
        </w:trPr>
        <w:tc>
          <w:tcPr>
            <w:tcW w:w="8545" w:type="dxa"/>
            <w:shd w:val="clear" w:color="auto" w:fill="auto"/>
          </w:tcPr>
          <w:p w14:paraId="56A74ABF" w14:textId="77777777" w:rsidR="00A53CEA" w:rsidRPr="005B0132" w:rsidRDefault="00344DF9" w:rsidP="00A53CEA">
            <w:pPr>
              <w:pStyle w:val="ListParagraph"/>
              <w:numPr>
                <w:ilvl w:val="0"/>
                <w:numId w:val="2"/>
              </w:numPr>
              <w:ind w:left="540"/>
              <w:rPr>
                <w:rFonts w:ascii="Times New Roman" w:hAnsi="Times New Roman" w:cs="Times New Roman"/>
                <w:sz w:val="20"/>
                <w:szCs w:val="20"/>
              </w:rPr>
            </w:pPr>
            <w:r>
              <w:t>The SFA does not collect racial/ethnic data on an annual basis.</w:t>
            </w:r>
          </w:p>
        </w:tc>
      </w:tr>
    </w:tbl>
    <w:p w14:paraId="6145BB2E" w14:textId="77777777" w:rsidR="00A53CEA" w:rsidRPr="00223718" w:rsidRDefault="00E0576E" w:rsidP="00A53CEA">
      <w:pPr>
        <w:pStyle w:val="Normal0"/>
        <w:rPr>
          <w:rFonts w:ascii="Times New Roman" w:hAnsi="Times New Roman" w:cs="Times New Roman"/>
          <w:sz w:val="20"/>
          <w:szCs w:val="20"/>
        </w:rPr>
      </w:pPr>
    </w:p>
    <w:p w14:paraId="4B2ACD78" w14:textId="77777777" w:rsidR="00A53CEA" w:rsidRDefault="00E0576E" w:rsidP="00A53CEA">
      <w:pPr>
        <w:pStyle w:val="Normal0"/>
      </w:pPr>
    </w:p>
    <w:p w14:paraId="441954CD" w14:textId="77777777" w:rsidR="006D68B7" w:rsidRDefault="00E0576E">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47D1F" w14:paraId="49CD3DBB" w14:textId="77777777" w:rsidTr="00A708A7">
        <w:trPr>
          <w:trHeight w:val="37"/>
        </w:trPr>
        <w:tc>
          <w:tcPr>
            <w:tcW w:w="8545" w:type="dxa"/>
            <w:shd w:val="clear" w:color="auto" w:fill="31849B" w:themeFill="accent5" w:themeFillShade="BF"/>
          </w:tcPr>
          <w:p w14:paraId="1AD71F02" w14:textId="77777777" w:rsidR="00E2351D" w:rsidRPr="00935CAD" w:rsidRDefault="00344DF9" w:rsidP="00A708A7">
            <w:pPr>
              <w:pStyle w:val="Normal1"/>
              <w:rPr>
                <w:rFonts w:ascii="Times New Roman" w:hAnsi="Times New Roman" w:cs="Times New Roman"/>
                <w:b/>
                <w:i/>
                <w:color w:val="DBE5F1" w:themeColor="accent1" w:themeTint="33"/>
                <w:sz w:val="24"/>
                <w:szCs w:val="24"/>
              </w:rPr>
            </w:pPr>
            <w:r w:rsidRPr="004A60FC">
              <w:rPr>
                <w:rFonts w:ascii="Times New Roman" w:hAnsi="Times New Roman" w:cs="Times New Roman"/>
                <w:b/>
                <w:i/>
                <w:color w:val="auto"/>
                <w:sz w:val="24"/>
                <w:szCs w:val="24"/>
              </w:rPr>
              <w:lastRenderedPageBreak/>
              <w:t>Noteworthy Observations</w:t>
            </w:r>
          </w:p>
        </w:tc>
      </w:tr>
      <w:tr w:rsidR="00E47D1F" w14:paraId="085382B0" w14:textId="77777777" w:rsidTr="00A708A7">
        <w:trPr>
          <w:trHeight w:val="37"/>
        </w:trPr>
        <w:tc>
          <w:tcPr>
            <w:tcW w:w="8545" w:type="dxa"/>
            <w:shd w:val="clear" w:color="auto" w:fill="auto"/>
          </w:tcPr>
          <w:p w14:paraId="61C61D00" w14:textId="77777777" w:rsidR="00E2351D" w:rsidRPr="00935CAD" w:rsidRDefault="00344DF9" w:rsidP="00A708A7">
            <w:pPr>
              <w:pStyle w:val="Normal1"/>
              <w:rPr>
                <w:rFonts w:ascii="Times New Roman" w:hAnsi="Times New Roman" w:cs="Times New Roman"/>
                <w:sz w:val="20"/>
                <w:szCs w:val="20"/>
              </w:rPr>
            </w:pPr>
            <w:r>
              <w:t xml:space="preserve">The Review Team found the following noteworthy items: The Cutchins program has had lots of staff turnover and the former people who oversaw the NSLP program have left the program.  Lisa was very knowledgeable and invested in her work.  She was open to feedback and is working very </w:t>
            </w:r>
            <w:proofErr w:type="spellStart"/>
            <w:r>
              <w:t>herd</w:t>
            </w:r>
            <w:proofErr w:type="spellEnd"/>
            <w:r>
              <w:t xml:space="preserve"> to ensure the children have access to safe and nutritious meals.</w:t>
            </w:r>
          </w:p>
        </w:tc>
      </w:tr>
    </w:tbl>
    <w:p w14:paraId="06C94CD1" w14:textId="77777777" w:rsidR="006D68B7" w:rsidRDefault="00E0576E">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F6557" w14:textId="77777777" w:rsidR="00E0576E" w:rsidRDefault="00E0576E">
      <w:r>
        <w:separator/>
      </w:r>
    </w:p>
  </w:endnote>
  <w:endnote w:type="continuationSeparator" w:id="0">
    <w:p w14:paraId="5BD24DCD" w14:textId="77777777" w:rsidR="00E0576E" w:rsidRDefault="00E0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46DC9" w14:textId="77777777" w:rsidR="0037068A" w:rsidRDefault="00344DF9" w:rsidP="000F3A03">
    <w:pPr>
      <w:pStyle w:val="Footer"/>
      <w:jc w:val="center"/>
      <w:rPr>
        <w:sz w:val="14"/>
      </w:rPr>
    </w:pPr>
    <w:r>
      <w:rPr>
        <w:sz w:val="14"/>
      </w:rPr>
      <w:t>This institution is an equal opportunity provider</w:t>
    </w:r>
  </w:p>
  <w:p w14:paraId="08148E31" w14:textId="77777777" w:rsidR="0037068A" w:rsidRDefault="00E05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39F7" w14:textId="77777777" w:rsidR="0037068A" w:rsidRDefault="00344DF9" w:rsidP="000F3A03">
    <w:pPr>
      <w:pStyle w:val="Footer0"/>
      <w:jc w:val="center"/>
      <w:rPr>
        <w:sz w:val="14"/>
      </w:rPr>
    </w:pPr>
    <w:r>
      <w:rPr>
        <w:sz w:val="14"/>
      </w:rPr>
      <w:t>This institution is an equal opportunity provider</w:t>
    </w:r>
  </w:p>
  <w:p w14:paraId="77409AF5" w14:textId="77777777" w:rsidR="0037068A" w:rsidRDefault="00E0576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C07A0" w14:textId="77777777" w:rsidR="00E0576E" w:rsidRDefault="00E0576E">
      <w:r>
        <w:separator/>
      </w:r>
    </w:p>
  </w:footnote>
  <w:footnote w:type="continuationSeparator" w:id="0">
    <w:p w14:paraId="756C2E44" w14:textId="77777777" w:rsidR="00E0576E" w:rsidRDefault="00E05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2A4E4688">
      <w:start w:val="1"/>
      <w:numFmt w:val="decimal"/>
      <w:lvlText w:val="%1."/>
      <w:lvlJc w:val="left"/>
      <w:pPr>
        <w:ind w:left="720" w:hanging="360"/>
      </w:pPr>
      <w:rPr>
        <w:rFonts w:hint="default"/>
      </w:rPr>
    </w:lvl>
    <w:lvl w:ilvl="1" w:tplc="5922EC26" w:tentative="1">
      <w:start w:val="1"/>
      <w:numFmt w:val="lowerLetter"/>
      <w:lvlText w:val="%2."/>
      <w:lvlJc w:val="left"/>
      <w:pPr>
        <w:ind w:left="1440" w:hanging="360"/>
      </w:pPr>
    </w:lvl>
    <w:lvl w:ilvl="2" w:tplc="078847BC" w:tentative="1">
      <w:start w:val="1"/>
      <w:numFmt w:val="lowerRoman"/>
      <w:lvlText w:val="%3."/>
      <w:lvlJc w:val="right"/>
      <w:pPr>
        <w:ind w:left="2160" w:hanging="180"/>
      </w:pPr>
    </w:lvl>
    <w:lvl w:ilvl="3" w:tplc="7AC8A772" w:tentative="1">
      <w:start w:val="1"/>
      <w:numFmt w:val="decimal"/>
      <w:lvlText w:val="%4."/>
      <w:lvlJc w:val="left"/>
      <w:pPr>
        <w:ind w:left="2880" w:hanging="360"/>
      </w:pPr>
    </w:lvl>
    <w:lvl w:ilvl="4" w:tplc="60AE6A32" w:tentative="1">
      <w:start w:val="1"/>
      <w:numFmt w:val="lowerLetter"/>
      <w:lvlText w:val="%5."/>
      <w:lvlJc w:val="left"/>
      <w:pPr>
        <w:ind w:left="3600" w:hanging="360"/>
      </w:pPr>
    </w:lvl>
    <w:lvl w:ilvl="5" w:tplc="81482C98" w:tentative="1">
      <w:start w:val="1"/>
      <w:numFmt w:val="lowerRoman"/>
      <w:lvlText w:val="%6."/>
      <w:lvlJc w:val="right"/>
      <w:pPr>
        <w:ind w:left="4320" w:hanging="180"/>
      </w:pPr>
    </w:lvl>
    <w:lvl w:ilvl="6" w:tplc="41E68404" w:tentative="1">
      <w:start w:val="1"/>
      <w:numFmt w:val="decimal"/>
      <w:lvlText w:val="%7."/>
      <w:lvlJc w:val="left"/>
      <w:pPr>
        <w:ind w:left="5040" w:hanging="360"/>
      </w:pPr>
    </w:lvl>
    <w:lvl w:ilvl="7" w:tplc="F954997E" w:tentative="1">
      <w:start w:val="1"/>
      <w:numFmt w:val="lowerLetter"/>
      <w:lvlText w:val="%8."/>
      <w:lvlJc w:val="left"/>
      <w:pPr>
        <w:ind w:left="5760" w:hanging="360"/>
      </w:pPr>
    </w:lvl>
    <w:lvl w:ilvl="8" w:tplc="0BA4DAC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EDA8DB08">
      <w:start w:val="1"/>
      <w:numFmt w:val="bullet"/>
      <w:lvlText w:val=""/>
      <w:lvlJc w:val="left"/>
      <w:pPr>
        <w:ind w:left="720" w:hanging="360"/>
      </w:pPr>
      <w:rPr>
        <w:rFonts w:ascii="Symbol" w:hAnsi="Symbol" w:hint="default"/>
      </w:rPr>
    </w:lvl>
    <w:lvl w:ilvl="1" w:tplc="75ACE6C4" w:tentative="1">
      <w:start w:val="1"/>
      <w:numFmt w:val="bullet"/>
      <w:lvlText w:val="o"/>
      <w:lvlJc w:val="left"/>
      <w:pPr>
        <w:ind w:left="1440" w:hanging="360"/>
      </w:pPr>
      <w:rPr>
        <w:rFonts w:ascii="Courier New" w:hAnsi="Courier New" w:cs="Courier New" w:hint="default"/>
      </w:rPr>
    </w:lvl>
    <w:lvl w:ilvl="2" w:tplc="8BD04EE6" w:tentative="1">
      <w:start w:val="1"/>
      <w:numFmt w:val="bullet"/>
      <w:lvlText w:val=""/>
      <w:lvlJc w:val="left"/>
      <w:pPr>
        <w:ind w:left="2160" w:hanging="360"/>
      </w:pPr>
      <w:rPr>
        <w:rFonts w:ascii="Wingdings" w:hAnsi="Wingdings" w:hint="default"/>
      </w:rPr>
    </w:lvl>
    <w:lvl w:ilvl="3" w:tplc="1FF2CB04" w:tentative="1">
      <w:start w:val="1"/>
      <w:numFmt w:val="bullet"/>
      <w:lvlText w:val=""/>
      <w:lvlJc w:val="left"/>
      <w:pPr>
        <w:ind w:left="2880" w:hanging="360"/>
      </w:pPr>
      <w:rPr>
        <w:rFonts w:ascii="Symbol" w:hAnsi="Symbol" w:hint="default"/>
      </w:rPr>
    </w:lvl>
    <w:lvl w:ilvl="4" w:tplc="E2767166" w:tentative="1">
      <w:start w:val="1"/>
      <w:numFmt w:val="bullet"/>
      <w:lvlText w:val="o"/>
      <w:lvlJc w:val="left"/>
      <w:pPr>
        <w:ind w:left="3600" w:hanging="360"/>
      </w:pPr>
      <w:rPr>
        <w:rFonts w:ascii="Courier New" w:hAnsi="Courier New" w:cs="Courier New" w:hint="default"/>
      </w:rPr>
    </w:lvl>
    <w:lvl w:ilvl="5" w:tplc="EA0C6BD6" w:tentative="1">
      <w:start w:val="1"/>
      <w:numFmt w:val="bullet"/>
      <w:lvlText w:val=""/>
      <w:lvlJc w:val="left"/>
      <w:pPr>
        <w:ind w:left="4320" w:hanging="360"/>
      </w:pPr>
      <w:rPr>
        <w:rFonts w:ascii="Wingdings" w:hAnsi="Wingdings" w:hint="default"/>
      </w:rPr>
    </w:lvl>
    <w:lvl w:ilvl="6" w:tplc="88B4CAA8" w:tentative="1">
      <w:start w:val="1"/>
      <w:numFmt w:val="bullet"/>
      <w:lvlText w:val=""/>
      <w:lvlJc w:val="left"/>
      <w:pPr>
        <w:ind w:left="5040" w:hanging="360"/>
      </w:pPr>
      <w:rPr>
        <w:rFonts w:ascii="Symbol" w:hAnsi="Symbol" w:hint="default"/>
      </w:rPr>
    </w:lvl>
    <w:lvl w:ilvl="7" w:tplc="1CF06A1C" w:tentative="1">
      <w:start w:val="1"/>
      <w:numFmt w:val="bullet"/>
      <w:lvlText w:val="o"/>
      <w:lvlJc w:val="left"/>
      <w:pPr>
        <w:ind w:left="5760" w:hanging="360"/>
      </w:pPr>
      <w:rPr>
        <w:rFonts w:ascii="Courier New" w:hAnsi="Courier New" w:cs="Courier New" w:hint="default"/>
      </w:rPr>
    </w:lvl>
    <w:lvl w:ilvl="8" w:tplc="38C2D2C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1F"/>
    <w:rsid w:val="00077995"/>
    <w:rsid w:val="00344DF9"/>
    <w:rsid w:val="004A60FC"/>
    <w:rsid w:val="00E0576E"/>
    <w:rsid w:val="00E47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C302"/>
  <w15:docId w15:val="{CC674013-0A54-413A-83A3-E61E9A37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8002C-FA38-4EFD-9694-B81D6B172E99}">
  <ds:schemaRefs>
    <ds:schemaRef ds:uri="http://schemas.microsoft.com/sharepoint/v3/contenttype/forms"/>
  </ds:schemaRefs>
</ds:datastoreItem>
</file>

<file path=customXml/itemProps2.xml><?xml version="1.0" encoding="utf-8"?>
<ds:datastoreItem xmlns:ds="http://schemas.openxmlformats.org/officeDocument/2006/customXml" ds:itemID="{41679CDE-A4E6-4C1F-BBE0-F31072A6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Cutchins Programs for Children Administrative Review Summary School Year 2021-2022</dc:title>
  <dc:subject/>
  <dc:creator>DESE</dc:creator>
  <cp:keywords/>
  <cp:lastModifiedBy>Zou, Dong (EOE)</cp:lastModifiedBy>
  <cp:revision>9</cp:revision>
  <dcterms:created xsi:type="dcterms:W3CDTF">2016-12-05T21:17:00Z</dcterms:created>
  <dcterms:modified xsi:type="dcterms:W3CDTF">2022-06-30T21:21:00Z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