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C9975" w14:textId="77777777" w:rsidR="00CA19B4" w:rsidRPr="00200779" w:rsidRDefault="003D0ED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028189B" w14:textId="77777777" w:rsidR="00CA19B4" w:rsidRDefault="004112F1" w:rsidP="00CA19B4">
      <w:pPr>
        <w:jc w:val="center"/>
        <w:rPr>
          <w:rFonts w:ascii="Times New Roman" w:hAnsi="Times New Roman" w:cs="Times New Roman"/>
          <w:sz w:val="24"/>
          <w:szCs w:val="24"/>
        </w:rPr>
      </w:pPr>
    </w:p>
    <w:p w14:paraId="2D44D54A" w14:textId="77777777" w:rsidR="00CA19B4" w:rsidRDefault="003D0ED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4B74FB3" w14:textId="77777777" w:rsidR="00CA19B4" w:rsidRDefault="004112F1" w:rsidP="00CA19B4">
      <w:pPr>
        <w:rPr>
          <w:rFonts w:ascii="Times New Roman" w:hAnsi="Times New Roman" w:cs="Times New Roman"/>
          <w:sz w:val="20"/>
          <w:szCs w:val="20"/>
        </w:rPr>
      </w:pPr>
    </w:p>
    <w:p w14:paraId="47795B5F" w14:textId="77777777" w:rsidR="00CA19B4" w:rsidRDefault="004112F1" w:rsidP="00CA19B4">
      <w:pPr>
        <w:rPr>
          <w:rFonts w:ascii="Times New Roman" w:hAnsi="Times New Roman" w:cs="Times New Roman"/>
          <w:sz w:val="20"/>
          <w:szCs w:val="20"/>
        </w:rPr>
      </w:pPr>
    </w:p>
    <w:p w14:paraId="15B32115" w14:textId="77777777" w:rsidR="00CA19B4" w:rsidRPr="00B63138" w:rsidRDefault="003D0ED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Department of Youth Services</w:t>
      </w:r>
      <w:bookmarkEnd w:id="0"/>
    </w:p>
    <w:p w14:paraId="1408E6BE" w14:textId="77777777" w:rsidR="00CA19B4" w:rsidRDefault="004112F1" w:rsidP="00CA19B4">
      <w:pPr>
        <w:rPr>
          <w:rFonts w:ascii="Times New Roman" w:hAnsi="Times New Roman" w:cs="Times New Roman"/>
          <w:sz w:val="20"/>
          <w:szCs w:val="20"/>
        </w:rPr>
      </w:pPr>
    </w:p>
    <w:p w14:paraId="3488BEC5" w14:textId="77777777" w:rsidR="00CA19B4" w:rsidRDefault="003D0ED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05/03/2022</w:t>
      </w:r>
      <w:bookmarkEnd w:id="1"/>
    </w:p>
    <w:p w14:paraId="7D0B6ACC" w14:textId="77777777" w:rsidR="00CA19B4" w:rsidRDefault="004112F1" w:rsidP="00CA19B4">
      <w:pPr>
        <w:rPr>
          <w:rFonts w:ascii="Times New Roman" w:hAnsi="Times New Roman" w:cs="Times New Roman"/>
          <w:sz w:val="20"/>
          <w:szCs w:val="20"/>
        </w:rPr>
      </w:pPr>
    </w:p>
    <w:p w14:paraId="3A0D0F24" w14:textId="77777777" w:rsidR="00CA19B4" w:rsidRDefault="003D0ED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05/05/2022</w:t>
      </w:r>
      <w:bookmarkEnd w:id="2"/>
    </w:p>
    <w:p w14:paraId="220ABBCF" w14:textId="77777777" w:rsidR="00CA19B4" w:rsidRDefault="003D0ED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0D3C4FA" w14:textId="77777777" w:rsidR="00CA19B4" w:rsidRDefault="004112F1" w:rsidP="00CA19B4">
      <w:pPr>
        <w:pBdr>
          <w:bottom w:val="single" w:sz="12" w:space="1" w:color="auto"/>
        </w:pBdr>
        <w:rPr>
          <w:rFonts w:ascii="Times New Roman" w:hAnsi="Times New Roman" w:cs="Times New Roman"/>
          <w:sz w:val="20"/>
          <w:szCs w:val="20"/>
        </w:rPr>
      </w:pPr>
    </w:p>
    <w:p w14:paraId="273856F4" w14:textId="77777777" w:rsidR="00CA19B4" w:rsidRDefault="003D0ED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76CA7F5" w14:textId="77777777" w:rsidR="00CA19B4" w:rsidRDefault="004112F1" w:rsidP="00CA19B4">
      <w:pPr>
        <w:rPr>
          <w:rFonts w:ascii="Times New Roman" w:hAnsi="Times New Roman" w:cs="Times New Roman"/>
          <w:sz w:val="20"/>
          <w:szCs w:val="20"/>
        </w:rPr>
      </w:pPr>
    </w:p>
    <w:p w14:paraId="5E742942" w14:textId="77777777" w:rsidR="00CA19B4" w:rsidRPr="00223718" w:rsidRDefault="003D0ED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95FBF37" w14:textId="77777777" w:rsidR="00CA19B4" w:rsidRDefault="004112F1" w:rsidP="00CA19B4">
      <w:pPr>
        <w:rPr>
          <w:rFonts w:ascii="Times New Roman" w:hAnsi="Times New Roman" w:cs="Times New Roman"/>
          <w:sz w:val="20"/>
          <w:szCs w:val="20"/>
        </w:rPr>
      </w:pPr>
    </w:p>
    <w:p w14:paraId="59376C95" w14:textId="77777777" w:rsidR="00CA19B4" w:rsidRDefault="003D0E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E4D7489" w14:textId="77777777" w:rsidR="00CA19B4" w:rsidRDefault="004112F1" w:rsidP="00CA19B4">
      <w:pPr>
        <w:ind w:left="720"/>
        <w:rPr>
          <w:rFonts w:ascii="Times New Roman" w:hAnsi="Times New Roman" w:cs="Times New Roman"/>
          <w:sz w:val="20"/>
          <w:szCs w:val="20"/>
        </w:rPr>
      </w:pPr>
    </w:p>
    <w:bookmarkStart w:id="3" w:name="CHK_SBP"/>
    <w:p w14:paraId="3C7C6E88" w14:textId="77777777" w:rsidR="00CA19B4" w:rsidRDefault="003D0E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112F1">
        <w:rPr>
          <w:rFonts w:ascii="Times New Roman" w:hAnsi="Times New Roman" w:cs="Times New Roman"/>
          <w:sz w:val="20"/>
          <w:szCs w:val="20"/>
        </w:rPr>
      </w:r>
      <w:r w:rsidR="004112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CA92B2E" w14:textId="77777777" w:rsidR="00CA19B4" w:rsidRDefault="003D0E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112F1">
        <w:rPr>
          <w:rFonts w:ascii="Times New Roman" w:hAnsi="Times New Roman" w:cs="Times New Roman"/>
          <w:sz w:val="20"/>
          <w:szCs w:val="20"/>
        </w:rPr>
      </w:r>
      <w:r w:rsidR="004112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0EA3A09" w14:textId="77777777" w:rsidR="00CA19B4" w:rsidRDefault="003D0E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112F1">
        <w:rPr>
          <w:rFonts w:ascii="Times New Roman" w:hAnsi="Times New Roman" w:cs="Times New Roman"/>
          <w:sz w:val="20"/>
          <w:szCs w:val="20"/>
        </w:rPr>
      </w:r>
      <w:r w:rsidR="004112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4C13932" w14:textId="77777777" w:rsidR="00CA19B4" w:rsidRDefault="003D0E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112F1">
        <w:rPr>
          <w:rFonts w:ascii="Times New Roman" w:hAnsi="Times New Roman" w:cs="Times New Roman"/>
          <w:sz w:val="20"/>
          <w:szCs w:val="20"/>
        </w:rPr>
      </w:r>
      <w:r w:rsidR="004112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3BC0968" w14:textId="77777777" w:rsidR="00CA19B4" w:rsidRDefault="003D0E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112F1">
        <w:rPr>
          <w:rFonts w:ascii="Times New Roman" w:hAnsi="Times New Roman" w:cs="Times New Roman"/>
          <w:sz w:val="20"/>
          <w:szCs w:val="20"/>
        </w:rPr>
      </w:r>
      <w:r w:rsidR="004112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FC1B73F" w14:textId="77777777" w:rsidR="00CA19B4" w:rsidRDefault="003D0E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112F1">
        <w:rPr>
          <w:rFonts w:ascii="Times New Roman" w:hAnsi="Times New Roman" w:cs="Times New Roman"/>
          <w:sz w:val="20"/>
          <w:szCs w:val="20"/>
        </w:rPr>
      </w:r>
      <w:r w:rsidR="004112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59FA4E8" w14:textId="77777777" w:rsidR="00CA19B4" w:rsidRDefault="004112F1" w:rsidP="00CA19B4">
      <w:pPr>
        <w:rPr>
          <w:rFonts w:ascii="Times New Roman" w:hAnsi="Times New Roman" w:cs="Times New Roman"/>
          <w:sz w:val="20"/>
          <w:szCs w:val="20"/>
        </w:rPr>
      </w:pPr>
    </w:p>
    <w:p w14:paraId="38863AE3" w14:textId="77777777" w:rsidR="00CA19B4" w:rsidRDefault="003D0E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08DF1CE" w14:textId="77777777" w:rsidR="00CA19B4" w:rsidRDefault="004112F1" w:rsidP="00CA19B4">
      <w:pPr>
        <w:ind w:left="720"/>
        <w:rPr>
          <w:rFonts w:ascii="Times New Roman" w:hAnsi="Times New Roman" w:cs="Times New Roman"/>
          <w:sz w:val="20"/>
          <w:szCs w:val="20"/>
        </w:rPr>
      </w:pPr>
    </w:p>
    <w:bookmarkStart w:id="9" w:name="CHK_CEP"/>
    <w:p w14:paraId="30822F6C" w14:textId="77777777" w:rsidR="00CA19B4" w:rsidRDefault="003D0E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112F1">
        <w:rPr>
          <w:rFonts w:ascii="Times New Roman" w:hAnsi="Times New Roman" w:cs="Times New Roman"/>
          <w:sz w:val="20"/>
          <w:szCs w:val="20"/>
        </w:rPr>
      </w:r>
      <w:r w:rsidR="004112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D6215EF" w14:textId="77777777" w:rsidR="00CA19B4" w:rsidRDefault="003D0E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112F1">
        <w:rPr>
          <w:rFonts w:ascii="Times New Roman" w:hAnsi="Times New Roman" w:cs="Times New Roman"/>
          <w:sz w:val="20"/>
          <w:szCs w:val="20"/>
        </w:rPr>
      </w:r>
      <w:r w:rsidR="004112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6F0212F" w14:textId="77777777" w:rsidR="00CA19B4" w:rsidRDefault="003D0E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112F1">
        <w:rPr>
          <w:rFonts w:ascii="Times New Roman" w:hAnsi="Times New Roman" w:cs="Times New Roman"/>
          <w:sz w:val="20"/>
          <w:szCs w:val="20"/>
        </w:rPr>
      </w:r>
      <w:r w:rsidR="004112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535B3C2" w14:textId="77777777" w:rsidR="00CA19B4" w:rsidRDefault="003D0E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112F1">
        <w:rPr>
          <w:rFonts w:ascii="Times New Roman" w:hAnsi="Times New Roman" w:cs="Times New Roman"/>
          <w:sz w:val="20"/>
          <w:szCs w:val="20"/>
        </w:rPr>
      </w:r>
      <w:r w:rsidR="004112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83DEF58" w14:textId="77777777" w:rsidR="00CA19B4" w:rsidRDefault="004112F1" w:rsidP="00CA19B4">
      <w:pPr>
        <w:rPr>
          <w:rFonts w:ascii="Times New Roman" w:hAnsi="Times New Roman" w:cs="Times New Roman"/>
          <w:sz w:val="20"/>
          <w:szCs w:val="20"/>
        </w:rPr>
      </w:pPr>
    </w:p>
    <w:p w14:paraId="3B13E2F4" w14:textId="77777777" w:rsidR="00CA19B4" w:rsidRPr="00D6151F" w:rsidRDefault="003D0ED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4F67845" w14:textId="77777777" w:rsidR="00CA19B4" w:rsidRDefault="004112F1" w:rsidP="00CA19B4">
      <w:pPr>
        <w:rPr>
          <w:rFonts w:ascii="Times New Roman" w:hAnsi="Times New Roman" w:cs="Times New Roman"/>
          <w:sz w:val="20"/>
          <w:szCs w:val="20"/>
        </w:rPr>
      </w:pPr>
    </w:p>
    <w:p w14:paraId="7E70A96F" w14:textId="77777777" w:rsidR="00CA19B4" w:rsidRDefault="003D0E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320F445" w14:textId="77777777" w:rsidR="00CA19B4" w:rsidRDefault="003D0ED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4112F1">
        <w:rPr>
          <w:rFonts w:ascii="MS Gothic" w:eastAsia="MS Gothic" w:hAnsi="Times New Roman" w:cs="Times New Roman"/>
          <w:sz w:val="20"/>
          <w:szCs w:val="20"/>
        </w:rPr>
      </w:r>
      <w:r w:rsidR="004112F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4112F1">
        <w:rPr>
          <w:rFonts w:ascii="MS Gothic" w:eastAsia="MS Gothic" w:hAnsi="Times New Roman" w:cs="Times New Roman"/>
          <w:sz w:val="20"/>
          <w:szCs w:val="20"/>
        </w:rPr>
      </w:r>
      <w:r w:rsidR="004112F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247D91A" w14:textId="77777777" w:rsidR="00CA19B4" w:rsidRDefault="004112F1" w:rsidP="00CA19B4">
      <w:pPr>
        <w:ind w:firstLine="720"/>
        <w:rPr>
          <w:rFonts w:ascii="Times New Roman" w:hAnsi="Times New Roman" w:cs="Times New Roman"/>
          <w:sz w:val="20"/>
          <w:szCs w:val="20"/>
        </w:rPr>
      </w:pPr>
    </w:p>
    <w:p w14:paraId="796092B5" w14:textId="77777777" w:rsidR="00CA19B4" w:rsidRDefault="003D0ED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8E928E9" w14:textId="77777777" w:rsidR="006D68B7" w:rsidRDefault="004112F1">
      <w:pPr>
        <w:sectPr w:rsidR="006D68B7" w:rsidSect="005B420A">
          <w:footerReference w:type="default" r:id="rId9"/>
          <w:pgSz w:w="12240" w:h="15840"/>
          <w:pgMar w:top="1440" w:right="1440" w:bottom="1440" w:left="1440" w:header="720" w:footer="720" w:gutter="0"/>
          <w:cols w:space="720"/>
        </w:sectPr>
      </w:pPr>
    </w:p>
    <w:p w14:paraId="73D32F8F" w14:textId="77777777" w:rsidR="00A53CEA" w:rsidRDefault="004112F1" w:rsidP="00A53CEA">
      <w:pPr>
        <w:pStyle w:val="Normal0"/>
        <w:ind w:firstLine="720"/>
        <w:rPr>
          <w:rFonts w:ascii="Times New Roman" w:hAnsi="Times New Roman" w:cs="Times New Roman"/>
          <w:sz w:val="20"/>
          <w:szCs w:val="20"/>
        </w:rPr>
      </w:pPr>
    </w:p>
    <w:p w14:paraId="07D474A4" w14:textId="77777777" w:rsidR="00A53CEA" w:rsidRPr="00C61944" w:rsidRDefault="003D0ED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12B71" w14:paraId="0E31ABC2" w14:textId="77777777" w:rsidTr="008175F8">
        <w:trPr>
          <w:trHeight w:val="37"/>
        </w:trPr>
        <w:tc>
          <w:tcPr>
            <w:tcW w:w="8545" w:type="dxa"/>
            <w:shd w:val="clear" w:color="auto" w:fill="31849B" w:themeFill="accent5" w:themeFillShade="BF"/>
          </w:tcPr>
          <w:p w14:paraId="7C8B7C6F" w14:textId="77777777" w:rsidR="00A53CEA" w:rsidRPr="005B0132" w:rsidRDefault="003D0ED0" w:rsidP="008175F8">
            <w:pPr>
              <w:pStyle w:val="Normal0"/>
              <w:rPr>
                <w:rFonts w:asciiTheme="minorHAnsi" w:hAnsiTheme="minorHAnsi" w:cstheme="minorHAnsi"/>
                <w:b/>
                <w:i/>
                <w:color w:val="DBE5F1" w:themeColor="accent1" w:themeTint="33"/>
                <w:sz w:val="32"/>
                <w:szCs w:val="20"/>
              </w:rPr>
            </w:pPr>
            <w:r>
              <w:t>Program Access and Reimbursement</w:t>
            </w:r>
          </w:p>
        </w:tc>
      </w:tr>
      <w:tr w:rsidR="00C12B71" w14:paraId="1241B1A9" w14:textId="77777777" w:rsidTr="008175F8">
        <w:trPr>
          <w:trHeight w:val="37"/>
        </w:trPr>
        <w:tc>
          <w:tcPr>
            <w:tcW w:w="8545" w:type="dxa"/>
            <w:shd w:val="clear" w:color="auto" w:fill="D9D9D9" w:themeFill="background1" w:themeFillShade="D9"/>
          </w:tcPr>
          <w:p w14:paraId="2296E7A7" w14:textId="77777777" w:rsidR="00A53CEA" w:rsidRPr="0076532F" w:rsidRDefault="003D0ED0" w:rsidP="008175F8">
            <w:pPr>
              <w:pStyle w:val="Normal0"/>
              <w:rPr>
                <w:rFonts w:ascii="Times New Roman" w:hAnsi="Times New Roman" w:cs="Times New Roman"/>
                <w:b/>
                <w:sz w:val="20"/>
                <w:szCs w:val="20"/>
              </w:rPr>
            </w:pPr>
            <w:r>
              <w:t>Meal Counting and Claiming</w:t>
            </w:r>
          </w:p>
        </w:tc>
      </w:tr>
      <w:tr w:rsidR="00C12B71" w14:paraId="01D59BAB" w14:textId="77777777" w:rsidTr="008175F8">
        <w:trPr>
          <w:trHeight w:val="37"/>
        </w:trPr>
        <w:tc>
          <w:tcPr>
            <w:tcW w:w="8545" w:type="dxa"/>
            <w:shd w:val="clear" w:color="auto" w:fill="auto"/>
          </w:tcPr>
          <w:p w14:paraId="7D495883" w14:textId="77777777" w:rsidR="00A53CEA" w:rsidRPr="005B0132" w:rsidRDefault="003D0ED0"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C12B71" w14:paraId="736A8387" w14:textId="77777777" w:rsidTr="008175F8">
        <w:trPr>
          <w:trHeight w:val="37"/>
        </w:trPr>
        <w:tc>
          <w:tcPr>
            <w:tcW w:w="8545" w:type="dxa"/>
            <w:shd w:val="clear" w:color="auto" w:fill="auto"/>
          </w:tcPr>
          <w:p w14:paraId="7AC1AF2E" w14:textId="77777777" w:rsidR="00A53CEA" w:rsidRPr="005B0132" w:rsidRDefault="003D0ED0"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meal counts prior to the submission of the monthly Claim for Reimbursement. One or more meal count totals were not combined and recorded correctly.</w:t>
            </w:r>
          </w:p>
        </w:tc>
      </w:tr>
      <w:tr w:rsidR="00C12B71" w14:paraId="60A1EAE5" w14:textId="77777777" w:rsidTr="008175F8">
        <w:trPr>
          <w:trHeight w:val="37"/>
        </w:trPr>
        <w:tc>
          <w:tcPr>
            <w:tcW w:w="8545" w:type="dxa"/>
            <w:shd w:val="clear" w:color="auto" w:fill="31849B" w:themeFill="accent5" w:themeFillShade="BF"/>
          </w:tcPr>
          <w:p w14:paraId="5844C0B6" w14:textId="77777777" w:rsidR="00A53CEA" w:rsidRPr="005B0132" w:rsidRDefault="003D0ED0" w:rsidP="008175F8">
            <w:pPr>
              <w:pStyle w:val="Normal0"/>
              <w:rPr>
                <w:rFonts w:asciiTheme="minorHAnsi" w:hAnsiTheme="minorHAnsi" w:cstheme="minorHAnsi"/>
                <w:b/>
                <w:i/>
                <w:color w:val="DBE5F1" w:themeColor="accent1" w:themeTint="33"/>
                <w:sz w:val="32"/>
                <w:szCs w:val="20"/>
              </w:rPr>
            </w:pPr>
            <w:r>
              <w:t>Meal Patterns and Nutritional Quality</w:t>
            </w:r>
          </w:p>
        </w:tc>
      </w:tr>
      <w:tr w:rsidR="00C12B71" w14:paraId="7C38A945" w14:textId="77777777" w:rsidTr="008175F8">
        <w:trPr>
          <w:trHeight w:val="37"/>
        </w:trPr>
        <w:tc>
          <w:tcPr>
            <w:tcW w:w="8545" w:type="dxa"/>
            <w:shd w:val="clear" w:color="auto" w:fill="D9D9D9" w:themeFill="background1" w:themeFillShade="D9"/>
          </w:tcPr>
          <w:p w14:paraId="3EBD38CB" w14:textId="77777777" w:rsidR="00A53CEA" w:rsidRPr="0076532F" w:rsidRDefault="003D0ED0" w:rsidP="008175F8">
            <w:pPr>
              <w:pStyle w:val="Normal0"/>
              <w:rPr>
                <w:rFonts w:ascii="Times New Roman" w:hAnsi="Times New Roman" w:cs="Times New Roman"/>
                <w:b/>
                <w:sz w:val="20"/>
                <w:szCs w:val="20"/>
              </w:rPr>
            </w:pPr>
            <w:r>
              <w:t>Meal Components and Quantities</w:t>
            </w:r>
          </w:p>
        </w:tc>
      </w:tr>
      <w:tr w:rsidR="00C12B71" w14:paraId="5E728CBD" w14:textId="77777777" w:rsidTr="008175F8">
        <w:trPr>
          <w:trHeight w:val="37"/>
        </w:trPr>
        <w:tc>
          <w:tcPr>
            <w:tcW w:w="8545" w:type="dxa"/>
            <w:shd w:val="clear" w:color="auto" w:fill="auto"/>
          </w:tcPr>
          <w:p w14:paraId="24C2C0FE" w14:textId="77777777" w:rsidR="00A53CEA" w:rsidRPr="005B0132" w:rsidRDefault="003D0ED0"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C12B71" w14:paraId="46446181" w14:textId="77777777" w:rsidTr="008175F8">
        <w:trPr>
          <w:trHeight w:val="37"/>
        </w:trPr>
        <w:tc>
          <w:tcPr>
            <w:tcW w:w="8545" w:type="dxa"/>
            <w:shd w:val="clear" w:color="auto" w:fill="auto"/>
          </w:tcPr>
          <w:p w14:paraId="6B8E1EE7" w14:textId="77777777" w:rsidR="00A53CEA" w:rsidRPr="005B0132" w:rsidRDefault="003D0ED0" w:rsidP="00A53CEA">
            <w:pPr>
              <w:pStyle w:val="ListParagraph"/>
              <w:numPr>
                <w:ilvl w:val="0"/>
                <w:numId w:val="2"/>
              </w:numPr>
              <w:ind w:left="540"/>
              <w:rPr>
                <w:rFonts w:ascii="Times New Roman" w:hAnsi="Times New Roman" w:cs="Times New Roman"/>
                <w:sz w:val="20"/>
                <w:szCs w:val="20"/>
              </w:rPr>
            </w:pPr>
            <w:r>
              <w:t>The school did not comply with the planned menu for the review period.</w:t>
            </w:r>
          </w:p>
        </w:tc>
      </w:tr>
      <w:tr w:rsidR="00C12B71" w14:paraId="423BF299" w14:textId="77777777" w:rsidTr="008175F8">
        <w:trPr>
          <w:trHeight w:val="37"/>
        </w:trPr>
        <w:tc>
          <w:tcPr>
            <w:tcW w:w="8545" w:type="dxa"/>
            <w:shd w:val="clear" w:color="auto" w:fill="31849B" w:themeFill="accent5" w:themeFillShade="BF"/>
          </w:tcPr>
          <w:p w14:paraId="485D66C2" w14:textId="77777777" w:rsidR="00A53CEA" w:rsidRPr="005B0132" w:rsidRDefault="003D0ED0" w:rsidP="008175F8">
            <w:pPr>
              <w:pStyle w:val="Normal0"/>
              <w:rPr>
                <w:rFonts w:asciiTheme="minorHAnsi" w:hAnsiTheme="minorHAnsi" w:cstheme="minorHAnsi"/>
                <w:b/>
                <w:i/>
                <w:color w:val="DBE5F1" w:themeColor="accent1" w:themeTint="33"/>
                <w:sz w:val="32"/>
                <w:szCs w:val="20"/>
              </w:rPr>
            </w:pPr>
            <w:r>
              <w:t>School Nutrition Environment</w:t>
            </w:r>
          </w:p>
        </w:tc>
      </w:tr>
      <w:tr w:rsidR="00C12B71" w14:paraId="17D448BC" w14:textId="77777777" w:rsidTr="008175F8">
        <w:trPr>
          <w:trHeight w:val="37"/>
        </w:trPr>
        <w:tc>
          <w:tcPr>
            <w:tcW w:w="8545" w:type="dxa"/>
            <w:shd w:val="clear" w:color="auto" w:fill="D9D9D9" w:themeFill="background1" w:themeFillShade="D9"/>
          </w:tcPr>
          <w:p w14:paraId="10D6B46C" w14:textId="77777777" w:rsidR="00A53CEA" w:rsidRPr="0076532F" w:rsidRDefault="003D0ED0" w:rsidP="008175F8">
            <w:pPr>
              <w:pStyle w:val="Normal0"/>
              <w:rPr>
                <w:rFonts w:ascii="Times New Roman" w:hAnsi="Times New Roman" w:cs="Times New Roman"/>
                <w:b/>
                <w:sz w:val="20"/>
                <w:szCs w:val="20"/>
              </w:rPr>
            </w:pPr>
            <w:r>
              <w:t>Food Safety</w:t>
            </w:r>
          </w:p>
        </w:tc>
      </w:tr>
      <w:tr w:rsidR="00C12B71" w14:paraId="34EB9AD2" w14:textId="77777777" w:rsidTr="008175F8">
        <w:trPr>
          <w:trHeight w:val="37"/>
        </w:trPr>
        <w:tc>
          <w:tcPr>
            <w:tcW w:w="8545" w:type="dxa"/>
            <w:shd w:val="clear" w:color="auto" w:fill="auto"/>
          </w:tcPr>
          <w:p w14:paraId="45F7224C" w14:textId="77777777" w:rsidR="00A53CEA" w:rsidRPr="005B0132" w:rsidRDefault="003D0ED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C12B71" w14:paraId="71CBFA3E" w14:textId="77777777" w:rsidTr="008175F8">
        <w:trPr>
          <w:trHeight w:val="37"/>
        </w:trPr>
        <w:tc>
          <w:tcPr>
            <w:tcW w:w="8545" w:type="dxa"/>
            <w:shd w:val="clear" w:color="auto" w:fill="auto"/>
          </w:tcPr>
          <w:p w14:paraId="4D9F42A1" w14:textId="77777777" w:rsidR="00A53CEA" w:rsidRPr="005B0132" w:rsidRDefault="003D0ED0" w:rsidP="00A53CEA">
            <w:pPr>
              <w:pStyle w:val="ListParagraph"/>
              <w:numPr>
                <w:ilvl w:val="0"/>
                <w:numId w:val="2"/>
              </w:numPr>
              <w:ind w:left="540"/>
              <w:rPr>
                <w:rFonts w:ascii="Times New Roman" w:hAnsi="Times New Roman" w:cs="Times New Roman"/>
                <w:sz w:val="20"/>
                <w:szCs w:val="20"/>
              </w:rPr>
            </w:pPr>
            <w:r>
              <w:t xml:space="preserve">Dry, cooler and/or freezer storage facilities are not adequate for the program. Facilities for the handling, storage, and distribution of purchased and donated foods must properly safeguard against theft, </w:t>
            </w:r>
            <w:proofErr w:type="gramStart"/>
            <w:r>
              <w:t>spoilage</w:t>
            </w:r>
            <w:proofErr w:type="gramEnd"/>
            <w:r>
              <w:t xml:space="preserve"> and other loss.</w:t>
            </w:r>
          </w:p>
        </w:tc>
      </w:tr>
      <w:tr w:rsidR="00C12B71" w14:paraId="38C01444" w14:textId="77777777" w:rsidTr="008175F8">
        <w:trPr>
          <w:trHeight w:val="37"/>
        </w:trPr>
        <w:tc>
          <w:tcPr>
            <w:tcW w:w="8545" w:type="dxa"/>
            <w:shd w:val="clear" w:color="auto" w:fill="auto"/>
          </w:tcPr>
          <w:p w14:paraId="394C21F9" w14:textId="77777777" w:rsidR="00A53CEA" w:rsidRPr="005B0132" w:rsidRDefault="003D0ED0"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bl>
    <w:p w14:paraId="3BD64121" w14:textId="77777777" w:rsidR="00A53CEA" w:rsidRPr="00223718" w:rsidRDefault="004112F1" w:rsidP="00A53CEA">
      <w:pPr>
        <w:pStyle w:val="Normal0"/>
        <w:rPr>
          <w:rFonts w:ascii="Times New Roman" w:hAnsi="Times New Roman" w:cs="Times New Roman"/>
          <w:sz w:val="20"/>
          <w:szCs w:val="20"/>
        </w:rPr>
      </w:pPr>
    </w:p>
    <w:p w14:paraId="258D7352" w14:textId="77777777" w:rsidR="00A53CEA" w:rsidRDefault="004112F1" w:rsidP="00A53CEA">
      <w:pPr>
        <w:pStyle w:val="Normal0"/>
      </w:pPr>
    </w:p>
    <w:p w14:paraId="3E8DCC95" w14:textId="77777777" w:rsidR="006D68B7" w:rsidRDefault="004112F1">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12B71" w14:paraId="304DC421" w14:textId="77777777" w:rsidTr="00A708A7">
        <w:trPr>
          <w:trHeight w:val="37"/>
        </w:trPr>
        <w:tc>
          <w:tcPr>
            <w:tcW w:w="8545" w:type="dxa"/>
            <w:shd w:val="clear" w:color="auto" w:fill="31849B" w:themeFill="accent5" w:themeFillShade="BF"/>
          </w:tcPr>
          <w:p w14:paraId="60EE4805" w14:textId="77777777" w:rsidR="00E2351D" w:rsidRPr="00935CAD" w:rsidRDefault="003D0ED0" w:rsidP="00A708A7">
            <w:pPr>
              <w:pStyle w:val="Normal1"/>
              <w:rPr>
                <w:rFonts w:ascii="Times New Roman" w:hAnsi="Times New Roman" w:cs="Times New Roman"/>
                <w:b/>
                <w:i/>
                <w:color w:val="DBE5F1" w:themeColor="accent1" w:themeTint="33"/>
                <w:sz w:val="24"/>
                <w:szCs w:val="24"/>
              </w:rPr>
            </w:pPr>
            <w:r w:rsidRPr="00E04E57">
              <w:rPr>
                <w:rFonts w:ascii="Times New Roman" w:hAnsi="Times New Roman" w:cs="Times New Roman"/>
                <w:b/>
                <w:i/>
                <w:color w:val="auto"/>
                <w:sz w:val="24"/>
                <w:szCs w:val="24"/>
              </w:rPr>
              <w:lastRenderedPageBreak/>
              <w:t>Noteworthy Observations</w:t>
            </w:r>
          </w:p>
        </w:tc>
      </w:tr>
      <w:tr w:rsidR="00C12B71" w14:paraId="2646482D" w14:textId="77777777" w:rsidTr="00A708A7">
        <w:trPr>
          <w:trHeight w:val="37"/>
        </w:trPr>
        <w:tc>
          <w:tcPr>
            <w:tcW w:w="8545" w:type="dxa"/>
            <w:shd w:val="clear" w:color="auto" w:fill="auto"/>
          </w:tcPr>
          <w:p w14:paraId="3269F770" w14:textId="77777777" w:rsidR="00E2351D" w:rsidRPr="00935CAD" w:rsidRDefault="003D0ED0" w:rsidP="00A708A7">
            <w:pPr>
              <w:pStyle w:val="Normal1"/>
              <w:rPr>
                <w:rFonts w:ascii="Times New Roman" w:hAnsi="Times New Roman" w:cs="Times New Roman"/>
                <w:sz w:val="20"/>
                <w:szCs w:val="20"/>
              </w:rPr>
            </w:pPr>
            <w:r>
              <w:t>The Review Team found the following noteworthy items: The RCCI staff and administration have completed an excellent oversight of the NSLP lunch and breakfast program. Menu documentation has improved immensely since the last reviews.</w:t>
            </w:r>
          </w:p>
        </w:tc>
      </w:tr>
    </w:tbl>
    <w:p w14:paraId="714B9A92" w14:textId="77777777" w:rsidR="006D68B7" w:rsidRDefault="004112F1">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CF744" w14:textId="77777777" w:rsidR="004112F1" w:rsidRDefault="004112F1">
      <w:r>
        <w:separator/>
      </w:r>
    </w:p>
  </w:endnote>
  <w:endnote w:type="continuationSeparator" w:id="0">
    <w:p w14:paraId="50648713" w14:textId="77777777" w:rsidR="004112F1" w:rsidRDefault="0041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759D" w14:textId="77777777" w:rsidR="0037068A" w:rsidRDefault="003D0ED0" w:rsidP="000F3A03">
    <w:pPr>
      <w:pStyle w:val="Footer"/>
      <w:jc w:val="center"/>
      <w:rPr>
        <w:sz w:val="14"/>
      </w:rPr>
    </w:pPr>
    <w:r>
      <w:rPr>
        <w:sz w:val="14"/>
      </w:rPr>
      <w:t>This institution is an equal opportunity provider</w:t>
    </w:r>
  </w:p>
  <w:p w14:paraId="1501D25E" w14:textId="77777777" w:rsidR="0037068A" w:rsidRDefault="00411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1A661" w14:textId="77777777" w:rsidR="0037068A" w:rsidRDefault="003D0ED0" w:rsidP="000F3A03">
    <w:pPr>
      <w:pStyle w:val="Footer0"/>
      <w:jc w:val="center"/>
      <w:rPr>
        <w:sz w:val="14"/>
      </w:rPr>
    </w:pPr>
    <w:r>
      <w:rPr>
        <w:sz w:val="14"/>
      </w:rPr>
      <w:t>This institution is an equal opportunity provider</w:t>
    </w:r>
  </w:p>
  <w:p w14:paraId="3898CB01" w14:textId="77777777" w:rsidR="0037068A" w:rsidRDefault="004112F1">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FFDD1" w14:textId="77777777" w:rsidR="004112F1" w:rsidRDefault="004112F1">
      <w:r>
        <w:separator/>
      </w:r>
    </w:p>
  </w:footnote>
  <w:footnote w:type="continuationSeparator" w:id="0">
    <w:p w14:paraId="12E1FCA3" w14:textId="77777777" w:rsidR="004112F1" w:rsidRDefault="00411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DC844C3E">
      <w:start w:val="1"/>
      <w:numFmt w:val="decimal"/>
      <w:lvlText w:val="%1."/>
      <w:lvlJc w:val="left"/>
      <w:pPr>
        <w:ind w:left="720" w:hanging="360"/>
      </w:pPr>
      <w:rPr>
        <w:rFonts w:hint="default"/>
      </w:rPr>
    </w:lvl>
    <w:lvl w:ilvl="1" w:tplc="7DC8BD96" w:tentative="1">
      <w:start w:val="1"/>
      <w:numFmt w:val="lowerLetter"/>
      <w:lvlText w:val="%2."/>
      <w:lvlJc w:val="left"/>
      <w:pPr>
        <w:ind w:left="1440" w:hanging="360"/>
      </w:pPr>
    </w:lvl>
    <w:lvl w:ilvl="2" w:tplc="95BE25B2" w:tentative="1">
      <w:start w:val="1"/>
      <w:numFmt w:val="lowerRoman"/>
      <w:lvlText w:val="%3."/>
      <w:lvlJc w:val="right"/>
      <w:pPr>
        <w:ind w:left="2160" w:hanging="180"/>
      </w:pPr>
    </w:lvl>
    <w:lvl w:ilvl="3" w:tplc="7A1E4440" w:tentative="1">
      <w:start w:val="1"/>
      <w:numFmt w:val="decimal"/>
      <w:lvlText w:val="%4."/>
      <w:lvlJc w:val="left"/>
      <w:pPr>
        <w:ind w:left="2880" w:hanging="360"/>
      </w:pPr>
    </w:lvl>
    <w:lvl w:ilvl="4" w:tplc="9A343628" w:tentative="1">
      <w:start w:val="1"/>
      <w:numFmt w:val="lowerLetter"/>
      <w:lvlText w:val="%5."/>
      <w:lvlJc w:val="left"/>
      <w:pPr>
        <w:ind w:left="3600" w:hanging="360"/>
      </w:pPr>
    </w:lvl>
    <w:lvl w:ilvl="5" w:tplc="F5FA38DA" w:tentative="1">
      <w:start w:val="1"/>
      <w:numFmt w:val="lowerRoman"/>
      <w:lvlText w:val="%6."/>
      <w:lvlJc w:val="right"/>
      <w:pPr>
        <w:ind w:left="4320" w:hanging="180"/>
      </w:pPr>
    </w:lvl>
    <w:lvl w:ilvl="6" w:tplc="66265DD4" w:tentative="1">
      <w:start w:val="1"/>
      <w:numFmt w:val="decimal"/>
      <w:lvlText w:val="%7."/>
      <w:lvlJc w:val="left"/>
      <w:pPr>
        <w:ind w:left="5040" w:hanging="360"/>
      </w:pPr>
    </w:lvl>
    <w:lvl w:ilvl="7" w:tplc="2A9AC504" w:tentative="1">
      <w:start w:val="1"/>
      <w:numFmt w:val="lowerLetter"/>
      <w:lvlText w:val="%8."/>
      <w:lvlJc w:val="left"/>
      <w:pPr>
        <w:ind w:left="5760" w:hanging="360"/>
      </w:pPr>
    </w:lvl>
    <w:lvl w:ilvl="8" w:tplc="D1AEA83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C53AFF80">
      <w:start w:val="1"/>
      <w:numFmt w:val="bullet"/>
      <w:lvlText w:val=""/>
      <w:lvlJc w:val="left"/>
      <w:pPr>
        <w:ind w:left="720" w:hanging="360"/>
      </w:pPr>
      <w:rPr>
        <w:rFonts w:ascii="Symbol" w:hAnsi="Symbol" w:hint="default"/>
      </w:rPr>
    </w:lvl>
    <w:lvl w:ilvl="1" w:tplc="929C0DB4" w:tentative="1">
      <w:start w:val="1"/>
      <w:numFmt w:val="bullet"/>
      <w:lvlText w:val="o"/>
      <w:lvlJc w:val="left"/>
      <w:pPr>
        <w:ind w:left="1440" w:hanging="360"/>
      </w:pPr>
      <w:rPr>
        <w:rFonts w:ascii="Courier New" w:hAnsi="Courier New" w:cs="Courier New" w:hint="default"/>
      </w:rPr>
    </w:lvl>
    <w:lvl w:ilvl="2" w:tplc="FDD0D716" w:tentative="1">
      <w:start w:val="1"/>
      <w:numFmt w:val="bullet"/>
      <w:lvlText w:val=""/>
      <w:lvlJc w:val="left"/>
      <w:pPr>
        <w:ind w:left="2160" w:hanging="360"/>
      </w:pPr>
      <w:rPr>
        <w:rFonts w:ascii="Wingdings" w:hAnsi="Wingdings" w:hint="default"/>
      </w:rPr>
    </w:lvl>
    <w:lvl w:ilvl="3" w:tplc="F08849A4" w:tentative="1">
      <w:start w:val="1"/>
      <w:numFmt w:val="bullet"/>
      <w:lvlText w:val=""/>
      <w:lvlJc w:val="left"/>
      <w:pPr>
        <w:ind w:left="2880" w:hanging="360"/>
      </w:pPr>
      <w:rPr>
        <w:rFonts w:ascii="Symbol" w:hAnsi="Symbol" w:hint="default"/>
      </w:rPr>
    </w:lvl>
    <w:lvl w:ilvl="4" w:tplc="795061B4" w:tentative="1">
      <w:start w:val="1"/>
      <w:numFmt w:val="bullet"/>
      <w:lvlText w:val="o"/>
      <w:lvlJc w:val="left"/>
      <w:pPr>
        <w:ind w:left="3600" w:hanging="360"/>
      </w:pPr>
      <w:rPr>
        <w:rFonts w:ascii="Courier New" w:hAnsi="Courier New" w:cs="Courier New" w:hint="default"/>
      </w:rPr>
    </w:lvl>
    <w:lvl w:ilvl="5" w:tplc="BDF60552" w:tentative="1">
      <w:start w:val="1"/>
      <w:numFmt w:val="bullet"/>
      <w:lvlText w:val=""/>
      <w:lvlJc w:val="left"/>
      <w:pPr>
        <w:ind w:left="4320" w:hanging="360"/>
      </w:pPr>
      <w:rPr>
        <w:rFonts w:ascii="Wingdings" w:hAnsi="Wingdings" w:hint="default"/>
      </w:rPr>
    </w:lvl>
    <w:lvl w:ilvl="6" w:tplc="7AB0193C" w:tentative="1">
      <w:start w:val="1"/>
      <w:numFmt w:val="bullet"/>
      <w:lvlText w:val=""/>
      <w:lvlJc w:val="left"/>
      <w:pPr>
        <w:ind w:left="5040" w:hanging="360"/>
      </w:pPr>
      <w:rPr>
        <w:rFonts w:ascii="Symbol" w:hAnsi="Symbol" w:hint="default"/>
      </w:rPr>
    </w:lvl>
    <w:lvl w:ilvl="7" w:tplc="69FA1DF4" w:tentative="1">
      <w:start w:val="1"/>
      <w:numFmt w:val="bullet"/>
      <w:lvlText w:val="o"/>
      <w:lvlJc w:val="left"/>
      <w:pPr>
        <w:ind w:left="5760" w:hanging="360"/>
      </w:pPr>
      <w:rPr>
        <w:rFonts w:ascii="Courier New" w:hAnsi="Courier New" w:cs="Courier New" w:hint="default"/>
      </w:rPr>
    </w:lvl>
    <w:lvl w:ilvl="8" w:tplc="6F72EC3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71"/>
    <w:rsid w:val="003D0ED0"/>
    <w:rsid w:val="004112F1"/>
    <w:rsid w:val="009D1E22"/>
    <w:rsid w:val="00C12B71"/>
    <w:rsid w:val="00D242EB"/>
    <w:rsid w:val="00E04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2FF3"/>
  <w15:docId w15:val="{83106258-FDC5-43DA-8544-91DD8DF3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2CC99-1B6E-451F-B88C-89720416D239}">
  <ds:schemaRefs>
    <ds:schemaRef ds:uri="http://schemas.microsoft.com/sharepoint/v3/contenttype/forms"/>
  </ds:schemaRefs>
</ds:datastoreItem>
</file>

<file path=customXml/itemProps2.xml><?xml version="1.0" encoding="utf-8"?>
<ds:datastoreItem xmlns:ds="http://schemas.openxmlformats.org/officeDocument/2006/customXml" ds:itemID="{55C21E59-E996-4E59-87CB-80A5CFA9E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Youth Services Administrative Review Summary School Year 2021-2022</dc:title>
  <dc:subject/>
  <dc:creator>DESE</dc:creator>
  <cp:keywords/>
  <cp:lastModifiedBy>Zou, Dong (EOE)</cp:lastModifiedBy>
  <cp:revision>10</cp:revision>
  <dcterms:created xsi:type="dcterms:W3CDTF">2016-12-05T21:17:00Z</dcterms:created>
  <dcterms:modified xsi:type="dcterms:W3CDTF">2022-06-30T21:20:00Z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