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8682F2" w14:textId="77777777" w:rsidR="00CA19B4" w:rsidRPr="00200779" w:rsidRDefault="00F07156"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35A6611" w14:textId="77777777" w:rsidR="00CA19B4" w:rsidRDefault="0075600E" w:rsidP="00CA19B4">
      <w:pPr>
        <w:jc w:val="center"/>
        <w:rPr>
          <w:rFonts w:ascii="Times New Roman" w:hAnsi="Times New Roman" w:cs="Times New Roman"/>
          <w:sz w:val="24"/>
          <w:szCs w:val="24"/>
        </w:rPr>
      </w:pPr>
    </w:p>
    <w:p w14:paraId="5E0A6015" w14:textId="77777777" w:rsidR="00CA19B4" w:rsidRDefault="00F07156"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4F14F186" w14:textId="77777777" w:rsidR="00CA19B4" w:rsidRDefault="0075600E" w:rsidP="00CA19B4">
      <w:pPr>
        <w:rPr>
          <w:rFonts w:ascii="Times New Roman" w:hAnsi="Times New Roman" w:cs="Times New Roman"/>
          <w:sz w:val="20"/>
          <w:szCs w:val="20"/>
        </w:rPr>
      </w:pPr>
    </w:p>
    <w:p w14:paraId="71829118" w14:textId="77777777" w:rsidR="00CA19B4" w:rsidRDefault="0075600E" w:rsidP="00CA19B4">
      <w:pPr>
        <w:rPr>
          <w:rFonts w:ascii="Times New Roman" w:hAnsi="Times New Roman" w:cs="Times New Roman"/>
          <w:sz w:val="20"/>
          <w:szCs w:val="20"/>
        </w:rPr>
      </w:pPr>
    </w:p>
    <w:p w14:paraId="390549BE" w14:textId="77777777" w:rsidR="00CA19B4" w:rsidRPr="00B63138" w:rsidRDefault="00F07156"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Granby School Committee</w:t>
      </w:r>
      <w:bookmarkEnd w:id="0"/>
    </w:p>
    <w:p w14:paraId="1AEAD9F7" w14:textId="77777777" w:rsidR="00CA19B4" w:rsidRDefault="0075600E" w:rsidP="00CA19B4">
      <w:pPr>
        <w:rPr>
          <w:rFonts w:ascii="Times New Roman" w:hAnsi="Times New Roman" w:cs="Times New Roman"/>
          <w:sz w:val="20"/>
          <w:szCs w:val="20"/>
        </w:rPr>
      </w:pPr>
    </w:p>
    <w:p w14:paraId="3EB88756" w14:textId="77777777" w:rsidR="00CA19B4" w:rsidRDefault="00F07156"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03/22/2022</w:t>
      </w:r>
      <w:bookmarkEnd w:id="1"/>
    </w:p>
    <w:p w14:paraId="482CC755" w14:textId="77777777" w:rsidR="00CA19B4" w:rsidRDefault="0075600E" w:rsidP="00CA19B4">
      <w:pPr>
        <w:rPr>
          <w:rFonts w:ascii="Times New Roman" w:hAnsi="Times New Roman" w:cs="Times New Roman"/>
          <w:sz w:val="20"/>
          <w:szCs w:val="20"/>
        </w:rPr>
      </w:pPr>
    </w:p>
    <w:p w14:paraId="78E7E097" w14:textId="77777777" w:rsidR="00CA19B4" w:rsidRDefault="00F07156"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03/22/2022</w:t>
      </w:r>
      <w:bookmarkEnd w:id="2"/>
    </w:p>
    <w:p w14:paraId="72A00374" w14:textId="77777777" w:rsidR="00CA19B4" w:rsidRDefault="00F07156"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7FB16A0E" w14:textId="77777777" w:rsidR="00CA19B4" w:rsidRDefault="0075600E" w:rsidP="00CA19B4">
      <w:pPr>
        <w:pBdr>
          <w:bottom w:val="single" w:sz="12" w:space="1" w:color="auto"/>
        </w:pBdr>
        <w:rPr>
          <w:rFonts w:ascii="Times New Roman" w:hAnsi="Times New Roman" w:cs="Times New Roman"/>
          <w:sz w:val="20"/>
          <w:szCs w:val="20"/>
        </w:rPr>
      </w:pPr>
    </w:p>
    <w:p w14:paraId="543E9119" w14:textId="77777777" w:rsidR="00CA19B4" w:rsidRDefault="00F07156"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7F514937" w14:textId="77777777" w:rsidR="00CA19B4" w:rsidRDefault="0075600E" w:rsidP="00CA19B4">
      <w:pPr>
        <w:rPr>
          <w:rFonts w:ascii="Times New Roman" w:hAnsi="Times New Roman" w:cs="Times New Roman"/>
          <w:sz w:val="20"/>
          <w:szCs w:val="20"/>
        </w:rPr>
      </w:pPr>
    </w:p>
    <w:p w14:paraId="6C72BAB7" w14:textId="77777777" w:rsidR="00CA19B4" w:rsidRPr="00223718" w:rsidRDefault="00F07156"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0871E283" w14:textId="77777777" w:rsidR="00CA19B4" w:rsidRDefault="0075600E" w:rsidP="00CA19B4">
      <w:pPr>
        <w:rPr>
          <w:rFonts w:ascii="Times New Roman" w:hAnsi="Times New Roman" w:cs="Times New Roman"/>
          <w:sz w:val="20"/>
          <w:szCs w:val="20"/>
        </w:rPr>
      </w:pPr>
    </w:p>
    <w:p w14:paraId="140B81F3" w14:textId="77777777" w:rsidR="00CA19B4" w:rsidRDefault="00F0715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18851043" w14:textId="77777777" w:rsidR="00CA19B4" w:rsidRDefault="0075600E" w:rsidP="00CA19B4">
      <w:pPr>
        <w:ind w:left="720"/>
        <w:rPr>
          <w:rFonts w:ascii="Times New Roman" w:hAnsi="Times New Roman" w:cs="Times New Roman"/>
          <w:sz w:val="20"/>
          <w:szCs w:val="20"/>
        </w:rPr>
      </w:pPr>
    </w:p>
    <w:bookmarkStart w:id="3" w:name="CHK_SBP"/>
    <w:p w14:paraId="43CD8AAB"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F4DA208" w14:textId="77777777" w:rsidR="00CA19B4" w:rsidRDefault="00F0715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204DD391"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64BA202A"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5370D7D4"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2B14C16D"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564D2B2B" w14:textId="77777777" w:rsidR="00CA19B4" w:rsidRDefault="0075600E" w:rsidP="00CA19B4">
      <w:pPr>
        <w:rPr>
          <w:rFonts w:ascii="Times New Roman" w:hAnsi="Times New Roman" w:cs="Times New Roman"/>
          <w:sz w:val="20"/>
          <w:szCs w:val="20"/>
        </w:rPr>
      </w:pPr>
    </w:p>
    <w:p w14:paraId="697DEFC7" w14:textId="77777777" w:rsidR="00CA19B4" w:rsidRDefault="00F0715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1F64995C" w14:textId="77777777" w:rsidR="00CA19B4" w:rsidRDefault="0075600E" w:rsidP="00CA19B4">
      <w:pPr>
        <w:ind w:left="720"/>
        <w:rPr>
          <w:rFonts w:ascii="Times New Roman" w:hAnsi="Times New Roman" w:cs="Times New Roman"/>
          <w:sz w:val="20"/>
          <w:szCs w:val="20"/>
        </w:rPr>
      </w:pPr>
    </w:p>
    <w:bookmarkStart w:id="9" w:name="CHK_CEP"/>
    <w:p w14:paraId="715C1FC2" w14:textId="77777777" w:rsidR="00CA19B4" w:rsidRDefault="00F0715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763B3E4C" w14:textId="77777777" w:rsidR="00CA19B4" w:rsidRDefault="00F0715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59D1EE4E" w14:textId="77777777" w:rsidR="00CA19B4" w:rsidRDefault="00F0715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65B01A8C" w14:textId="77777777" w:rsidR="00CA19B4" w:rsidRDefault="00F07156"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75600E">
        <w:rPr>
          <w:rFonts w:ascii="Times New Roman" w:hAnsi="Times New Roman" w:cs="Times New Roman"/>
          <w:sz w:val="20"/>
          <w:szCs w:val="20"/>
        </w:rPr>
      </w:r>
      <w:r w:rsidR="0075600E">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2FF76280" w14:textId="77777777" w:rsidR="00CA19B4" w:rsidRDefault="0075600E" w:rsidP="00CA19B4">
      <w:pPr>
        <w:rPr>
          <w:rFonts w:ascii="Times New Roman" w:hAnsi="Times New Roman" w:cs="Times New Roman"/>
          <w:sz w:val="20"/>
          <w:szCs w:val="20"/>
        </w:rPr>
      </w:pPr>
    </w:p>
    <w:p w14:paraId="408A82B8" w14:textId="77777777" w:rsidR="00CA19B4" w:rsidRPr="00D6151F" w:rsidRDefault="00F07156"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1CC5ABDB" w14:textId="77777777" w:rsidR="00CA19B4" w:rsidRDefault="0075600E" w:rsidP="00CA19B4">
      <w:pPr>
        <w:rPr>
          <w:rFonts w:ascii="Times New Roman" w:hAnsi="Times New Roman" w:cs="Times New Roman"/>
          <w:sz w:val="20"/>
          <w:szCs w:val="20"/>
        </w:rPr>
      </w:pPr>
    </w:p>
    <w:p w14:paraId="665EB052" w14:textId="77777777" w:rsidR="00CA19B4" w:rsidRDefault="00F07156"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599F29BB" w14:textId="77777777" w:rsidR="00CA19B4" w:rsidRDefault="00F07156"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75600E">
        <w:rPr>
          <w:rFonts w:ascii="MS Gothic" w:eastAsia="MS Gothic" w:hAnsi="Times New Roman" w:cs="Times New Roman"/>
          <w:sz w:val="20"/>
          <w:szCs w:val="20"/>
        </w:rPr>
      </w:r>
      <w:r w:rsidR="0075600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75600E">
        <w:rPr>
          <w:rFonts w:ascii="MS Gothic" w:eastAsia="MS Gothic" w:hAnsi="Times New Roman" w:cs="Times New Roman"/>
          <w:sz w:val="20"/>
          <w:szCs w:val="20"/>
        </w:rPr>
      </w:r>
      <w:r w:rsidR="0075600E">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4A10D302" w14:textId="77777777" w:rsidR="00CA19B4" w:rsidRDefault="0075600E" w:rsidP="00CA19B4">
      <w:pPr>
        <w:ind w:firstLine="720"/>
        <w:rPr>
          <w:rFonts w:ascii="Times New Roman" w:hAnsi="Times New Roman" w:cs="Times New Roman"/>
          <w:sz w:val="20"/>
          <w:szCs w:val="20"/>
        </w:rPr>
      </w:pPr>
    </w:p>
    <w:p w14:paraId="027BD909" w14:textId="77777777" w:rsidR="00CA19B4" w:rsidRDefault="00F07156"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6441D18F" w14:textId="77777777" w:rsidR="006D68B7" w:rsidRDefault="0075600E">
      <w:pPr>
        <w:sectPr w:rsidR="006D68B7" w:rsidSect="005B420A">
          <w:footerReference w:type="default" r:id="rId10"/>
          <w:pgSz w:w="12240" w:h="15840"/>
          <w:pgMar w:top="1440" w:right="1440" w:bottom="1440" w:left="1440" w:header="720" w:footer="720" w:gutter="0"/>
          <w:cols w:space="720"/>
        </w:sectPr>
      </w:pPr>
    </w:p>
    <w:p w14:paraId="4C1149FF" w14:textId="77777777" w:rsidR="00A53CEA" w:rsidRDefault="0075600E" w:rsidP="00A53CEA">
      <w:pPr>
        <w:pStyle w:val="Normal0"/>
        <w:ind w:firstLine="720"/>
        <w:rPr>
          <w:rFonts w:ascii="Times New Roman" w:hAnsi="Times New Roman" w:cs="Times New Roman"/>
          <w:sz w:val="20"/>
          <w:szCs w:val="20"/>
        </w:rPr>
      </w:pPr>
    </w:p>
    <w:p w14:paraId="4E508D75" w14:textId="77777777" w:rsidR="00A53CEA" w:rsidRPr="00C61944" w:rsidRDefault="00F07156"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42D0" w14:paraId="220CB95D" w14:textId="77777777" w:rsidTr="008175F8">
        <w:trPr>
          <w:trHeight w:val="37"/>
        </w:trPr>
        <w:tc>
          <w:tcPr>
            <w:tcW w:w="8545" w:type="dxa"/>
            <w:shd w:val="clear" w:color="auto" w:fill="31849B" w:themeFill="accent5" w:themeFillShade="BF"/>
          </w:tcPr>
          <w:p w14:paraId="034FA8D6" w14:textId="77777777" w:rsidR="00A53CEA" w:rsidRPr="005B0132" w:rsidRDefault="00F07156" w:rsidP="008175F8">
            <w:pPr>
              <w:pStyle w:val="Normal0"/>
              <w:rPr>
                <w:rFonts w:asciiTheme="minorHAnsi" w:hAnsiTheme="minorHAnsi" w:cstheme="minorHAnsi"/>
                <w:b/>
                <w:i/>
                <w:color w:val="DBE5F1" w:themeColor="accent1" w:themeTint="33"/>
                <w:sz w:val="32"/>
                <w:szCs w:val="20"/>
              </w:rPr>
            </w:pPr>
            <w:r>
              <w:t>Program Access and Reimbursement</w:t>
            </w:r>
          </w:p>
        </w:tc>
      </w:tr>
      <w:tr w:rsidR="006542D0" w14:paraId="13487FD3" w14:textId="77777777" w:rsidTr="008175F8">
        <w:trPr>
          <w:trHeight w:val="37"/>
        </w:trPr>
        <w:tc>
          <w:tcPr>
            <w:tcW w:w="8545" w:type="dxa"/>
            <w:shd w:val="clear" w:color="auto" w:fill="D9D9D9" w:themeFill="background1" w:themeFillShade="D9"/>
          </w:tcPr>
          <w:p w14:paraId="5D2FF14A" w14:textId="77777777" w:rsidR="00A53CEA" w:rsidRPr="0076532F" w:rsidRDefault="00F07156" w:rsidP="008175F8">
            <w:pPr>
              <w:pStyle w:val="Normal0"/>
              <w:rPr>
                <w:rFonts w:ascii="Times New Roman" w:hAnsi="Times New Roman" w:cs="Times New Roman"/>
                <w:b/>
                <w:sz w:val="20"/>
                <w:szCs w:val="20"/>
              </w:rPr>
            </w:pPr>
            <w:r>
              <w:t>Meal Counting and Claiming</w:t>
            </w:r>
          </w:p>
        </w:tc>
      </w:tr>
      <w:tr w:rsidR="006542D0" w14:paraId="784B6D10" w14:textId="77777777" w:rsidTr="008175F8">
        <w:trPr>
          <w:trHeight w:val="37"/>
        </w:trPr>
        <w:tc>
          <w:tcPr>
            <w:tcW w:w="8545" w:type="dxa"/>
            <w:shd w:val="clear" w:color="auto" w:fill="auto"/>
          </w:tcPr>
          <w:p w14:paraId="5F5C7042"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School food authority shall review the meal count data for each school under its jurisdiction to ensure the accuracy of the monthly Claim for Reimbursement.</w:t>
            </w:r>
          </w:p>
        </w:tc>
      </w:tr>
      <w:tr w:rsidR="006542D0" w14:paraId="2E4FF011" w14:textId="77777777" w:rsidTr="008175F8">
        <w:trPr>
          <w:trHeight w:val="37"/>
        </w:trPr>
        <w:tc>
          <w:tcPr>
            <w:tcW w:w="8545" w:type="dxa"/>
            <w:shd w:val="clear" w:color="auto" w:fill="auto"/>
          </w:tcPr>
          <w:p w14:paraId="00A3FDE5"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The SFA is not following their approved SFA-SA Agreement/application. Each SFA approved to participate in the program signs a written agreement with the ESE. This agreement states the School Food Authority and participating schools under its jurisdiction, shall comply with all provisions of 7 CFR parts 210 and 245.</w:t>
            </w:r>
          </w:p>
        </w:tc>
      </w:tr>
      <w:tr w:rsidR="006542D0" w14:paraId="276FAF24" w14:textId="77777777" w:rsidTr="008175F8">
        <w:trPr>
          <w:trHeight w:val="37"/>
        </w:trPr>
        <w:tc>
          <w:tcPr>
            <w:tcW w:w="8545" w:type="dxa"/>
            <w:shd w:val="clear" w:color="auto" w:fill="31849B" w:themeFill="accent5" w:themeFillShade="BF"/>
          </w:tcPr>
          <w:p w14:paraId="4BB986A8" w14:textId="77777777" w:rsidR="00A53CEA" w:rsidRPr="005B0132" w:rsidRDefault="00F07156" w:rsidP="008175F8">
            <w:pPr>
              <w:pStyle w:val="Normal0"/>
              <w:rPr>
                <w:rFonts w:asciiTheme="minorHAnsi" w:hAnsiTheme="minorHAnsi" w:cstheme="minorHAnsi"/>
                <w:b/>
                <w:i/>
                <w:color w:val="DBE5F1" w:themeColor="accent1" w:themeTint="33"/>
                <w:sz w:val="32"/>
                <w:szCs w:val="20"/>
              </w:rPr>
            </w:pPr>
            <w:r>
              <w:t>Meal Patterns and Nutritional Quality</w:t>
            </w:r>
          </w:p>
        </w:tc>
      </w:tr>
      <w:tr w:rsidR="006542D0" w14:paraId="1E69FE44" w14:textId="77777777" w:rsidTr="008175F8">
        <w:trPr>
          <w:trHeight w:val="37"/>
        </w:trPr>
        <w:tc>
          <w:tcPr>
            <w:tcW w:w="8545" w:type="dxa"/>
            <w:shd w:val="clear" w:color="auto" w:fill="D9D9D9" w:themeFill="background1" w:themeFillShade="D9"/>
          </w:tcPr>
          <w:p w14:paraId="029EBA9E" w14:textId="77777777" w:rsidR="00A53CEA" w:rsidRPr="0076532F" w:rsidRDefault="00F07156" w:rsidP="008175F8">
            <w:pPr>
              <w:pStyle w:val="Normal0"/>
              <w:rPr>
                <w:rFonts w:ascii="Times New Roman" w:hAnsi="Times New Roman" w:cs="Times New Roman"/>
                <w:b/>
                <w:sz w:val="20"/>
                <w:szCs w:val="20"/>
              </w:rPr>
            </w:pPr>
            <w:r>
              <w:t>Meal Components and Quantities</w:t>
            </w:r>
          </w:p>
        </w:tc>
      </w:tr>
      <w:tr w:rsidR="006542D0" w14:paraId="7E429521" w14:textId="77777777" w:rsidTr="008175F8">
        <w:trPr>
          <w:trHeight w:val="37"/>
        </w:trPr>
        <w:tc>
          <w:tcPr>
            <w:tcW w:w="8545" w:type="dxa"/>
            <w:shd w:val="clear" w:color="auto" w:fill="auto"/>
          </w:tcPr>
          <w:p w14:paraId="634C3964"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A school must offer the food components and quantities required in the lunch meal pattern. The schools' menu does not comply with the required age/grade group meal pattern requirements.</w:t>
            </w:r>
          </w:p>
        </w:tc>
      </w:tr>
      <w:tr w:rsidR="006542D0" w14:paraId="0F7C942C" w14:textId="77777777" w:rsidTr="008175F8">
        <w:trPr>
          <w:trHeight w:val="37"/>
        </w:trPr>
        <w:tc>
          <w:tcPr>
            <w:tcW w:w="8545" w:type="dxa"/>
            <w:shd w:val="clear" w:color="auto" w:fill="auto"/>
          </w:tcPr>
          <w:p w14:paraId="5B601117"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The school did not offer some or most of planned menu for the day of review.</w:t>
            </w:r>
          </w:p>
        </w:tc>
      </w:tr>
      <w:tr w:rsidR="006542D0" w14:paraId="5D5C87C5" w14:textId="77777777" w:rsidTr="008175F8">
        <w:trPr>
          <w:trHeight w:val="37"/>
        </w:trPr>
        <w:tc>
          <w:tcPr>
            <w:tcW w:w="8545" w:type="dxa"/>
            <w:shd w:val="clear" w:color="auto" w:fill="31849B" w:themeFill="accent5" w:themeFillShade="BF"/>
          </w:tcPr>
          <w:p w14:paraId="394D1648" w14:textId="77777777" w:rsidR="00A53CEA" w:rsidRPr="005B0132" w:rsidRDefault="00F07156" w:rsidP="008175F8">
            <w:pPr>
              <w:pStyle w:val="Normal0"/>
              <w:rPr>
                <w:rFonts w:asciiTheme="minorHAnsi" w:hAnsiTheme="minorHAnsi" w:cstheme="minorHAnsi"/>
                <w:b/>
                <w:i/>
                <w:color w:val="DBE5F1" w:themeColor="accent1" w:themeTint="33"/>
                <w:sz w:val="32"/>
                <w:szCs w:val="20"/>
              </w:rPr>
            </w:pPr>
            <w:r>
              <w:t>School Nutrition Environment</w:t>
            </w:r>
          </w:p>
        </w:tc>
      </w:tr>
      <w:tr w:rsidR="006542D0" w14:paraId="1B253B5C" w14:textId="77777777" w:rsidTr="008175F8">
        <w:trPr>
          <w:trHeight w:val="37"/>
        </w:trPr>
        <w:tc>
          <w:tcPr>
            <w:tcW w:w="8545" w:type="dxa"/>
            <w:shd w:val="clear" w:color="auto" w:fill="D9D9D9" w:themeFill="background1" w:themeFillShade="D9"/>
          </w:tcPr>
          <w:p w14:paraId="41D17293" w14:textId="77777777" w:rsidR="00A53CEA" w:rsidRPr="0076532F" w:rsidRDefault="00F07156" w:rsidP="008175F8">
            <w:pPr>
              <w:pStyle w:val="Normal0"/>
              <w:rPr>
                <w:rFonts w:ascii="Times New Roman" w:hAnsi="Times New Roman" w:cs="Times New Roman"/>
                <w:b/>
                <w:sz w:val="20"/>
                <w:szCs w:val="20"/>
              </w:rPr>
            </w:pPr>
            <w:r>
              <w:t>Food Safety</w:t>
            </w:r>
          </w:p>
        </w:tc>
      </w:tr>
      <w:tr w:rsidR="006542D0" w14:paraId="359BB5BC" w14:textId="77777777" w:rsidTr="008175F8">
        <w:trPr>
          <w:trHeight w:val="37"/>
        </w:trPr>
        <w:tc>
          <w:tcPr>
            <w:tcW w:w="8545" w:type="dxa"/>
            <w:shd w:val="clear" w:color="auto" w:fill="auto"/>
          </w:tcPr>
          <w:p w14:paraId="7E62F69C"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 xml:space="preserve">The school did not ensure that the storage, </w:t>
            </w:r>
            <w:proofErr w:type="gramStart"/>
            <w:r>
              <w:t>preparation</w:t>
            </w:r>
            <w:proofErr w:type="gramEnd"/>
            <w:r>
              <w:t xml:space="preserve"> and service of food are maintained. Facilities for the handling, storage, and distribution of purchased and donated foods shall be such as to properly safeguard against theft, </w:t>
            </w:r>
            <w:proofErr w:type="gramStart"/>
            <w:r>
              <w:t>spoilage</w:t>
            </w:r>
            <w:proofErr w:type="gramEnd"/>
            <w:r>
              <w:t xml:space="preserve"> and other loss.</w:t>
            </w:r>
          </w:p>
        </w:tc>
      </w:tr>
      <w:tr w:rsidR="006542D0" w14:paraId="249D33F6" w14:textId="77777777" w:rsidTr="008175F8">
        <w:trPr>
          <w:trHeight w:val="37"/>
        </w:trPr>
        <w:tc>
          <w:tcPr>
            <w:tcW w:w="8545" w:type="dxa"/>
            <w:shd w:val="clear" w:color="auto" w:fill="auto"/>
          </w:tcPr>
          <w:p w14:paraId="3197B8E7"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The school either had one or no health inspection from the local board of health. Schools shall obtain a minimum of two food safety inspections during each school year conducted by a State or local governmental agency responsible for food safety inspections.</w:t>
            </w:r>
          </w:p>
        </w:tc>
      </w:tr>
      <w:tr w:rsidR="006542D0" w14:paraId="34ECF0C2" w14:textId="77777777" w:rsidTr="008175F8">
        <w:trPr>
          <w:trHeight w:val="37"/>
        </w:trPr>
        <w:tc>
          <w:tcPr>
            <w:tcW w:w="8545" w:type="dxa"/>
            <w:shd w:val="clear" w:color="auto" w:fill="auto"/>
          </w:tcPr>
          <w:p w14:paraId="3DDF2721"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The SFA does not have written copy of the food safety plan available at each school.</w:t>
            </w:r>
          </w:p>
        </w:tc>
      </w:tr>
      <w:tr w:rsidR="006542D0" w14:paraId="3E015C2F" w14:textId="77777777" w:rsidTr="008175F8">
        <w:trPr>
          <w:trHeight w:val="37"/>
        </w:trPr>
        <w:tc>
          <w:tcPr>
            <w:tcW w:w="8545" w:type="dxa"/>
            <w:shd w:val="clear" w:color="auto" w:fill="D9D9D9" w:themeFill="background1" w:themeFillShade="D9"/>
          </w:tcPr>
          <w:p w14:paraId="00DD1F2B" w14:textId="77777777" w:rsidR="00A53CEA" w:rsidRPr="0076532F" w:rsidRDefault="00F07156" w:rsidP="008175F8">
            <w:pPr>
              <w:pStyle w:val="Normal0"/>
              <w:rPr>
                <w:rFonts w:ascii="Times New Roman" w:hAnsi="Times New Roman" w:cs="Times New Roman"/>
                <w:b/>
                <w:sz w:val="20"/>
                <w:szCs w:val="20"/>
              </w:rPr>
            </w:pPr>
            <w:r>
              <w:t>Local School Wellness Policy</w:t>
            </w:r>
          </w:p>
        </w:tc>
      </w:tr>
      <w:tr w:rsidR="006542D0" w14:paraId="38B5045A" w14:textId="77777777" w:rsidTr="008175F8">
        <w:trPr>
          <w:trHeight w:val="37"/>
        </w:trPr>
        <w:tc>
          <w:tcPr>
            <w:tcW w:w="8545" w:type="dxa"/>
            <w:shd w:val="clear" w:color="auto" w:fill="auto"/>
          </w:tcPr>
          <w:p w14:paraId="553A4D51" w14:textId="77777777" w:rsidR="00A53CEA" w:rsidRPr="005B0132" w:rsidRDefault="00F07156" w:rsidP="00A53CEA">
            <w:pPr>
              <w:pStyle w:val="ListParagraph"/>
              <w:numPr>
                <w:ilvl w:val="0"/>
                <w:numId w:val="2"/>
              </w:numPr>
              <w:ind w:left="540"/>
              <w:rPr>
                <w:rFonts w:ascii="Times New Roman" w:hAnsi="Times New Roman" w:cs="Times New Roman"/>
                <w:sz w:val="20"/>
                <w:szCs w:val="20"/>
              </w:rPr>
            </w:pPr>
            <w:r>
              <w:t>The SFA does not have documentation demonstrating the results of the assessment have been made available to the public. The SFA must make available to the public the Triennial Assessment, including progress toward meeting the goals of the policy.</w:t>
            </w:r>
          </w:p>
        </w:tc>
      </w:tr>
    </w:tbl>
    <w:p w14:paraId="1374C811" w14:textId="77777777" w:rsidR="00A53CEA" w:rsidRPr="00223718" w:rsidRDefault="0075600E" w:rsidP="00A53CEA">
      <w:pPr>
        <w:pStyle w:val="Normal0"/>
        <w:rPr>
          <w:rFonts w:ascii="Times New Roman" w:hAnsi="Times New Roman" w:cs="Times New Roman"/>
          <w:sz w:val="20"/>
          <w:szCs w:val="20"/>
        </w:rPr>
      </w:pPr>
    </w:p>
    <w:p w14:paraId="022BDFB7" w14:textId="77777777" w:rsidR="00A53CEA" w:rsidRDefault="0075600E" w:rsidP="00A53CEA">
      <w:pPr>
        <w:pStyle w:val="Normal0"/>
      </w:pPr>
    </w:p>
    <w:p w14:paraId="6832110C" w14:textId="77777777" w:rsidR="006D68B7" w:rsidRDefault="0075600E">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6542D0" w14:paraId="130F1B60" w14:textId="77777777" w:rsidTr="00A708A7">
        <w:trPr>
          <w:trHeight w:val="37"/>
        </w:trPr>
        <w:tc>
          <w:tcPr>
            <w:tcW w:w="8545" w:type="dxa"/>
            <w:shd w:val="clear" w:color="auto" w:fill="31849B" w:themeFill="accent5" w:themeFillShade="BF"/>
          </w:tcPr>
          <w:p w14:paraId="63C4E196" w14:textId="77777777" w:rsidR="00E2351D" w:rsidRPr="00935CAD" w:rsidRDefault="00F07156" w:rsidP="00A708A7">
            <w:pPr>
              <w:pStyle w:val="Normal1"/>
              <w:rPr>
                <w:rFonts w:ascii="Times New Roman" w:hAnsi="Times New Roman" w:cs="Times New Roman"/>
                <w:b/>
                <w:i/>
                <w:color w:val="DBE5F1" w:themeColor="accent1" w:themeTint="33"/>
                <w:sz w:val="24"/>
                <w:szCs w:val="24"/>
              </w:rPr>
            </w:pPr>
            <w:r w:rsidRPr="008962C6">
              <w:rPr>
                <w:rFonts w:ascii="Times New Roman" w:hAnsi="Times New Roman" w:cs="Times New Roman"/>
                <w:b/>
                <w:i/>
                <w:color w:val="auto"/>
                <w:sz w:val="24"/>
                <w:szCs w:val="24"/>
              </w:rPr>
              <w:lastRenderedPageBreak/>
              <w:t>Noteworthy Observations</w:t>
            </w:r>
          </w:p>
        </w:tc>
      </w:tr>
      <w:tr w:rsidR="006542D0" w14:paraId="3CBB56F6" w14:textId="77777777" w:rsidTr="00A708A7">
        <w:trPr>
          <w:trHeight w:val="37"/>
        </w:trPr>
        <w:tc>
          <w:tcPr>
            <w:tcW w:w="8545" w:type="dxa"/>
            <w:shd w:val="clear" w:color="auto" w:fill="auto"/>
          </w:tcPr>
          <w:p w14:paraId="4599EA39" w14:textId="77777777" w:rsidR="00E2351D" w:rsidRPr="00935CAD" w:rsidRDefault="00F07156" w:rsidP="00A708A7">
            <w:pPr>
              <w:pStyle w:val="Normal1"/>
              <w:rPr>
                <w:rFonts w:ascii="Times New Roman" w:hAnsi="Times New Roman" w:cs="Times New Roman"/>
                <w:sz w:val="20"/>
                <w:szCs w:val="20"/>
              </w:rPr>
            </w:pPr>
            <w:r>
              <w:t>The Review Team found the following noteworthy items: Food service staff were accommodating and receptive to feedback.</w:t>
            </w:r>
          </w:p>
        </w:tc>
      </w:tr>
    </w:tbl>
    <w:p w14:paraId="7A03F56E" w14:textId="77777777" w:rsidR="006D68B7" w:rsidRDefault="0075600E">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0D536F" w14:textId="77777777" w:rsidR="0075600E" w:rsidRDefault="0075600E">
      <w:r>
        <w:separator/>
      </w:r>
    </w:p>
  </w:endnote>
  <w:endnote w:type="continuationSeparator" w:id="0">
    <w:p w14:paraId="2B229422" w14:textId="77777777" w:rsidR="0075600E" w:rsidRDefault="00756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EF7147" w14:textId="77777777" w:rsidR="0037068A" w:rsidRDefault="00F07156" w:rsidP="000F3A03">
    <w:pPr>
      <w:pStyle w:val="Footer"/>
      <w:jc w:val="center"/>
      <w:rPr>
        <w:sz w:val="14"/>
      </w:rPr>
    </w:pPr>
    <w:r>
      <w:rPr>
        <w:sz w:val="14"/>
      </w:rPr>
      <w:t>This institution is an equal opportunity provider</w:t>
    </w:r>
  </w:p>
  <w:p w14:paraId="7AD9605F" w14:textId="77777777" w:rsidR="0037068A" w:rsidRDefault="007560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8B5E3" w14:textId="77777777" w:rsidR="0037068A" w:rsidRDefault="00F07156" w:rsidP="000F3A03">
    <w:pPr>
      <w:pStyle w:val="Footer0"/>
      <w:jc w:val="center"/>
      <w:rPr>
        <w:sz w:val="14"/>
      </w:rPr>
    </w:pPr>
    <w:r>
      <w:rPr>
        <w:sz w:val="14"/>
      </w:rPr>
      <w:t>This institution is an equal opportunity provider</w:t>
    </w:r>
  </w:p>
  <w:p w14:paraId="48268E26" w14:textId="77777777" w:rsidR="0037068A" w:rsidRDefault="0075600E">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E20B811" w14:textId="77777777" w:rsidR="0075600E" w:rsidRDefault="0075600E">
      <w:r>
        <w:separator/>
      </w:r>
    </w:p>
  </w:footnote>
  <w:footnote w:type="continuationSeparator" w:id="0">
    <w:p w14:paraId="7F85DA4E" w14:textId="77777777" w:rsidR="0075600E" w:rsidRDefault="007560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3E78004C">
      <w:start w:val="1"/>
      <w:numFmt w:val="decimal"/>
      <w:lvlText w:val="%1."/>
      <w:lvlJc w:val="left"/>
      <w:pPr>
        <w:ind w:left="720" w:hanging="360"/>
      </w:pPr>
      <w:rPr>
        <w:rFonts w:hint="default"/>
      </w:rPr>
    </w:lvl>
    <w:lvl w:ilvl="1" w:tplc="C28ADC6A" w:tentative="1">
      <w:start w:val="1"/>
      <w:numFmt w:val="lowerLetter"/>
      <w:lvlText w:val="%2."/>
      <w:lvlJc w:val="left"/>
      <w:pPr>
        <w:ind w:left="1440" w:hanging="360"/>
      </w:pPr>
    </w:lvl>
    <w:lvl w:ilvl="2" w:tplc="7598C75A" w:tentative="1">
      <w:start w:val="1"/>
      <w:numFmt w:val="lowerRoman"/>
      <w:lvlText w:val="%3."/>
      <w:lvlJc w:val="right"/>
      <w:pPr>
        <w:ind w:left="2160" w:hanging="180"/>
      </w:pPr>
    </w:lvl>
    <w:lvl w:ilvl="3" w:tplc="542CA3D4" w:tentative="1">
      <w:start w:val="1"/>
      <w:numFmt w:val="decimal"/>
      <w:lvlText w:val="%4."/>
      <w:lvlJc w:val="left"/>
      <w:pPr>
        <w:ind w:left="2880" w:hanging="360"/>
      </w:pPr>
    </w:lvl>
    <w:lvl w:ilvl="4" w:tplc="6F161A50" w:tentative="1">
      <w:start w:val="1"/>
      <w:numFmt w:val="lowerLetter"/>
      <w:lvlText w:val="%5."/>
      <w:lvlJc w:val="left"/>
      <w:pPr>
        <w:ind w:left="3600" w:hanging="360"/>
      </w:pPr>
    </w:lvl>
    <w:lvl w:ilvl="5" w:tplc="DFB6F08A" w:tentative="1">
      <w:start w:val="1"/>
      <w:numFmt w:val="lowerRoman"/>
      <w:lvlText w:val="%6."/>
      <w:lvlJc w:val="right"/>
      <w:pPr>
        <w:ind w:left="4320" w:hanging="180"/>
      </w:pPr>
    </w:lvl>
    <w:lvl w:ilvl="6" w:tplc="8D6CCA6E" w:tentative="1">
      <w:start w:val="1"/>
      <w:numFmt w:val="decimal"/>
      <w:lvlText w:val="%7."/>
      <w:lvlJc w:val="left"/>
      <w:pPr>
        <w:ind w:left="5040" w:hanging="360"/>
      </w:pPr>
    </w:lvl>
    <w:lvl w:ilvl="7" w:tplc="98EAE72E" w:tentative="1">
      <w:start w:val="1"/>
      <w:numFmt w:val="lowerLetter"/>
      <w:lvlText w:val="%8."/>
      <w:lvlJc w:val="left"/>
      <w:pPr>
        <w:ind w:left="5760" w:hanging="360"/>
      </w:pPr>
    </w:lvl>
    <w:lvl w:ilvl="8" w:tplc="8046769C"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CEF414C0">
      <w:start w:val="1"/>
      <w:numFmt w:val="bullet"/>
      <w:lvlText w:val=""/>
      <w:lvlJc w:val="left"/>
      <w:pPr>
        <w:ind w:left="720" w:hanging="360"/>
      </w:pPr>
      <w:rPr>
        <w:rFonts w:ascii="Symbol" w:hAnsi="Symbol" w:hint="default"/>
      </w:rPr>
    </w:lvl>
    <w:lvl w:ilvl="1" w:tplc="4CE4145C" w:tentative="1">
      <w:start w:val="1"/>
      <w:numFmt w:val="bullet"/>
      <w:lvlText w:val="o"/>
      <w:lvlJc w:val="left"/>
      <w:pPr>
        <w:ind w:left="1440" w:hanging="360"/>
      </w:pPr>
      <w:rPr>
        <w:rFonts w:ascii="Courier New" w:hAnsi="Courier New" w:cs="Courier New" w:hint="default"/>
      </w:rPr>
    </w:lvl>
    <w:lvl w:ilvl="2" w:tplc="921E2568" w:tentative="1">
      <w:start w:val="1"/>
      <w:numFmt w:val="bullet"/>
      <w:lvlText w:val=""/>
      <w:lvlJc w:val="left"/>
      <w:pPr>
        <w:ind w:left="2160" w:hanging="360"/>
      </w:pPr>
      <w:rPr>
        <w:rFonts w:ascii="Wingdings" w:hAnsi="Wingdings" w:hint="default"/>
      </w:rPr>
    </w:lvl>
    <w:lvl w:ilvl="3" w:tplc="4A062262" w:tentative="1">
      <w:start w:val="1"/>
      <w:numFmt w:val="bullet"/>
      <w:lvlText w:val=""/>
      <w:lvlJc w:val="left"/>
      <w:pPr>
        <w:ind w:left="2880" w:hanging="360"/>
      </w:pPr>
      <w:rPr>
        <w:rFonts w:ascii="Symbol" w:hAnsi="Symbol" w:hint="default"/>
      </w:rPr>
    </w:lvl>
    <w:lvl w:ilvl="4" w:tplc="7D324F86" w:tentative="1">
      <w:start w:val="1"/>
      <w:numFmt w:val="bullet"/>
      <w:lvlText w:val="o"/>
      <w:lvlJc w:val="left"/>
      <w:pPr>
        <w:ind w:left="3600" w:hanging="360"/>
      </w:pPr>
      <w:rPr>
        <w:rFonts w:ascii="Courier New" w:hAnsi="Courier New" w:cs="Courier New" w:hint="default"/>
      </w:rPr>
    </w:lvl>
    <w:lvl w:ilvl="5" w:tplc="4E30E210" w:tentative="1">
      <w:start w:val="1"/>
      <w:numFmt w:val="bullet"/>
      <w:lvlText w:val=""/>
      <w:lvlJc w:val="left"/>
      <w:pPr>
        <w:ind w:left="4320" w:hanging="360"/>
      </w:pPr>
      <w:rPr>
        <w:rFonts w:ascii="Wingdings" w:hAnsi="Wingdings" w:hint="default"/>
      </w:rPr>
    </w:lvl>
    <w:lvl w:ilvl="6" w:tplc="26DE85A4" w:tentative="1">
      <w:start w:val="1"/>
      <w:numFmt w:val="bullet"/>
      <w:lvlText w:val=""/>
      <w:lvlJc w:val="left"/>
      <w:pPr>
        <w:ind w:left="5040" w:hanging="360"/>
      </w:pPr>
      <w:rPr>
        <w:rFonts w:ascii="Symbol" w:hAnsi="Symbol" w:hint="default"/>
      </w:rPr>
    </w:lvl>
    <w:lvl w:ilvl="7" w:tplc="75081DA0" w:tentative="1">
      <w:start w:val="1"/>
      <w:numFmt w:val="bullet"/>
      <w:lvlText w:val="o"/>
      <w:lvlJc w:val="left"/>
      <w:pPr>
        <w:ind w:left="5760" w:hanging="360"/>
      </w:pPr>
      <w:rPr>
        <w:rFonts w:ascii="Courier New" w:hAnsi="Courier New" w:cs="Courier New" w:hint="default"/>
      </w:rPr>
    </w:lvl>
    <w:lvl w:ilvl="8" w:tplc="DB0AB40E"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2D0"/>
    <w:rsid w:val="00170A17"/>
    <w:rsid w:val="006542D0"/>
    <w:rsid w:val="0075600E"/>
    <w:rsid w:val="008962C6"/>
    <w:rsid w:val="00F0715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C4D14"/>
  <w15:docId w15:val="{00D89A81-8F98-4CF8-A719-F686BF341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7D4401-A401-4EA0-A6B3-C7EF4A366774}">
  <ds:schemaRefs>
    <ds:schemaRef ds:uri="http://schemas.microsoft.com/sharepoint/v3/contenttype/forms"/>
  </ds:schemaRefs>
</ds:datastoreItem>
</file>

<file path=customXml/itemProps2.xml><?xml version="1.0" encoding="utf-8"?>
<ds:datastoreItem xmlns:ds="http://schemas.openxmlformats.org/officeDocument/2006/customXml" ds:itemID="{7065AE9D-562D-4BC6-ACE4-7E26A654441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31E27F-D806-4544-A501-F78782216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Granby School Committee Administrative Review Summary School Year 2021-2022</vt:lpstr>
    </vt:vector>
  </TitlesOfParts>
  <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Granby School Committee Administrative Review Summary School Year 2021-2022</dc:title>
  <dc:subject/>
  <dc:creator>DESE</dc:creator>
  <cp:keywords/>
  <cp:lastModifiedBy>Zou, Dong (EOE)</cp:lastModifiedBy>
  <cp:revision>9</cp:revision>
  <dcterms:created xsi:type="dcterms:W3CDTF">2016-12-05T21:17:00Z</dcterms:created>
  <dcterms:modified xsi:type="dcterms:W3CDTF">2022-04-29T21:53:00Z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29 2022</vt:lpwstr>
  </property>
</Properties>
</file>