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387AF" w14:textId="77777777" w:rsidR="00CA19B4" w:rsidRPr="00200779" w:rsidRDefault="00BF496B"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0B39447B" w14:textId="77777777" w:rsidR="00CA19B4" w:rsidRDefault="00137C66" w:rsidP="00CA19B4">
      <w:pPr>
        <w:jc w:val="center"/>
        <w:rPr>
          <w:rFonts w:ascii="Times New Roman" w:hAnsi="Times New Roman" w:cs="Times New Roman"/>
          <w:sz w:val="24"/>
          <w:szCs w:val="24"/>
        </w:rPr>
      </w:pPr>
    </w:p>
    <w:p w14:paraId="2F04D88F" w14:textId="77777777" w:rsidR="00CA19B4" w:rsidRDefault="00BF496B"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67F4B06D" w14:textId="77777777" w:rsidR="00CA19B4" w:rsidRDefault="00137C66" w:rsidP="00CA19B4">
      <w:pPr>
        <w:rPr>
          <w:rFonts w:ascii="Times New Roman" w:hAnsi="Times New Roman" w:cs="Times New Roman"/>
          <w:sz w:val="20"/>
          <w:szCs w:val="20"/>
        </w:rPr>
      </w:pPr>
    </w:p>
    <w:p w14:paraId="31213491" w14:textId="77777777" w:rsidR="00CA19B4" w:rsidRDefault="00137C66" w:rsidP="00CA19B4">
      <w:pPr>
        <w:rPr>
          <w:rFonts w:ascii="Times New Roman" w:hAnsi="Times New Roman" w:cs="Times New Roman"/>
          <w:sz w:val="20"/>
          <w:szCs w:val="20"/>
        </w:rPr>
      </w:pPr>
    </w:p>
    <w:p w14:paraId="61EA78E3" w14:textId="77777777" w:rsidR="00CA19B4" w:rsidRPr="00B63138" w:rsidRDefault="00BF496B"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Marblehead School Department</w:t>
      </w:r>
      <w:bookmarkEnd w:id="0"/>
    </w:p>
    <w:p w14:paraId="7B2C90FA" w14:textId="77777777" w:rsidR="00CA19B4" w:rsidRDefault="00137C66" w:rsidP="00CA19B4">
      <w:pPr>
        <w:rPr>
          <w:rFonts w:ascii="Times New Roman" w:hAnsi="Times New Roman" w:cs="Times New Roman"/>
          <w:sz w:val="20"/>
          <w:szCs w:val="20"/>
        </w:rPr>
      </w:pPr>
    </w:p>
    <w:p w14:paraId="77C2B1F7" w14:textId="77777777" w:rsidR="00CA19B4" w:rsidRDefault="00BF496B"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bookmarkEnd w:id="1"/>
    </w:p>
    <w:p w14:paraId="03324759" w14:textId="77777777" w:rsidR="00CA19B4" w:rsidRDefault="00137C66" w:rsidP="00CA19B4">
      <w:pPr>
        <w:rPr>
          <w:rFonts w:ascii="Times New Roman" w:hAnsi="Times New Roman" w:cs="Times New Roman"/>
          <w:sz w:val="20"/>
          <w:szCs w:val="20"/>
        </w:rPr>
      </w:pPr>
    </w:p>
    <w:p w14:paraId="3AE7C320" w14:textId="77777777" w:rsidR="00CA19B4" w:rsidRDefault="00BF496B"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bookmarkEnd w:id="2"/>
    </w:p>
    <w:p w14:paraId="68357964" w14:textId="77777777" w:rsidR="00CA19B4" w:rsidRDefault="00BF496B"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67EEF35" w14:textId="77777777" w:rsidR="00CA19B4" w:rsidRDefault="00137C66" w:rsidP="00CA19B4">
      <w:pPr>
        <w:pBdr>
          <w:bottom w:val="single" w:sz="12" w:space="1" w:color="auto"/>
        </w:pBdr>
        <w:rPr>
          <w:rFonts w:ascii="Times New Roman" w:hAnsi="Times New Roman" w:cs="Times New Roman"/>
          <w:sz w:val="20"/>
          <w:szCs w:val="20"/>
        </w:rPr>
      </w:pPr>
    </w:p>
    <w:p w14:paraId="2EABA417" w14:textId="77777777" w:rsidR="00CA19B4" w:rsidRDefault="00BF496B"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9C2C60C" w14:textId="77777777" w:rsidR="00CA19B4" w:rsidRDefault="00137C66" w:rsidP="00CA19B4">
      <w:pPr>
        <w:rPr>
          <w:rFonts w:ascii="Times New Roman" w:hAnsi="Times New Roman" w:cs="Times New Roman"/>
          <w:sz w:val="20"/>
          <w:szCs w:val="20"/>
        </w:rPr>
      </w:pPr>
    </w:p>
    <w:p w14:paraId="10347CF9" w14:textId="77777777" w:rsidR="00CA19B4" w:rsidRPr="00223718" w:rsidRDefault="00BF496B"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48AB224A" w14:textId="77777777" w:rsidR="00CA19B4" w:rsidRDefault="00137C66" w:rsidP="00CA19B4">
      <w:pPr>
        <w:rPr>
          <w:rFonts w:ascii="Times New Roman" w:hAnsi="Times New Roman" w:cs="Times New Roman"/>
          <w:sz w:val="20"/>
          <w:szCs w:val="20"/>
        </w:rPr>
      </w:pPr>
    </w:p>
    <w:p w14:paraId="684F55CF" w14:textId="77777777" w:rsidR="00CA19B4" w:rsidRDefault="00BF496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469BD9BD" w14:textId="77777777" w:rsidR="00CA19B4" w:rsidRDefault="00137C66" w:rsidP="00CA19B4">
      <w:pPr>
        <w:ind w:left="720"/>
        <w:rPr>
          <w:rFonts w:ascii="Times New Roman" w:hAnsi="Times New Roman" w:cs="Times New Roman"/>
          <w:sz w:val="20"/>
          <w:szCs w:val="20"/>
        </w:rPr>
      </w:pPr>
    </w:p>
    <w:bookmarkStart w:id="3" w:name="CHK_SBP"/>
    <w:p w14:paraId="63FD04F2" w14:textId="77777777" w:rsidR="00CA19B4" w:rsidRDefault="00BF496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137C66">
        <w:rPr>
          <w:rFonts w:ascii="Times New Roman" w:hAnsi="Times New Roman" w:cs="Times New Roman"/>
          <w:sz w:val="20"/>
          <w:szCs w:val="20"/>
        </w:rPr>
      </w:r>
      <w:r w:rsidR="00137C6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7CB39738" w14:textId="77777777" w:rsidR="00CA19B4" w:rsidRDefault="00BF496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137C66">
        <w:rPr>
          <w:rFonts w:ascii="Times New Roman" w:hAnsi="Times New Roman" w:cs="Times New Roman"/>
          <w:sz w:val="20"/>
          <w:szCs w:val="20"/>
        </w:rPr>
      </w:r>
      <w:r w:rsidR="00137C6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10BD4159" w14:textId="77777777" w:rsidR="00CA19B4" w:rsidRDefault="00BF496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37C66">
        <w:rPr>
          <w:rFonts w:ascii="Times New Roman" w:hAnsi="Times New Roman" w:cs="Times New Roman"/>
          <w:sz w:val="20"/>
          <w:szCs w:val="20"/>
        </w:rPr>
      </w:r>
      <w:r w:rsidR="00137C6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4780AC81" w14:textId="77777777" w:rsidR="00CA19B4" w:rsidRDefault="00BF496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37C66">
        <w:rPr>
          <w:rFonts w:ascii="Times New Roman" w:hAnsi="Times New Roman" w:cs="Times New Roman"/>
          <w:sz w:val="20"/>
          <w:szCs w:val="20"/>
        </w:rPr>
      </w:r>
      <w:r w:rsidR="00137C6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E669B0B" w14:textId="77777777" w:rsidR="00CA19B4" w:rsidRDefault="00BF496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37C66">
        <w:rPr>
          <w:rFonts w:ascii="Times New Roman" w:hAnsi="Times New Roman" w:cs="Times New Roman"/>
          <w:sz w:val="20"/>
          <w:szCs w:val="20"/>
        </w:rPr>
      </w:r>
      <w:r w:rsidR="00137C6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3156C818" w14:textId="77777777" w:rsidR="00CA19B4" w:rsidRDefault="00BF496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37C66">
        <w:rPr>
          <w:rFonts w:ascii="Times New Roman" w:hAnsi="Times New Roman" w:cs="Times New Roman"/>
          <w:sz w:val="20"/>
          <w:szCs w:val="20"/>
        </w:rPr>
      </w:r>
      <w:r w:rsidR="00137C6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947050D" w14:textId="77777777" w:rsidR="00CA19B4" w:rsidRDefault="00137C66" w:rsidP="00CA19B4">
      <w:pPr>
        <w:rPr>
          <w:rFonts w:ascii="Times New Roman" w:hAnsi="Times New Roman" w:cs="Times New Roman"/>
          <w:sz w:val="20"/>
          <w:szCs w:val="20"/>
        </w:rPr>
      </w:pPr>
    </w:p>
    <w:p w14:paraId="6499B6BC" w14:textId="77777777" w:rsidR="00CA19B4" w:rsidRDefault="00BF496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78044387" w14:textId="77777777" w:rsidR="00CA19B4" w:rsidRDefault="00137C66" w:rsidP="00CA19B4">
      <w:pPr>
        <w:ind w:left="720"/>
        <w:rPr>
          <w:rFonts w:ascii="Times New Roman" w:hAnsi="Times New Roman" w:cs="Times New Roman"/>
          <w:sz w:val="20"/>
          <w:szCs w:val="20"/>
        </w:rPr>
      </w:pPr>
    </w:p>
    <w:bookmarkStart w:id="9" w:name="CHK_CEP"/>
    <w:p w14:paraId="569F8E33" w14:textId="77777777" w:rsidR="00CA19B4" w:rsidRDefault="00BF496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37C66">
        <w:rPr>
          <w:rFonts w:ascii="Times New Roman" w:hAnsi="Times New Roman" w:cs="Times New Roman"/>
          <w:sz w:val="20"/>
          <w:szCs w:val="20"/>
        </w:rPr>
      </w:r>
      <w:r w:rsidR="00137C6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21F139E" w14:textId="77777777" w:rsidR="00CA19B4" w:rsidRDefault="00BF496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37C66">
        <w:rPr>
          <w:rFonts w:ascii="Times New Roman" w:hAnsi="Times New Roman" w:cs="Times New Roman"/>
          <w:sz w:val="20"/>
          <w:szCs w:val="20"/>
        </w:rPr>
      </w:r>
      <w:r w:rsidR="00137C6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D406D1D" w14:textId="77777777" w:rsidR="00CA19B4" w:rsidRDefault="00BF496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37C66">
        <w:rPr>
          <w:rFonts w:ascii="Times New Roman" w:hAnsi="Times New Roman" w:cs="Times New Roman"/>
          <w:sz w:val="20"/>
          <w:szCs w:val="20"/>
        </w:rPr>
      </w:r>
      <w:r w:rsidR="00137C6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6BA6CDC5" w14:textId="77777777" w:rsidR="00CA19B4" w:rsidRDefault="00BF496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37C66">
        <w:rPr>
          <w:rFonts w:ascii="Times New Roman" w:hAnsi="Times New Roman" w:cs="Times New Roman"/>
          <w:sz w:val="20"/>
          <w:szCs w:val="20"/>
        </w:rPr>
      </w:r>
      <w:r w:rsidR="00137C6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7930EF68" w14:textId="77777777" w:rsidR="00CA19B4" w:rsidRDefault="00137C66" w:rsidP="00CA19B4">
      <w:pPr>
        <w:rPr>
          <w:rFonts w:ascii="Times New Roman" w:hAnsi="Times New Roman" w:cs="Times New Roman"/>
          <w:sz w:val="20"/>
          <w:szCs w:val="20"/>
        </w:rPr>
      </w:pPr>
    </w:p>
    <w:p w14:paraId="655D57E6" w14:textId="77777777" w:rsidR="00CA19B4" w:rsidRPr="00D6151F" w:rsidRDefault="00BF496B"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901FAC8" w14:textId="77777777" w:rsidR="00CA19B4" w:rsidRDefault="00137C66" w:rsidP="00CA19B4">
      <w:pPr>
        <w:rPr>
          <w:rFonts w:ascii="Times New Roman" w:hAnsi="Times New Roman" w:cs="Times New Roman"/>
          <w:sz w:val="20"/>
          <w:szCs w:val="20"/>
        </w:rPr>
      </w:pPr>
    </w:p>
    <w:p w14:paraId="6BFE9788" w14:textId="77777777" w:rsidR="00CA19B4" w:rsidRDefault="00BF496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108242F" w14:textId="77777777" w:rsidR="00CA19B4" w:rsidRDefault="00BF496B"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137C66">
        <w:rPr>
          <w:rFonts w:ascii="MS Gothic" w:eastAsia="MS Gothic" w:hAnsi="Times New Roman" w:cs="Times New Roman"/>
          <w:sz w:val="20"/>
          <w:szCs w:val="20"/>
        </w:rPr>
      </w:r>
      <w:r w:rsidR="00137C66">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137C66">
        <w:rPr>
          <w:rFonts w:ascii="MS Gothic" w:eastAsia="MS Gothic" w:hAnsi="Times New Roman" w:cs="Times New Roman"/>
          <w:sz w:val="20"/>
          <w:szCs w:val="20"/>
        </w:rPr>
      </w:r>
      <w:r w:rsidR="00137C66">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060E894" w14:textId="77777777" w:rsidR="00CA19B4" w:rsidRDefault="00137C66" w:rsidP="00CA19B4">
      <w:pPr>
        <w:ind w:firstLine="720"/>
        <w:rPr>
          <w:rFonts w:ascii="Times New Roman" w:hAnsi="Times New Roman" w:cs="Times New Roman"/>
          <w:sz w:val="20"/>
          <w:szCs w:val="20"/>
        </w:rPr>
      </w:pPr>
    </w:p>
    <w:p w14:paraId="30C756E0" w14:textId="77777777" w:rsidR="00CA19B4" w:rsidRDefault="00BF496B"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6A5C926F" w14:textId="77777777" w:rsidR="006D68B7" w:rsidRDefault="00137C66">
      <w:pPr>
        <w:sectPr w:rsidR="006D68B7" w:rsidSect="005B420A">
          <w:footerReference w:type="default" r:id="rId10"/>
          <w:pgSz w:w="12240" w:h="15840"/>
          <w:pgMar w:top="1440" w:right="1440" w:bottom="1440" w:left="1440" w:header="720" w:footer="720" w:gutter="0"/>
          <w:cols w:space="720"/>
        </w:sectPr>
      </w:pPr>
    </w:p>
    <w:p w14:paraId="7C6A9BF7" w14:textId="77777777" w:rsidR="00A53CEA" w:rsidRDefault="00137C66" w:rsidP="00A53CEA">
      <w:pPr>
        <w:pStyle w:val="Normal0"/>
        <w:ind w:firstLine="720"/>
        <w:rPr>
          <w:rFonts w:ascii="Times New Roman" w:hAnsi="Times New Roman" w:cs="Times New Roman"/>
          <w:sz w:val="20"/>
          <w:szCs w:val="20"/>
        </w:rPr>
      </w:pPr>
    </w:p>
    <w:p w14:paraId="20EE454C" w14:textId="77777777" w:rsidR="00A53CEA" w:rsidRPr="00C61944" w:rsidRDefault="00BF496B"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41482C" w14:paraId="4972B54C" w14:textId="77777777" w:rsidTr="008175F8">
        <w:trPr>
          <w:trHeight w:val="37"/>
        </w:trPr>
        <w:tc>
          <w:tcPr>
            <w:tcW w:w="8545" w:type="dxa"/>
            <w:shd w:val="clear" w:color="auto" w:fill="31849B" w:themeFill="accent5" w:themeFillShade="BF"/>
          </w:tcPr>
          <w:p w14:paraId="6FE5441B" w14:textId="77777777" w:rsidR="00A53CEA" w:rsidRPr="005B0132" w:rsidRDefault="00BF496B" w:rsidP="008175F8">
            <w:pPr>
              <w:pStyle w:val="Normal0"/>
              <w:rPr>
                <w:rFonts w:asciiTheme="minorHAnsi" w:hAnsiTheme="minorHAnsi" w:cstheme="minorHAnsi"/>
                <w:b/>
                <w:i/>
                <w:color w:val="DBE5F1" w:themeColor="accent1" w:themeTint="33"/>
                <w:sz w:val="32"/>
                <w:szCs w:val="20"/>
              </w:rPr>
            </w:pPr>
            <w:r>
              <w:t>Program Access and Reimbursement</w:t>
            </w:r>
          </w:p>
        </w:tc>
      </w:tr>
      <w:tr w:rsidR="0041482C" w14:paraId="70975FDD" w14:textId="77777777" w:rsidTr="008175F8">
        <w:trPr>
          <w:trHeight w:val="37"/>
        </w:trPr>
        <w:tc>
          <w:tcPr>
            <w:tcW w:w="8545" w:type="dxa"/>
            <w:shd w:val="clear" w:color="auto" w:fill="D9D9D9" w:themeFill="background1" w:themeFillShade="D9"/>
          </w:tcPr>
          <w:p w14:paraId="50A1F741" w14:textId="77777777" w:rsidR="00A53CEA" w:rsidRPr="0076532F" w:rsidRDefault="00BF496B" w:rsidP="008175F8">
            <w:pPr>
              <w:pStyle w:val="Normal0"/>
              <w:rPr>
                <w:rFonts w:ascii="Times New Roman" w:hAnsi="Times New Roman" w:cs="Times New Roman"/>
                <w:b/>
                <w:sz w:val="20"/>
                <w:szCs w:val="20"/>
              </w:rPr>
            </w:pPr>
            <w:r>
              <w:t>Verification</w:t>
            </w:r>
          </w:p>
        </w:tc>
      </w:tr>
      <w:tr w:rsidR="0041482C" w14:paraId="584BF874" w14:textId="77777777" w:rsidTr="008175F8">
        <w:trPr>
          <w:trHeight w:val="37"/>
        </w:trPr>
        <w:tc>
          <w:tcPr>
            <w:tcW w:w="8545" w:type="dxa"/>
            <w:shd w:val="clear" w:color="auto" w:fill="auto"/>
          </w:tcPr>
          <w:p w14:paraId="7A4586A9" w14:textId="77777777" w:rsidR="00A53CEA" w:rsidRPr="005B0132" w:rsidRDefault="00BF496B" w:rsidP="00A53CEA">
            <w:pPr>
              <w:pStyle w:val="ListParagraph"/>
              <w:numPr>
                <w:ilvl w:val="0"/>
                <w:numId w:val="2"/>
              </w:numPr>
              <w:ind w:left="540"/>
              <w:rPr>
                <w:rFonts w:ascii="Times New Roman" w:hAnsi="Times New Roman" w:cs="Times New Roman"/>
                <w:sz w:val="20"/>
                <w:szCs w:val="20"/>
              </w:rPr>
            </w:pPr>
            <w:r>
              <w:t>The SFA did not complete the annual verification process by November 15th. The SFA must complete the verification process no later than November 15 of each school year.; The SFA did not request an extension of the November 15 deadline, in writing, from ESE.</w:t>
            </w:r>
          </w:p>
        </w:tc>
      </w:tr>
      <w:tr w:rsidR="0041482C" w14:paraId="674B2C36" w14:textId="77777777" w:rsidTr="008175F8">
        <w:trPr>
          <w:trHeight w:val="37"/>
        </w:trPr>
        <w:tc>
          <w:tcPr>
            <w:tcW w:w="8545" w:type="dxa"/>
            <w:shd w:val="clear" w:color="auto" w:fill="auto"/>
          </w:tcPr>
          <w:p w14:paraId="75876C1B" w14:textId="77777777" w:rsidR="00A53CEA" w:rsidRPr="005B0132" w:rsidRDefault="00BF496B" w:rsidP="00A53CEA">
            <w:pPr>
              <w:pStyle w:val="ListParagraph"/>
              <w:numPr>
                <w:ilvl w:val="0"/>
                <w:numId w:val="2"/>
              </w:numPr>
              <w:ind w:left="540"/>
              <w:rPr>
                <w:rFonts w:ascii="Times New Roman" w:hAnsi="Times New Roman" w:cs="Times New Roman"/>
                <w:sz w:val="20"/>
                <w:szCs w:val="20"/>
              </w:rPr>
            </w:pPr>
            <w:r>
              <w:t>The SFA did not use the Virtual Gateway to conduct Direct Verification for the selected applications.</w:t>
            </w:r>
          </w:p>
        </w:tc>
      </w:tr>
      <w:tr w:rsidR="0041482C" w14:paraId="7D4BD8CA" w14:textId="77777777" w:rsidTr="008175F8">
        <w:trPr>
          <w:trHeight w:val="37"/>
        </w:trPr>
        <w:tc>
          <w:tcPr>
            <w:tcW w:w="8545" w:type="dxa"/>
            <w:shd w:val="clear" w:color="auto" w:fill="auto"/>
          </w:tcPr>
          <w:p w14:paraId="49EBFCBE" w14:textId="77777777" w:rsidR="00A53CEA" w:rsidRPr="005B0132" w:rsidRDefault="00BF496B" w:rsidP="00A53CEA">
            <w:pPr>
              <w:pStyle w:val="ListParagraph"/>
              <w:numPr>
                <w:ilvl w:val="0"/>
                <w:numId w:val="2"/>
              </w:numPr>
              <w:ind w:left="540"/>
              <w:rPr>
                <w:rFonts w:ascii="Times New Roman" w:hAnsi="Times New Roman" w:cs="Times New Roman"/>
                <w:sz w:val="20"/>
                <w:szCs w:val="20"/>
              </w:rPr>
            </w:pPr>
            <w:r>
              <w:t>The SFA was unable to produce documentation demonstrating that a confirmation review was conducted.</w:t>
            </w:r>
          </w:p>
        </w:tc>
      </w:tr>
      <w:tr w:rsidR="0041482C" w14:paraId="6D8B3052" w14:textId="77777777" w:rsidTr="008175F8">
        <w:trPr>
          <w:trHeight w:val="37"/>
        </w:trPr>
        <w:tc>
          <w:tcPr>
            <w:tcW w:w="8545" w:type="dxa"/>
            <w:shd w:val="clear" w:color="auto" w:fill="D9D9D9" w:themeFill="background1" w:themeFillShade="D9"/>
          </w:tcPr>
          <w:p w14:paraId="61C8C06E" w14:textId="77777777" w:rsidR="00A53CEA" w:rsidRPr="0076532F" w:rsidRDefault="00BF496B" w:rsidP="008175F8">
            <w:pPr>
              <w:pStyle w:val="Normal0"/>
              <w:rPr>
                <w:rFonts w:ascii="Times New Roman" w:hAnsi="Times New Roman" w:cs="Times New Roman"/>
                <w:b/>
                <w:sz w:val="20"/>
                <w:szCs w:val="20"/>
              </w:rPr>
            </w:pPr>
            <w:r>
              <w:t>Meal Counting and Claiming</w:t>
            </w:r>
          </w:p>
        </w:tc>
      </w:tr>
      <w:tr w:rsidR="0041482C" w14:paraId="49727120" w14:textId="77777777" w:rsidTr="008175F8">
        <w:trPr>
          <w:trHeight w:val="37"/>
        </w:trPr>
        <w:tc>
          <w:tcPr>
            <w:tcW w:w="8545" w:type="dxa"/>
            <w:shd w:val="clear" w:color="auto" w:fill="auto"/>
          </w:tcPr>
          <w:p w14:paraId="0FC9BD5E" w14:textId="77777777" w:rsidR="00A53CEA" w:rsidRPr="005B0132" w:rsidRDefault="00BF496B" w:rsidP="00A53CEA">
            <w:pPr>
              <w:pStyle w:val="ListParagraph"/>
              <w:numPr>
                <w:ilvl w:val="0"/>
                <w:numId w:val="2"/>
              </w:numPr>
              <w:ind w:left="540"/>
              <w:rPr>
                <w:rFonts w:ascii="Times New Roman" w:hAnsi="Times New Roman" w:cs="Times New Roman"/>
                <w:sz w:val="20"/>
                <w:szCs w:val="20"/>
              </w:rPr>
            </w:pPr>
            <w:r>
              <w:t xml:space="preserve">The counts for some or all of the schools were incorrectly consolidated and claimed by the SFA. The SFA must correctly record, </w:t>
            </w:r>
            <w:proofErr w:type="gramStart"/>
            <w:r>
              <w:t>consolidate</w:t>
            </w:r>
            <w:proofErr w:type="gramEnd"/>
            <w:r>
              <w:t xml:space="preserve"> and report those lunch and supplement counts on the Claim for Reimbursement.</w:t>
            </w:r>
          </w:p>
        </w:tc>
      </w:tr>
      <w:tr w:rsidR="0041482C" w14:paraId="073066B0" w14:textId="77777777" w:rsidTr="008175F8">
        <w:trPr>
          <w:trHeight w:val="37"/>
        </w:trPr>
        <w:tc>
          <w:tcPr>
            <w:tcW w:w="8545" w:type="dxa"/>
            <w:shd w:val="clear" w:color="auto" w:fill="31849B" w:themeFill="accent5" w:themeFillShade="BF"/>
          </w:tcPr>
          <w:p w14:paraId="466AB862" w14:textId="77777777" w:rsidR="00A53CEA" w:rsidRPr="005B0132" w:rsidRDefault="00BF496B" w:rsidP="008175F8">
            <w:pPr>
              <w:pStyle w:val="Normal0"/>
              <w:rPr>
                <w:rFonts w:asciiTheme="minorHAnsi" w:hAnsiTheme="minorHAnsi" w:cstheme="minorHAnsi"/>
                <w:b/>
                <w:i/>
                <w:color w:val="DBE5F1" w:themeColor="accent1" w:themeTint="33"/>
                <w:sz w:val="32"/>
                <w:szCs w:val="20"/>
              </w:rPr>
            </w:pPr>
            <w:r>
              <w:t>Meal Patterns and Nutritional Quality</w:t>
            </w:r>
          </w:p>
        </w:tc>
      </w:tr>
      <w:tr w:rsidR="0041482C" w14:paraId="42516FF1" w14:textId="77777777" w:rsidTr="008175F8">
        <w:trPr>
          <w:trHeight w:val="37"/>
        </w:trPr>
        <w:tc>
          <w:tcPr>
            <w:tcW w:w="8545" w:type="dxa"/>
            <w:shd w:val="clear" w:color="auto" w:fill="D9D9D9" w:themeFill="background1" w:themeFillShade="D9"/>
          </w:tcPr>
          <w:p w14:paraId="66E034AB" w14:textId="77777777" w:rsidR="00A53CEA" w:rsidRPr="0076532F" w:rsidRDefault="00BF496B" w:rsidP="008175F8">
            <w:pPr>
              <w:pStyle w:val="Normal0"/>
              <w:rPr>
                <w:rFonts w:ascii="Times New Roman" w:hAnsi="Times New Roman" w:cs="Times New Roman"/>
                <w:b/>
                <w:sz w:val="20"/>
                <w:szCs w:val="20"/>
              </w:rPr>
            </w:pPr>
            <w:r>
              <w:t>Meal Components and Quantities</w:t>
            </w:r>
          </w:p>
        </w:tc>
      </w:tr>
      <w:tr w:rsidR="0041482C" w14:paraId="44A336C8" w14:textId="77777777" w:rsidTr="008175F8">
        <w:trPr>
          <w:trHeight w:val="37"/>
        </w:trPr>
        <w:tc>
          <w:tcPr>
            <w:tcW w:w="8545" w:type="dxa"/>
            <w:shd w:val="clear" w:color="auto" w:fill="auto"/>
          </w:tcPr>
          <w:p w14:paraId="49405900" w14:textId="77777777" w:rsidR="00A53CEA" w:rsidRPr="005B0132" w:rsidRDefault="00BF496B" w:rsidP="00A53CEA">
            <w:pPr>
              <w:pStyle w:val="ListParagraph"/>
              <w:numPr>
                <w:ilvl w:val="0"/>
                <w:numId w:val="2"/>
              </w:numPr>
              <w:ind w:left="540"/>
              <w:rPr>
                <w:rFonts w:ascii="Times New Roman" w:hAnsi="Times New Roman" w:cs="Times New Roman"/>
                <w:sz w:val="20"/>
                <w:szCs w:val="20"/>
              </w:rPr>
            </w:pPr>
            <w:r>
              <w:t>The daily minimum quantity requirements are not met for the age/grade group being offered.</w:t>
            </w:r>
          </w:p>
        </w:tc>
      </w:tr>
      <w:tr w:rsidR="0041482C" w14:paraId="0219E719" w14:textId="77777777" w:rsidTr="008175F8">
        <w:trPr>
          <w:trHeight w:val="37"/>
        </w:trPr>
        <w:tc>
          <w:tcPr>
            <w:tcW w:w="8545" w:type="dxa"/>
            <w:shd w:val="clear" w:color="auto" w:fill="D9D9D9" w:themeFill="background1" w:themeFillShade="D9"/>
          </w:tcPr>
          <w:p w14:paraId="44797212" w14:textId="77777777" w:rsidR="00A53CEA" w:rsidRPr="0076532F" w:rsidRDefault="00BF496B" w:rsidP="008175F8">
            <w:pPr>
              <w:pStyle w:val="Normal0"/>
              <w:rPr>
                <w:rFonts w:ascii="Times New Roman" w:hAnsi="Times New Roman" w:cs="Times New Roman"/>
                <w:b/>
                <w:sz w:val="20"/>
                <w:szCs w:val="20"/>
              </w:rPr>
            </w:pPr>
            <w:r>
              <w:t>Offer versus Serve</w:t>
            </w:r>
          </w:p>
        </w:tc>
      </w:tr>
      <w:tr w:rsidR="0041482C" w14:paraId="7E5F3A56" w14:textId="77777777" w:rsidTr="008175F8">
        <w:trPr>
          <w:trHeight w:val="37"/>
        </w:trPr>
        <w:tc>
          <w:tcPr>
            <w:tcW w:w="8545" w:type="dxa"/>
            <w:shd w:val="clear" w:color="auto" w:fill="auto"/>
          </w:tcPr>
          <w:p w14:paraId="36C3534B" w14:textId="77777777" w:rsidR="00A53CEA" w:rsidRPr="005B0132" w:rsidRDefault="00BF496B"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 Under OVS, students must be allowed to decline two components at lunch, except that the students must select at least 1/2 cup of either the fruit or vegetable component. Senior high schools must participate in offer versus serve. Schools below the senior high level may participate in offer versus serve at the discretion of the school food authority.</w:t>
            </w:r>
          </w:p>
        </w:tc>
      </w:tr>
      <w:tr w:rsidR="0041482C" w14:paraId="198E53FD" w14:textId="77777777" w:rsidTr="008175F8">
        <w:trPr>
          <w:trHeight w:val="37"/>
        </w:trPr>
        <w:tc>
          <w:tcPr>
            <w:tcW w:w="8545" w:type="dxa"/>
            <w:shd w:val="clear" w:color="auto" w:fill="D9D9D9" w:themeFill="background1" w:themeFillShade="D9"/>
          </w:tcPr>
          <w:p w14:paraId="264E0123" w14:textId="77777777" w:rsidR="00A53CEA" w:rsidRPr="0076532F" w:rsidRDefault="00BF496B" w:rsidP="008175F8">
            <w:pPr>
              <w:pStyle w:val="Normal0"/>
              <w:rPr>
                <w:rFonts w:ascii="Times New Roman" w:hAnsi="Times New Roman" w:cs="Times New Roman"/>
                <w:b/>
                <w:sz w:val="20"/>
                <w:szCs w:val="20"/>
              </w:rPr>
            </w:pPr>
            <w:r>
              <w:t>Dietary Specifications and Nutrition Analysis</w:t>
            </w:r>
          </w:p>
        </w:tc>
      </w:tr>
      <w:tr w:rsidR="0041482C" w14:paraId="1331605A" w14:textId="77777777" w:rsidTr="008175F8">
        <w:trPr>
          <w:trHeight w:val="37"/>
        </w:trPr>
        <w:tc>
          <w:tcPr>
            <w:tcW w:w="8545" w:type="dxa"/>
            <w:shd w:val="clear" w:color="auto" w:fill="auto"/>
          </w:tcPr>
          <w:p w14:paraId="0438D433" w14:textId="77777777" w:rsidR="00A53CEA" w:rsidRPr="005B0132" w:rsidRDefault="00BF496B" w:rsidP="00A53CEA">
            <w:pPr>
              <w:pStyle w:val="ListParagraph"/>
              <w:numPr>
                <w:ilvl w:val="0"/>
                <w:numId w:val="2"/>
              </w:numPr>
              <w:ind w:left="540"/>
              <w:rPr>
                <w:rFonts w:ascii="Times New Roman" w:hAnsi="Times New Roman" w:cs="Times New Roman"/>
                <w:sz w:val="20"/>
                <w:szCs w:val="20"/>
              </w:rPr>
            </w:pPr>
            <w:r>
              <w:t>The Dietary Specifications Tool was not completed by the sponsor and submitted prior to the onsite review.</w:t>
            </w:r>
          </w:p>
        </w:tc>
      </w:tr>
      <w:tr w:rsidR="0041482C" w14:paraId="7E358450" w14:textId="77777777" w:rsidTr="008175F8">
        <w:trPr>
          <w:trHeight w:val="37"/>
        </w:trPr>
        <w:tc>
          <w:tcPr>
            <w:tcW w:w="8545" w:type="dxa"/>
            <w:shd w:val="clear" w:color="auto" w:fill="31849B" w:themeFill="accent5" w:themeFillShade="BF"/>
          </w:tcPr>
          <w:p w14:paraId="684A1C88" w14:textId="77777777" w:rsidR="00A53CEA" w:rsidRPr="005B0132" w:rsidRDefault="00BF496B" w:rsidP="008175F8">
            <w:pPr>
              <w:pStyle w:val="Normal0"/>
              <w:rPr>
                <w:rFonts w:asciiTheme="minorHAnsi" w:hAnsiTheme="minorHAnsi" w:cstheme="minorHAnsi"/>
                <w:b/>
                <w:i/>
                <w:color w:val="DBE5F1" w:themeColor="accent1" w:themeTint="33"/>
                <w:sz w:val="32"/>
                <w:szCs w:val="20"/>
              </w:rPr>
            </w:pPr>
            <w:r>
              <w:t>School Nutrition Environment</w:t>
            </w:r>
          </w:p>
        </w:tc>
      </w:tr>
      <w:tr w:rsidR="0041482C" w14:paraId="40B59E11" w14:textId="77777777" w:rsidTr="008175F8">
        <w:trPr>
          <w:trHeight w:val="37"/>
        </w:trPr>
        <w:tc>
          <w:tcPr>
            <w:tcW w:w="8545" w:type="dxa"/>
            <w:shd w:val="clear" w:color="auto" w:fill="D9D9D9" w:themeFill="background1" w:themeFillShade="D9"/>
          </w:tcPr>
          <w:p w14:paraId="6621FB61" w14:textId="77777777" w:rsidR="00A53CEA" w:rsidRPr="0076532F" w:rsidRDefault="00BF496B" w:rsidP="008175F8">
            <w:pPr>
              <w:pStyle w:val="Normal0"/>
              <w:rPr>
                <w:rFonts w:ascii="Times New Roman" w:hAnsi="Times New Roman" w:cs="Times New Roman"/>
                <w:b/>
                <w:sz w:val="20"/>
                <w:szCs w:val="20"/>
              </w:rPr>
            </w:pPr>
            <w:r>
              <w:t>Food Safety</w:t>
            </w:r>
          </w:p>
        </w:tc>
      </w:tr>
      <w:tr w:rsidR="0041482C" w14:paraId="7E2B3114" w14:textId="77777777" w:rsidTr="008175F8">
        <w:trPr>
          <w:trHeight w:val="37"/>
        </w:trPr>
        <w:tc>
          <w:tcPr>
            <w:tcW w:w="8545" w:type="dxa"/>
            <w:shd w:val="clear" w:color="auto" w:fill="auto"/>
          </w:tcPr>
          <w:p w14:paraId="127DC640" w14:textId="77777777" w:rsidR="00A53CEA" w:rsidRPr="005B0132" w:rsidRDefault="00BF496B" w:rsidP="00A53CEA">
            <w:pPr>
              <w:pStyle w:val="ListParagraph"/>
              <w:numPr>
                <w:ilvl w:val="0"/>
                <w:numId w:val="2"/>
              </w:numPr>
              <w:ind w:left="540"/>
              <w:rPr>
                <w:rFonts w:ascii="Times New Roman" w:hAnsi="Times New Roman" w:cs="Times New Roman"/>
                <w:sz w:val="20"/>
                <w:szCs w:val="20"/>
              </w:rPr>
            </w:pPr>
            <w:r>
              <w:t>Food temperatures are not taken and recorded on a regular basis. Food temperatures must be taken on a regular basis and recorded.</w:t>
            </w:r>
          </w:p>
        </w:tc>
      </w:tr>
      <w:tr w:rsidR="0041482C" w14:paraId="535D3810" w14:textId="77777777" w:rsidTr="008175F8">
        <w:trPr>
          <w:trHeight w:val="37"/>
        </w:trPr>
        <w:tc>
          <w:tcPr>
            <w:tcW w:w="8545" w:type="dxa"/>
            <w:shd w:val="clear" w:color="auto" w:fill="auto"/>
          </w:tcPr>
          <w:p w14:paraId="5A06D66F" w14:textId="77777777" w:rsidR="00A53CEA" w:rsidRPr="005B0132" w:rsidRDefault="00BF496B" w:rsidP="00A53CEA">
            <w:pPr>
              <w:pStyle w:val="ListParagraph"/>
              <w:numPr>
                <w:ilvl w:val="0"/>
                <w:numId w:val="2"/>
              </w:numPr>
              <w:ind w:left="540"/>
              <w:rPr>
                <w:rFonts w:ascii="Times New Roman" w:hAnsi="Times New Roman" w:cs="Times New Roman"/>
                <w:sz w:val="20"/>
                <w:szCs w:val="20"/>
              </w:rPr>
            </w:pPr>
            <w:r>
              <w:t>Foods are not rotated properly according to accepted practice. SFAs should store and use food following first in, first out (FIFO) procedures to safeguard against spoilage.</w:t>
            </w:r>
          </w:p>
        </w:tc>
      </w:tr>
      <w:tr w:rsidR="0041482C" w14:paraId="459AA4E9" w14:textId="77777777" w:rsidTr="008175F8">
        <w:trPr>
          <w:trHeight w:val="37"/>
        </w:trPr>
        <w:tc>
          <w:tcPr>
            <w:tcW w:w="8545" w:type="dxa"/>
            <w:shd w:val="clear" w:color="auto" w:fill="auto"/>
          </w:tcPr>
          <w:p w14:paraId="3A3CB28D" w14:textId="77777777" w:rsidR="00A53CEA" w:rsidRPr="005B0132" w:rsidRDefault="00BF496B" w:rsidP="00A53CEA">
            <w:pPr>
              <w:pStyle w:val="ListParagraph"/>
              <w:numPr>
                <w:ilvl w:val="0"/>
                <w:numId w:val="2"/>
              </w:numPr>
              <w:ind w:left="540"/>
              <w:rPr>
                <w:rFonts w:ascii="Times New Roman" w:hAnsi="Times New Roman" w:cs="Times New Roman"/>
                <w:sz w:val="20"/>
                <w:szCs w:val="20"/>
              </w:rPr>
            </w:pPr>
            <w:r>
              <w:t>Proper dishwashing procedures are not followed. One or more violations were observed during the pre-rinse, wash, rinse, sanitize and/or drying procedures.</w:t>
            </w:r>
          </w:p>
        </w:tc>
      </w:tr>
      <w:tr w:rsidR="0041482C" w14:paraId="428022A8" w14:textId="77777777" w:rsidTr="008175F8">
        <w:trPr>
          <w:trHeight w:val="37"/>
        </w:trPr>
        <w:tc>
          <w:tcPr>
            <w:tcW w:w="8545" w:type="dxa"/>
            <w:shd w:val="clear" w:color="auto" w:fill="auto"/>
          </w:tcPr>
          <w:p w14:paraId="58B568BE" w14:textId="77777777" w:rsidR="00A53CEA" w:rsidRPr="005B0132" w:rsidRDefault="00BF496B"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41482C" w14:paraId="48BCD206" w14:textId="77777777" w:rsidTr="008175F8">
        <w:trPr>
          <w:trHeight w:val="37"/>
        </w:trPr>
        <w:tc>
          <w:tcPr>
            <w:tcW w:w="8545" w:type="dxa"/>
            <w:shd w:val="clear" w:color="auto" w:fill="auto"/>
          </w:tcPr>
          <w:p w14:paraId="48BE5482" w14:textId="77777777" w:rsidR="00A53CEA" w:rsidRPr="005B0132" w:rsidRDefault="00BF496B"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41482C" w14:paraId="2930A680" w14:textId="77777777" w:rsidTr="008175F8">
        <w:trPr>
          <w:trHeight w:val="37"/>
        </w:trPr>
        <w:tc>
          <w:tcPr>
            <w:tcW w:w="8545" w:type="dxa"/>
            <w:shd w:val="clear" w:color="auto" w:fill="auto"/>
          </w:tcPr>
          <w:p w14:paraId="0ED1FF02" w14:textId="77777777" w:rsidR="00A53CEA" w:rsidRPr="005B0132" w:rsidRDefault="00BF496B"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w:t>
            </w:r>
            <w:r>
              <w:lastRenderedPageBreak/>
              <w:t xml:space="preserve">and donated foods shall be such as to properly safeguard against theft, </w:t>
            </w:r>
            <w:proofErr w:type="gramStart"/>
            <w:r>
              <w:t>spoilage</w:t>
            </w:r>
            <w:proofErr w:type="gramEnd"/>
            <w:r>
              <w:t xml:space="preserve"> and other loss.</w:t>
            </w:r>
          </w:p>
        </w:tc>
      </w:tr>
      <w:tr w:rsidR="0041482C" w14:paraId="516847E4" w14:textId="77777777" w:rsidTr="008175F8">
        <w:trPr>
          <w:trHeight w:val="37"/>
        </w:trPr>
        <w:tc>
          <w:tcPr>
            <w:tcW w:w="8545" w:type="dxa"/>
            <w:shd w:val="clear" w:color="auto" w:fill="auto"/>
          </w:tcPr>
          <w:p w14:paraId="4A704DDF" w14:textId="77777777" w:rsidR="00A53CEA" w:rsidRPr="005B0132" w:rsidRDefault="00BF496B" w:rsidP="00A53CEA">
            <w:pPr>
              <w:pStyle w:val="ListParagraph"/>
              <w:numPr>
                <w:ilvl w:val="0"/>
                <w:numId w:val="2"/>
              </w:numPr>
              <w:ind w:left="540"/>
              <w:rPr>
                <w:rFonts w:ascii="Times New Roman" w:hAnsi="Times New Roman" w:cs="Times New Roman"/>
                <w:sz w:val="20"/>
                <w:szCs w:val="20"/>
              </w:rPr>
            </w:pPr>
            <w:r>
              <w:lastRenderedPageBreak/>
              <w:t>The school did not maintain records for a period of six months following a month's temperature records to demonstrate compliance.</w:t>
            </w:r>
          </w:p>
        </w:tc>
      </w:tr>
      <w:tr w:rsidR="0041482C" w14:paraId="56D87C63" w14:textId="77777777" w:rsidTr="008175F8">
        <w:trPr>
          <w:trHeight w:val="37"/>
        </w:trPr>
        <w:tc>
          <w:tcPr>
            <w:tcW w:w="8545" w:type="dxa"/>
            <w:shd w:val="clear" w:color="auto" w:fill="D9D9D9" w:themeFill="background1" w:themeFillShade="D9"/>
          </w:tcPr>
          <w:p w14:paraId="289AD48A" w14:textId="77777777" w:rsidR="00A53CEA" w:rsidRPr="0076532F" w:rsidRDefault="00BF496B" w:rsidP="008175F8">
            <w:pPr>
              <w:pStyle w:val="Normal0"/>
              <w:rPr>
                <w:rFonts w:ascii="Times New Roman" w:hAnsi="Times New Roman" w:cs="Times New Roman"/>
                <w:b/>
                <w:sz w:val="20"/>
                <w:szCs w:val="20"/>
              </w:rPr>
            </w:pPr>
            <w:r>
              <w:t>Local School Wellness Policy</w:t>
            </w:r>
          </w:p>
        </w:tc>
      </w:tr>
      <w:tr w:rsidR="0041482C" w14:paraId="17C23F1F" w14:textId="77777777" w:rsidTr="008175F8">
        <w:trPr>
          <w:trHeight w:val="37"/>
        </w:trPr>
        <w:tc>
          <w:tcPr>
            <w:tcW w:w="8545" w:type="dxa"/>
            <w:shd w:val="clear" w:color="auto" w:fill="auto"/>
          </w:tcPr>
          <w:p w14:paraId="4A28BC07" w14:textId="77777777" w:rsidR="00A53CEA" w:rsidRPr="005B0132" w:rsidRDefault="00BF496B"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41482C" w14:paraId="1860C73C" w14:textId="77777777" w:rsidTr="008175F8">
        <w:trPr>
          <w:trHeight w:val="37"/>
        </w:trPr>
        <w:tc>
          <w:tcPr>
            <w:tcW w:w="8545" w:type="dxa"/>
            <w:shd w:val="clear" w:color="auto" w:fill="auto"/>
          </w:tcPr>
          <w:p w14:paraId="11FC554B" w14:textId="77777777" w:rsidR="00A53CEA" w:rsidRPr="005B0132" w:rsidRDefault="00BF496B" w:rsidP="00A53CEA">
            <w:pPr>
              <w:pStyle w:val="ListParagraph"/>
              <w:numPr>
                <w:ilvl w:val="0"/>
                <w:numId w:val="2"/>
              </w:numPr>
              <w:ind w:left="540"/>
              <w:rPr>
                <w:rFonts w:ascii="Times New Roman" w:hAnsi="Times New Roman" w:cs="Times New Roman"/>
                <w:sz w:val="20"/>
                <w:szCs w:val="20"/>
              </w:rPr>
            </w:pPr>
            <w:r>
              <w:t xml:space="preserve">The local school wellness policy does not contain the required elements. The wellness policy is missing goals for nutrition promotion and education, physical </w:t>
            </w:r>
            <w:proofErr w:type="gramStart"/>
            <w:r>
              <w:t>activity</w:t>
            </w:r>
            <w:proofErr w:type="gramEnd"/>
            <w:r>
              <w:t xml:space="preserve"> and/or other school-based activities. The local school wellness policy is required to contain goals for nutrition education, nutrition promotion, other school-based activities to promote student wellness, and physical activity.</w:t>
            </w:r>
          </w:p>
        </w:tc>
      </w:tr>
      <w:tr w:rsidR="0041482C" w14:paraId="3C33E36F" w14:textId="77777777" w:rsidTr="008175F8">
        <w:trPr>
          <w:trHeight w:val="37"/>
        </w:trPr>
        <w:tc>
          <w:tcPr>
            <w:tcW w:w="8545" w:type="dxa"/>
            <w:shd w:val="clear" w:color="auto" w:fill="auto"/>
          </w:tcPr>
          <w:p w14:paraId="53C809FC" w14:textId="77777777" w:rsidR="00A53CEA" w:rsidRPr="005B0132" w:rsidRDefault="00BF496B"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 The local school wellness policy is required to contain guidelines for school meal standards, competitive foods and beverages, and any other foods available during the school day.</w:t>
            </w:r>
          </w:p>
        </w:tc>
      </w:tr>
      <w:tr w:rsidR="0041482C" w14:paraId="476B2E13" w14:textId="77777777" w:rsidTr="008175F8">
        <w:trPr>
          <w:trHeight w:val="37"/>
        </w:trPr>
        <w:tc>
          <w:tcPr>
            <w:tcW w:w="8545" w:type="dxa"/>
            <w:shd w:val="clear" w:color="auto" w:fill="auto"/>
          </w:tcPr>
          <w:p w14:paraId="2DA8FFD4" w14:textId="77777777" w:rsidR="00A53CEA" w:rsidRPr="005B0132" w:rsidRDefault="00BF496B" w:rsidP="00A53CEA">
            <w:pPr>
              <w:pStyle w:val="ListParagraph"/>
              <w:numPr>
                <w:ilvl w:val="0"/>
                <w:numId w:val="2"/>
              </w:numPr>
              <w:ind w:left="540"/>
              <w:rPr>
                <w:rFonts w:ascii="Times New Roman" w:hAnsi="Times New Roman" w:cs="Times New Roman"/>
                <w:sz w:val="20"/>
                <w:szCs w:val="20"/>
              </w:rPr>
            </w:pPr>
            <w:r>
              <w:t>The SFA does not have documentation demonstrating the local school wellness policy has been made available to the public. SFAs must make the wellness policy available to the public, on an annual basis at a minimum.</w:t>
            </w:r>
          </w:p>
        </w:tc>
      </w:tr>
      <w:tr w:rsidR="0041482C" w14:paraId="4971BDB0" w14:textId="77777777" w:rsidTr="008175F8">
        <w:trPr>
          <w:trHeight w:val="37"/>
        </w:trPr>
        <w:tc>
          <w:tcPr>
            <w:tcW w:w="8545" w:type="dxa"/>
            <w:shd w:val="clear" w:color="auto" w:fill="auto"/>
          </w:tcPr>
          <w:p w14:paraId="75D3625F" w14:textId="77777777" w:rsidR="00A53CEA" w:rsidRPr="005B0132" w:rsidRDefault="00BF496B"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41482C" w14:paraId="7168F5F2" w14:textId="77777777" w:rsidTr="008175F8">
        <w:trPr>
          <w:trHeight w:val="37"/>
        </w:trPr>
        <w:tc>
          <w:tcPr>
            <w:tcW w:w="8545" w:type="dxa"/>
            <w:shd w:val="clear" w:color="auto" w:fill="auto"/>
          </w:tcPr>
          <w:p w14:paraId="2B86E76C" w14:textId="77777777" w:rsidR="00A53CEA" w:rsidRPr="005B0132" w:rsidRDefault="00BF496B"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41482C" w14:paraId="1B7B8E23" w14:textId="77777777" w:rsidTr="008175F8">
        <w:trPr>
          <w:trHeight w:val="37"/>
        </w:trPr>
        <w:tc>
          <w:tcPr>
            <w:tcW w:w="8545" w:type="dxa"/>
            <w:shd w:val="clear" w:color="auto" w:fill="auto"/>
          </w:tcPr>
          <w:p w14:paraId="62B02B57" w14:textId="77777777" w:rsidR="00A53CEA" w:rsidRPr="005B0132" w:rsidRDefault="00BF496B"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41482C" w14:paraId="5912A953" w14:textId="77777777" w:rsidTr="008175F8">
        <w:trPr>
          <w:trHeight w:val="37"/>
        </w:trPr>
        <w:tc>
          <w:tcPr>
            <w:tcW w:w="8545" w:type="dxa"/>
            <w:shd w:val="clear" w:color="auto" w:fill="auto"/>
          </w:tcPr>
          <w:p w14:paraId="6E088CE9" w14:textId="77777777" w:rsidR="00A53CEA" w:rsidRPr="005B0132" w:rsidRDefault="00BF496B"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41482C" w14:paraId="02EBC935" w14:textId="77777777" w:rsidTr="008175F8">
        <w:trPr>
          <w:trHeight w:val="37"/>
        </w:trPr>
        <w:tc>
          <w:tcPr>
            <w:tcW w:w="8545" w:type="dxa"/>
            <w:shd w:val="clear" w:color="auto" w:fill="D9D9D9" w:themeFill="background1" w:themeFillShade="D9"/>
          </w:tcPr>
          <w:p w14:paraId="3BF6B789" w14:textId="77777777" w:rsidR="00A53CEA" w:rsidRPr="0076532F" w:rsidRDefault="00BF496B" w:rsidP="008175F8">
            <w:pPr>
              <w:pStyle w:val="Normal0"/>
              <w:rPr>
                <w:rFonts w:ascii="Times New Roman" w:hAnsi="Times New Roman" w:cs="Times New Roman"/>
                <w:b/>
                <w:sz w:val="20"/>
                <w:szCs w:val="20"/>
              </w:rPr>
            </w:pPr>
            <w:r>
              <w:t>Smart Snacks</w:t>
            </w:r>
          </w:p>
        </w:tc>
      </w:tr>
      <w:tr w:rsidR="0041482C" w14:paraId="560ACDAE" w14:textId="77777777" w:rsidTr="008175F8">
        <w:trPr>
          <w:trHeight w:val="37"/>
        </w:trPr>
        <w:tc>
          <w:tcPr>
            <w:tcW w:w="8545" w:type="dxa"/>
            <w:shd w:val="clear" w:color="auto" w:fill="auto"/>
          </w:tcPr>
          <w:p w14:paraId="2A929FD7" w14:textId="77777777" w:rsidR="00A53CEA" w:rsidRPr="005B0132" w:rsidRDefault="00BF496B" w:rsidP="00A53CEA">
            <w:pPr>
              <w:pStyle w:val="ListParagraph"/>
              <w:numPr>
                <w:ilvl w:val="0"/>
                <w:numId w:val="2"/>
              </w:numPr>
              <w:ind w:left="540"/>
              <w:rPr>
                <w:rFonts w:ascii="Times New Roman" w:hAnsi="Times New Roman" w:cs="Times New Roman"/>
                <w:sz w:val="20"/>
                <w:szCs w:val="20"/>
              </w:rPr>
            </w:pPr>
            <w:r>
              <w:t>Some or all of the food and beverages sold to students during the school day, did not meet the Competitive Food standards. All competitive food sold to students on the school campus during the school day must meet the nutrition standards specified. These standards apply to items as packaged and served to students.</w:t>
            </w:r>
          </w:p>
        </w:tc>
      </w:tr>
      <w:tr w:rsidR="0041482C" w14:paraId="38DEC1C9" w14:textId="77777777" w:rsidTr="008175F8">
        <w:trPr>
          <w:trHeight w:val="37"/>
        </w:trPr>
        <w:tc>
          <w:tcPr>
            <w:tcW w:w="8545" w:type="dxa"/>
            <w:shd w:val="clear" w:color="auto" w:fill="31849B" w:themeFill="accent5" w:themeFillShade="BF"/>
          </w:tcPr>
          <w:p w14:paraId="77815D21" w14:textId="77777777" w:rsidR="00A53CEA" w:rsidRPr="005B0132" w:rsidRDefault="00BF496B" w:rsidP="008175F8">
            <w:pPr>
              <w:pStyle w:val="Normal0"/>
              <w:rPr>
                <w:rFonts w:asciiTheme="minorHAnsi" w:hAnsiTheme="minorHAnsi" w:cstheme="minorHAnsi"/>
                <w:b/>
                <w:i/>
                <w:color w:val="DBE5F1" w:themeColor="accent1" w:themeTint="33"/>
                <w:sz w:val="32"/>
                <w:szCs w:val="20"/>
              </w:rPr>
            </w:pPr>
            <w:r>
              <w:t>Civil Rights</w:t>
            </w:r>
          </w:p>
        </w:tc>
      </w:tr>
      <w:tr w:rsidR="0041482C" w14:paraId="73AEF998" w14:textId="77777777" w:rsidTr="008175F8">
        <w:trPr>
          <w:trHeight w:val="37"/>
        </w:trPr>
        <w:tc>
          <w:tcPr>
            <w:tcW w:w="8545" w:type="dxa"/>
            <w:shd w:val="clear" w:color="auto" w:fill="auto"/>
          </w:tcPr>
          <w:p w14:paraId="54BD0D2A" w14:textId="77777777" w:rsidR="00A53CEA" w:rsidRPr="005B0132" w:rsidRDefault="00BF496B" w:rsidP="00A53CEA">
            <w:pPr>
              <w:pStyle w:val="ListParagraph"/>
              <w:numPr>
                <w:ilvl w:val="0"/>
                <w:numId w:val="2"/>
              </w:numPr>
              <w:ind w:left="540"/>
              <w:rPr>
                <w:rFonts w:ascii="Times New Roman" w:hAnsi="Times New Roman" w:cs="Times New Roman"/>
                <w:sz w:val="20"/>
                <w:szCs w:val="20"/>
              </w:rPr>
            </w:pPr>
            <w:r>
              <w:lastRenderedPageBreak/>
              <w:t>The SFA did not publish a public release as required. At or near the beginning of the school year, the SFA must publish a public release to inform applicants, participants, and potentially eligible persons of the program availably, program rights and responsibilities, the policy of nondiscrimination, and the procedure for filing a complaint.</w:t>
            </w:r>
          </w:p>
        </w:tc>
      </w:tr>
      <w:tr w:rsidR="0041482C" w14:paraId="0CB23174" w14:textId="77777777" w:rsidTr="008175F8">
        <w:trPr>
          <w:trHeight w:val="37"/>
        </w:trPr>
        <w:tc>
          <w:tcPr>
            <w:tcW w:w="8545" w:type="dxa"/>
            <w:shd w:val="clear" w:color="auto" w:fill="auto"/>
          </w:tcPr>
          <w:p w14:paraId="1AAA274B" w14:textId="77777777" w:rsidR="00A53CEA" w:rsidRPr="005B0132" w:rsidRDefault="00BF496B" w:rsidP="00A53CEA">
            <w:pPr>
              <w:pStyle w:val="ListParagraph"/>
              <w:numPr>
                <w:ilvl w:val="0"/>
                <w:numId w:val="2"/>
              </w:numPr>
              <w:ind w:left="540"/>
              <w:rPr>
                <w:rFonts w:ascii="Times New Roman" w:hAnsi="Times New Roman" w:cs="Times New Roman"/>
                <w:sz w:val="20"/>
                <w:szCs w:val="20"/>
              </w:rPr>
            </w:pPr>
            <w:r>
              <w:t>The SFA did not use the Nuts and Bolts OnDemand: Civil Rights in Child Nutrition Programs to train staff.</w:t>
            </w:r>
          </w:p>
        </w:tc>
      </w:tr>
      <w:tr w:rsidR="0041482C" w14:paraId="03EEDA6D" w14:textId="77777777" w:rsidTr="008175F8">
        <w:trPr>
          <w:trHeight w:val="37"/>
        </w:trPr>
        <w:tc>
          <w:tcPr>
            <w:tcW w:w="8545" w:type="dxa"/>
            <w:shd w:val="clear" w:color="auto" w:fill="auto"/>
          </w:tcPr>
          <w:p w14:paraId="2B1FF460" w14:textId="77777777" w:rsidR="00A53CEA" w:rsidRPr="005B0132" w:rsidRDefault="00BF496B" w:rsidP="00A53CEA">
            <w:pPr>
              <w:pStyle w:val="ListParagraph"/>
              <w:numPr>
                <w:ilvl w:val="0"/>
                <w:numId w:val="2"/>
              </w:numPr>
              <w:ind w:left="540"/>
              <w:rPr>
                <w:rFonts w:ascii="Times New Roman" w:hAnsi="Times New Roman" w:cs="Times New Roman"/>
                <w:sz w:val="20"/>
                <w:szCs w:val="20"/>
              </w:rPr>
            </w:pPr>
            <w:r>
              <w:t>The SFA does not have or has not maintained a civil rights complaint log to track any written or verbal complaints alleging discrimination in FNS Programs.</w:t>
            </w:r>
          </w:p>
        </w:tc>
      </w:tr>
    </w:tbl>
    <w:p w14:paraId="7D3E2903" w14:textId="77777777" w:rsidR="00A53CEA" w:rsidRPr="00223718" w:rsidRDefault="00137C66" w:rsidP="00A53CEA">
      <w:pPr>
        <w:pStyle w:val="Normal0"/>
        <w:rPr>
          <w:rFonts w:ascii="Times New Roman" w:hAnsi="Times New Roman" w:cs="Times New Roman"/>
          <w:sz w:val="20"/>
          <w:szCs w:val="20"/>
        </w:rPr>
      </w:pPr>
    </w:p>
    <w:p w14:paraId="54B858BE" w14:textId="77777777" w:rsidR="00A53CEA" w:rsidRDefault="00137C66" w:rsidP="00A53CEA">
      <w:pPr>
        <w:pStyle w:val="Normal0"/>
      </w:pPr>
    </w:p>
    <w:p w14:paraId="3F314638" w14:textId="77777777" w:rsidR="006D68B7" w:rsidRDefault="00137C66">
      <w:pPr>
        <w:pStyle w:val="Normal0"/>
      </w:pPr>
    </w:p>
    <w:sectPr w:rsidR="006D68B7" w:rsidSect="00AB672B">
      <w:footerReference w:type="default" r:id="rId11"/>
      <w:pgSz w:w="12240" w:h="15840"/>
      <w:pgMar w:top="17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39066" w14:textId="77777777" w:rsidR="00137C66" w:rsidRDefault="00137C66">
      <w:r>
        <w:separator/>
      </w:r>
    </w:p>
  </w:endnote>
  <w:endnote w:type="continuationSeparator" w:id="0">
    <w:p w14:paraId="32097C41" w14:textId="77777777" w:rsidR="00137C66" w:rsidRDefault="0013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6951D" w14:textId="77777777" w:rsidR="0037068A" w:rsidRDefault="00BF496B" w:rsidP="000F3A03">
    <w:pPr>
      <w:pStyle w:val="Footer"/>
      <w:jc w:val="center"/>
      <w:rPr>
        <w:sz w:val="14"/>
      </w:rPr>
    </w:pPr>
    <w:r>
      <w:rPr>
        <w:sz w:val="14"/>
      </w:rPr>
      <w:t>This institution is an equal opportunity provider</w:t>
    </w:r>
  </w:p>
  <w:p w14:paraId="01B3381B" w14:textId="77777777" w:rsidR="0037068A" w:rsidRDefault="00137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0530C" w14:textId="77777777" w:rsidR="0037068A" w:rsidRDefault="00BF496B" w:rsidP="000F3A03">
    <w:pPr>
      <w:pStyle w:val="Footer0"/>
      <w:jc w:val="center"/>
      <w:rPr>
        <w:sz w:val="14"/>
      </w:rPr>
    </w:pPr>
    <w:r>
      <w:rPr>
        <w:sz w:val="14"/>
      </w:rPr>
      <w:t>This institution is an equal opportunity provider</w:t>
    </w:r>
  </w:p>
  <w:p w14:paraId="7F6EE9AB" w14:textId="77777777" w:rsidR="0037068A" w:rsidRDefault="00137C66">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182D8" w14:textId="77777777" w:rsidR="00137C66" w:rsidRDefault="00137C66">
      <w:r>
        <w:separator/>
      </w:r>
    </w:p>
  </w:footnote>
  <w:footnote w:type="continuationSeparator" w:id="0">
    <w:p w14:paraId="7CBA2606" w14:textId="77777777" w:rsidR="00137C66" w:rsidRDefault="00137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91A261E2">
      <w:start w:val="1"/>
      <w:numFmt w:val="decimal"/>
      <w:lvlText w:val="%1."/>
      <w:lvlJc w:val="left"/>
      <w:pPr>
        <w:ind w:left="720" w:hanging="360"/>
      </w:pPr>
      <w:rPr>
        <w:rFonts w:hint="default"/>
      </w:rPr>
    </w:lvl>
    <w:lvl w:ilvl="1" w:tplc="8BC215D6" w:tentative="1">
      <w:start w:val="1"/>
      <w:numFmt w:val="lowerLetter"/>
      <w:lvlText w:val="%2."/>
      <w:lvlJc w:val="left"/>
      <w:pPr>
        <w:ind w:left="1440" w:hanging="360"/>
      </w:pPr>
    </w:lvl>
    <w:lvl w:ilvl="2" w:tplc="23B8C28E" w:tentative="1">
      <w:start w:val="1"/>
      <w:numFmt w:val="lowerRoman"/>
      <w:lvlText w:val="%3."/>
      <w:lvlJc w:val="right"/>
      <w:pPr>
        <w:ind w:left="2160" w:hanging="180"/>
      </w:pPr>
    </w:lvl>
    <w:lvl w:ilvl="3" w:tplc="4574DB48" w:tentative="1">
      <w:start w:val="1"/>
      <w:numFmt w:val="decimal"/>
      <w:lvlText w:val="%4."/>
      <w:lvlJc w:val="left"/>
      <w:pPr>
        <w:ind w:left="2880" w:hanging="360"/>
      </w:pPr>
    </w:lvl>
    <w:lvl w:ilvl="4" w:tplc="1020D88A" w:tentative="1">
      <w:start w:val="1"/>
      <w:numFmt w:val="lowerLetter"/>
      <w:lvlText w:val="%5."/>
      <w:lvlJc w:val="left"/>
      <w:pPr>
        <w:ind w:left="3600" w:hanging="360"/>
      </w:pPr>
    </w:lvl>
    <w:lvl w:ilvl="5" w:tplc="DC1E20F8" w:tentative="1">
      <w:start w:val="1"/>
      <w:numFmt w:val="lowerRoman"/>
      <w:lvlText w:val="%6."/>
      <w:lvlJc w:val="right"/>
      <w:pPr>
        <w:ind w:left="4320" w:hanging="180"/>
      </w:pPr>
    </w:lvl>
    <w:lvl w:ilvl="6" w:tplc="29CE169E" w:tentative="1">
      <w:start w:val="1"/>
      <w:numFmt w:val="decimal"/>
      <w:lvlText w:val="%7."/>
      <w:lvlJc w:val="left"/>
      <w:pPr>
        <w:ind w:left="5040" w:hanging="360"/>
      </w:pPr>
    </w:lvl>
    <w:lvl w:ilvl="7" w:tplc="F9C81BA6" w:tentative="1">
      <w:start w:val="1"/>
      <w:numFmt w:val="lowerLetter"/>
      <w:lvlText w:val="%8."/>
      <w:lvlJc w:val="left"/>
      <w:pPr>
        <w:ind w:left="5760" w:hanging="360"/>
      </w:pPr>
    </w:lvl>
    <w:lvl w:ilvl="8" w:tplc="FA4CD6A0"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E9C6FE10">
      <w:start w:val="1"/>
      <w:numFmt w:val="bullet"/>
      <w:lvlText w:val=""/>
      <w:lvlJc w:val="left"/>
      <w:pPr>
        <w:ind w:left="720" w:hanging="360"/>
      </w:pPr>
      <w:rPr>
        <w:rFonts w:ascii="Symbol" w:hAnsi="Symbol" w:hint="default"/>
      </w:rPr>
    </w:lvl>
    <w:lvl w:ilvl="1" w:tplc="724C6B50" w:tentative="1">
      <w:start w:val="1"/>
      <w:numFmt w:val="bullet"/>
      <w:lvlText w:val="o"/>
      <w:lvlJc w:val="left"/>
      <w:pPr>
        <w:ind w:left="1440" w:hanging="360"/>
      </w:pPr>
      <w:rPr>
        <w:rFonts w:ascii="Courier New" w:hAnsi="Courier New" w:cs="Courier New" w:hint="default"/>
      </w:rPr>
    </w:lvl>
    <w:lvl w:ilvl="2" w:tplc="583687F0" w:tentative="1">
      <w:start w:val="1"/>
      <w:numFmt w:val="bullet"/>
      <w:lvlText w:val=""/>
      <w:lvlJc w:val="left"/>
      <w:pPr>
        <w:ind w:left="2160" w:hanging="360"/>
      </w:pPr>
      <w:rPr>
        <w:rFonts w:ascii="Wingdings" w:hAnsi="Wingdings" w:hint="default"/>
      </w:rPr>
    </w:lvl>
    <w:lvl w:ilvl="3" w:tplc="6FD82700" w:tentative="1">
      <w:start w:val="1"/>
      <w:numFmt w:val="bullet"/>
      <w:lvlText w:val=""/>
      <w:lvlJc w:val="left"/>
      <w:pPr>
        <w:ind w:left="2880" w:hanging="360"/>
      </w:pPr>
      <w:rPr>
        <w:rFonts w:ascii="Symbol" w:hAnsi="Symbol" w:hint="default"/>
      </w:rPr>
    </w:lvl>
    <w:lvl w:ilvl="4" w:tplc="74EA9628" w:tentative="1">
      <w:start w:val="1"/>
      <w:numFmt w:val="bullet"/>
      <w:lvlText w:val="o"/>
      <w:lvlJc w:val="left"/>
      <w:pPr>
        <w:ind w:left="3600" w:hanging="360"/>
      </w:pPr>
      <w:rPr>
        <w:rFonts w:ascii="Courier New" w:hAnsi="Courier New" w:cs="Courier New" w:hint="default"/>
      </w:rPr>
    </w:lvl>
    <w:lvl w:ilvl="5" w:tplc="F7505478" w:tentative="1">
      <w:start w:val="1"/>
      <w:numFmt w:val="bullet"/>
      <w:lvlText w:val=""/>
      <w:lvlJc w:val="left"/>
      <w:pPr>
        <w:ind w:left="4320" w:hanging="360"/>
      </w:pPr>
      <w:rPr>
        <w:rFonts w:ascii="Wingdings" w:hAnsi="Wingdings" w:hint="default"/>
      </w:rPr>
    </w:lvl>
    <w:lvl w:ilvl="6" w:tplc="12A495EE" w:tentative="1">
      <w:start w:val="1"/>
      <w:numFmt w:val="bullet"/>
      <w:lvlText w:val=""/>
      <w:lvlJc w:val="left"/>
      <w:pPr>
        <w:ind w:left="5040" w:hanging="360"/>
      </w:pPr>
      <w:rPr>
        <w:rFonts w:ascii="Symbol" w:hAnsi="Symbol" w:hint="default"/>
      </w:rPr>
    </w:lvl>
    <w:lvl w:ilvl="7" w:tplc="37BEC358" w:tentative="1">
      <w:start w:val="1"/>
      <w:numFmt w:val="bullet"/>
      <w:lvlText w:val="o"/>
      <w:lvlJc w:val="left"/>
      <w:pPr>
        <w:ind w:left="5760" w:hanging="360"/>
      </w:pPr>
      <w:rPr>
        <w:rFonts w:ascii="Courier New" w:hAnsi="Courier New" w:cs="Courier New" w:hint="default"/>
      </w:rPr>
    </w:lvl>
    <w:lvl w:ilvl="8" w:tplc="77FC79A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2C"/>
    <w:rsid w:val="00137C66"/>
    <w:rsid w:val="002B5AAB"/>
    <w:rsid w:val="002E5E62"/>
    <w:rsid w:val="0041482C"/>
    <w:rsid w:val="00BF49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DE7B"/>
  <w15:docId w15:val="{9BBA5605-B8DA-4C9E-91E8-BDF93BB0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DBABF7-C118-4CD5-A6B8-171ECF8B7D10}">
  <ds:schemaRefs>
    <ds:schemaRef ds:uri="http://schemas.microsoft.com/sharepoint/v3/contenttype/forms"/>
  </ds:schemaRefs>
</ds:datastoreItem>
</file>

<file path=customXml/itemProps2.xml><?xml version="1.0" encoding="utf-8"?>
<ds:datastoreItem xmlns:ds="http://schemas.openxmlformats.org/officeDocument/2006/customXml" ds:itemID="{C701E2F6-4E8C-4463-AD1A-633B64508F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700CFD-DB25-477B-90B1-9BB379A22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Marblehead School Department Administrative Review Summary School Year 2021-2022</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Marblehead School Department Administrative Review Summary School Year 2021-2022</dc:title>
  <dc:subject/>
  <dc:creator>DESE</dc:creator>
  <cp:keywords/>
  <cp:lastModifiedBy>Zou, Dong (EOE)</cp:lastModifiedBy>
  <cp:revision>9</cp:revision>
  <dcterms:created xsi:type="dcterms:W3CDTF">2016-12-05T21:17:00Z</dcterms:created>
  <dcterms:modified xsi:type="dcterms:W3CDTF">2022-04-29T22:01:00Z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