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387AF" w14:textId="77777777" w:rsidR="00CA19B4" w:rsidRPr="00200779" w:rsidRDefault="00BF496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B39447B" w14:textId="77777777" w:rsidR="00CA19B4" w:rsidRDefault="00137C66" w:rsidP="00CA19B4">
      <w:pPr>
        <w:jc w:val="center"/>
        <w:rPr>
          <w:rFonts w:ascii="Times New Roman" w:hAnsi="Times New Roman" w:cs="Times New Roman"/>
          <w:sz w:val="24"/>
          <w:szCs w:val="24"/>
        </w:rPr>
      </w:pPr>
    </w:p>
    <w:p w14:paraId="2F04D88F" w14:textId="77777777" w:rsidR="00CA19B4" w:rsidRDefault="00BF496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7F4B06D" w14:textId="77777777" w:rsidR="00CA19B4" w:rsidRDefault="00137C66" w:rsidP="00CA19B4">
      <w:pPr>
        <w:rPr>
          <w:rFonts w:ascii="Times New Roman" w:hAnsi="Times New Roman" w:cs="Times New Roman"/>
          <w:sz w:val="20"/>
          <w:szCs w:val="20"/>
        </w:rPr>
      </w:pPr>
    </w:p>
    <w:p w14:paraId="31213491" w14:textId="77777777" w:rsidR="00CA19B4" w:rsidRDefault="00137C66" w:rsidP="00CA19B4">
      <w:pPr>
        <w:rPr>
          <w:rFonts w:ascii="Times New Roman" w:hAnsi="Times New Roman" w:cs="Times New Roman"/>
          <w:sz w:val="20"/>
          <w:szCs w:val="20"/>
        </w:rPr>
      </w:pPr>
    </w:p>
    <w:p w14:paraId="61EA78E3" w14:textId="77777777" w:rsidR="00CA19B4" w:rsidRPr="00B63138" w:rsidRDefault="00BF496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Marblehead School Department</w:t>
      </w:r>
      <w:bookmarkEnd w:id="0"/>
    </w:p>
    <w:p w14:paraId="7B2C90FA" w14:textId="77777777" w:rsidR="00CA19B4" w:rsidRDefault="00137C66" w:rsidP="00CA19B4">
      <w:pPr>
        <w:rPr>
          <w:rFonts w:ascii="Times New Roman" w:hAnsi="Times New Roman" w:cs="Times New Roman"/>
          <w:sz w:val="20"/>
          <w:szCs w:val="20"/>
        </w:rPr>
      </w:pPr>
    </w:p>
    <w:p w14:paraId="77C2B1F7" w14:textId="77777777" w:rsidR="00CA19B4" w:rsidRDefault="00BF496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bookmarkEnd w:id="1"/>
    </w:p>
    <w:p w14:paraId="03324759" w14:textId="77777777" w:rsidR="00CA19B4" w:rsidRDefault="00137C66" w:rsidP="00CA19B4">
      <w:pPr>
        <w:rPr>
          <w:rFonts w:ascii="Times New Roman" w:hAnsi="Times New Roman" w:cs="Times New Roman"/>
          <w:sz w:val="20"/>
          <w:szCs w:val="20"/>
        </w:rPr>
      </w:pPr>
    </w:p>
    <w:p w14:paraId="3AE7C320" w14:textId="77777777" w:rsidR="00CA19B4" w:rsidRDefault="00BF496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bookmarkEnd w:id="2"/>
    </w:p>
    <w:p w14:paraId="68357964" w14:textId="77777777" w:rsidR="00CA19B4" w:rsidRDefault="00BF496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67EEF35" w14:textId="77777777" w:rsidR="00CA19B4" w:rsidRDefault="00137C66" w:rsidP="00CA19B4">
      <w:pPr>
        <w:pBdr>
          <w:bottom w:val="single" w:sz="12" w:space="1" w:color="auto"/>
        </w:pBdr>
        <w:rPr>
          <w:rFonts w:ascii="Times New Roman" w:hAnsi="Times New Roman" w:cs="Times New Roman"/>
          <w:sz w:val="20"/>
          <w:szCs w:val="20"/>
        </w:rPr>
      </w:pPr>
    </w:p>
    <w:p w14:paraId="2EABA417" w14:textId="77777777" w:rsidR="00CA19B4" w:rsidRDefault="00BF496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9C2C60C" w14:textId="77777777" w:rsidR="00CA19B4" w:rsidRDefault="00137C66" w:rsidP="00CA19B4">
      <w:pPr>
        <w:rPr>
          <w:rFonts w:ascii="Times New Roman" w:hAnsi="Times New Roman" w:cs="Times New Roman"/>
          <w:sz w:val="20"/>
          <w:szCs w:val="20"/>
        </w:rPr>
      </w:pPr>
    </w:p>
    <w:p w14:paraId="10347CF9" w14:textId="77777777" w:rsidR="00CA19B4" w:rsidRPr="00223718" w:rsidRDefault="00BF496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8AB224A" w14:textId="77777777" w:rsidR="00CA19B4" w:rsidRDefault="00137C66" w:rsidP="00CA19B4">
      <w:pPr>
        <w:rPr>
          <w:rFonts w:ascii="Times New Roman" w:hAnsi="Times New Roman" w:cs="Times New Roman"/>
          <w:sz w:val="20"/>
          <w:szCs w:val="20"/>
        </w:rPr>
      </w:pPr>
    </w:p>
    <w:p w14:paraId="684F55CF" w14:textId="77777777" w:rsidR="00CA19B4" w:rsidRDefault="00BF496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69BD9BD" w14:textId="77777777" w:rsidR="00CA19B4" w:rsidRDefault="00137C66" w:rsidP="00CA19B4">
      <w:pPr>
        <w:ind w:left="720"/>
        <w:rPr>
          <w:rFonts w:ascii="Times New Roman" w:hAnsi="Times New Roman" w:cs="Times New Roman"/>
          <w:sz w:val="20"/>
          <w:szCs w:val="20"/>
        </w:rPr>
      </w:pPr>
    </w:p>
    <w:bookmarkStart w:id="3" w:name="CHK_SBP"/>
    <w:p w14:paraId="63FD04F2" w14:textId="77777777" w:rsidR="00CA19B4" w:rsidRDefault="00BF49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37C66">
        <w:rPr>
          <w:rFonts w:ascii="Times New Roman" w:hAnsi="Times New Roman" w:cs="Times New Roman"/>
          <w:sz w:val="20"/>
          <w:szCs w:val="20"/>
        </w:rPr>
      </w:r>
      <w:r w:rsidR="00137C6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CB39738" w14:textId="77777777" w:rsidR="00CA19B4" w:rsidRDefault="00BF49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37C66">
        <w:rPr>
          <w:rFonts w:ascii="Times New Roman" w:hAnsi="Times New Roman" w:cs="Times New Roman"/>
          <w:sz w:val="20"/>
          <w:szCs w:val="20"/>
        </w:rPr>
      </w:r>
      <w:r w:rsidR="00137C6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0BD4159" w14:textId="77777777" w:rsidR="00CA19B4" w:rsidRDefault="00BF49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37C66">
        <w:rPr>
          <w:rFonts w:ascii="Times New Roman" w:hAnsi="Times New Roman" w:cs="Times New Roman"/>
          <w:sz w:val="20"/>
          <w:szCs w:val="20"/>
        </w:rPr>
      </w:r>
      <w:r w:rsidR="00137C6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780AC81" w14:textId="77777777" w:rsidR="00CA19B4" w:rsidRDefault="00BF49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37C66">
        <w:rPr>
          <w:rFonts w:ascii="Times New Roman" w:hAnsi="Times New Roman" w:cs="Times New Roman"/>
          <w:sz w:val="20"/>
          <w:szCs w:val="20"/>
        </w:rPr>
      </w:r>
      <w:r w:rsidR="00137C6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E669B0B" w14:textId="77777777" w:rsidR="00CA19B4" w:rsidRDefault="00BF49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37C66">
        <w:rPr>
          <w:rFonts w:ascii="Times New Roman" w:hAnsi="Times New Roman" w:cs="Times New Roman"/>
          <w:sz w:val="20"/>
          <w:szCs w:val="20"/>
        </w:rPr>
      </w:r>
      <w:r w:rsidR="00137C6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156C818" w14:textId="77777777" w:rsidR="00CA19B4" w:rsidRDefault="00BF496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37C66">
        <w:rPr>
          <w:rFonts w:ascii="Times New Roman" w:hAnsi="Times New Roman" w:cs="Times New Roman"/>
          <w:sz w:val="20"/>
          <w:szCs w:val="20"/>
        </w:rPr>
      </w:r>
      <w:r w:rsidR="00137C6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947050D" w14:textId="77777777" w:rsidR="00CA19B4" w:rsidRDefault="00137C66" w:rsidP="00CA19B4">
      <w:pPr>
        <w:rPr>
          <w:rFonts w:ascii="Times New Roman" w:hAnsi="Times New Roman" w:cs="Times New Roman"/>
          <w:sz w:val="20"/>
          <w:szCs w:val="20"/>
        </w:rPr>
      </w:pPr>
    </w:p>
    <w:p w14:paraId="6499B6BC" w14:textId="77777777" w:rsidR="00CA19B4" w:rsidRDefault="00BF496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8044387" w14:textId="77777777" w:rsidR="00CA19B4" w:rsidRDefault="00137C66" w:rsidP="00CA19B4">
      <w:pPr>
        <w:ind w:left="720"/>
        <w:rPr>
          <w:rFonts w:ascii="Times New Roman" w:hAnsi="Times New Roman" w:cs="Times New Roman"/>
          <w:sz w:val="20"/>
          <w:szCs w:val="20"/>
        </w:rPr>
      </w:pPr>
    </w:p>
    <w:bookmarkStart w:id="9" w:name="CHK_CEP"/>
    <w:p w14:paraId="569F8E33" w14:textId="77777777" w:rsidR="00CA19B4" w:rsidRDefault="00BF49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37C66">
        <w:rPr>
          <w:rFonts w:ascii="Times New Roman" w:hAnsi="Times New Roman" w:cs="Times New Roman"/>
          <w:sz w:val="20"/>
          <w:szCs w:val="20"/>
        </w:rPr>
      </w:r>
      <w:r w:rsidR="00137C6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21F139E" w14:textId="77777777" w:rsidR="00CA19B4" w:rsidRDefault="00BF49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37C66">
        <w:rPr>
          <w:rFonts w:ascii="Times New Roman" w:hAnsi="Times New Roman" w:cs="Times New Roman"/>
          <w:sz w:val="20"/>
          <w:szCs w:val="20"/>
        </w:rPr>
      </w:r>
      <w:r w:rsidR="00137C6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D406D1D" w14:textId="77777777" w:rsidR="00CA19B4" w:rsidRDefault="00BF49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37C66">
        <w:rPr>
          <w:rFonts w:ascii="Times New Roman" w:hAnsi="Times New Roman" w:cs="Times New Roman"/>
          <w:sz w:val="20"/>
          <w:szCs w:val="20"/>
        </w:rPr>
      </w:r>
      <w:r w:rsidR="00137C6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BA6CDC5" w14:textId="77777777" w:rsidR="00CA19B4" w:rsidRDefault="00BF496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37C66">
        <w:rPr>
          <w:rFonts w:ascii="Times New Roman" w:hAnsi="Times New Roman" w:cs="Times New Roman"/>
          <w:sz w:val="20"/>
          <w:szCs w:val="20"/>
        </w:rPr>
      </w:r>
      <w:r w:rsidR="00137C6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930EF68" w14:textId="77777777" w:rsidR="00CA19B4" w:rsidRDefault="00137C66" w:rsidP="00CA19B4">
      <w:pPr>
        <w:rPr>
          <w:rFonts w:ascii="Times New Roman" w:hAnsi="Times New Roman" w:cs="Times New Roman"/>
          <w:sz w:val="20"/>
          <w:szCs w:val="20"/>
        </w:rPr>
      </w:pPr>
    </w:p>
    <w:p w14:paraId="655D57E6" w14:textId="77777777" w:rsidR="00CA19B4" w:rsidRPr="00D6151F" w:rsidRDefault="00BF496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901FAC8" w14:textId="77777777" w:rsidR="00CA19B4" w:rsidRDefault="00137C66" w:rsidP="00CA19B4">
      <w:pPr>
        <w:rPr>
          <w:rFonts w:ascii="Times New Roman" w:hAnsi="Times New Roman" w:cs="Times New Roman"/>
          <w:sz w:val="20"/>
          <w:szCs w:val="20"/>
        </w:rPr>
      </w:pPr>
    </w:p>
    <w:p w14:paraId="6BFE9788" w14:textId="77777777" w:rsidR="00CA19B4" w:rsidRDefault="00BF496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108242F" w14:textId="77777777" w:rsidR="00CA19B4" w:rsidRDefault="00BF496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137C66">
        <w:rPr>
          <w:rFonts w:ascii="MS Gothic" w:eastAsia="MS Gothic" w:hAnsi="Times New Roman" w:cs="Times New Roman"/>
          <w:sz w:val="20"/>
          <w:szCs w:val="20"/>
        </w:rPr>
      </w:r>
      <w:r w:rsidR="00137C6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137C66">
        <w:rPr>
          <w:rFonts w:ascii="MS Gothic" w:eastAsia="MS Gothic" w:hAnsi="Times New Roman" w:cs="Times New Roman"/>
          <w:sz w:val="20"/>
          <w:szCs w:val="20"/>
        </w:rPr>
      </w:r>
      <w:r w:rsidR="00137C6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060E894" w14:textId="77777777" w:rsidR="00CA19B4" w:rsidRDefault="00137C66" w:rsidP="00CA19B4">
      <w:pPr>
        <w:ind w:firstLine="720"/>
        <w:rPr>
          <w:rFonts w:ascii="Times New Roman" w:hAnsi="Times New Roman" w:cs="Times New Roman"/>
          <w:sz w:val="20"/>
          <w:szCs w:val="20"/>
        </w:rPr>
      </w:pPr>
    </w:p>
    <w:p w14:paraId="30C756E0" w14:textId="77777777" w:rsidR="00CA19B4" w:rsidRDefault="00BF496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A5C926F" w14:textId="77777777" w:rsidR="006D68B7" w:rsidRDefault="00137C66">
      <w:pPr>
        <w:sectPr w:rsidR="006D68B7" w:rsidSect="005B420A">
          <w:footerReference w:type="default" r:id="rId10"/>
          <w:pgSz w:w="12240" w:h="15840"/>
          <w:pgMar w:top="1440" w:right="1440" w:bottom="1440" w:left="1440" w:header="720" w:footer="720" w:gutter="0"/>
          <w:cols w:space="720"/>
        </w:sectPr>
      </w:pPr>
    </w:p>
    <w:p w14:paraId="7C6A9BF7" w14:textId="77777777" w:rsidR="00A53CEA" w:rsidRDefault="00137C66" w:rsidP="00A53CEA">
      <w:pPr>
        <w:pStyle w:val="Normal0"/>
        <w:ind w:firstLine="720"/>
        <w:rPr>
          <w:rFonts w:ascii="Times New Roman" w:hAnsi="Times New Roman" w:cs="Times New Roman"/>
          <w:sz w:val="20"/>
          <w:szCs w:val="20"/>
        </w:rPr>
      </w:pPr>
    </w:p>
    <w:p w14:paraId="20EE454C" w14:textId="77777777" w:rsidR="00A53CEA" w:rsidRPr="00C61944" w:rsidRDefault="00BF496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1482C" w14:paraId="4972B54C" w14:textId="77777777" w:rsidTr="008175F8">
        <w:trPr>
          <w:trHeight w:val="37"/>
        </w:trPr>
        <w:tc>
          <w:tcPr>
            <w:tcW w:w="8545" w:type="dxa"/>
            <w:shd w:val="clear" w:color="auto" w:fill="31849B" w:themeFill="accent5" w:themeFillShade="BF"/>
          </w:tcPr>
          <w:p w14:paraId="6FE5441B" w14:textId="77777777" w:rsidR="00A53CEA" w:rsidRPr="005B0132" w:rsidRDefault="00BF496B" w:rsidP="008175F8">
            <w:pPr>
              <w:pStyle w:val="Normal0"/>
              <w:rPr>
                <w:rFonts w:asciiTheme="minorHAnsi" w:hAnsiTheme="minorHAnsi" w:cstheme="minorHAnsi"/>
                <w:b/>
                <w:i/>
                <w:color w:val="DBE5F1" w:themeColor="accent1" w:themeTint="33"/>
                <w:sz w:val="32"/>
                <w:szCs w:val="20"/>
              </w:rPr>
            </w:pPr>
            <w:r>
              <w:t>Program Access and Reimbursement</w:t>
            </w:r>
          </w:p>
        </w:tc>
      </w:tr>
      <w:tr w:rsidR="0041482C" w14:paraId="70975FDD" w14:textId="77777777" w:rsidTr="008175F8">
        <w:trPr>
          <w:trHeight w:val="37"/>
        </w:trPr>
        <w:tc>
          <w:tcPr>
            <w:tcW w:w="8545" w:type="dxa"/>
            <w:shd w:val="clear" w:color="auto" w:fill="D9D9D9" w:themeFill="background1" w:themeFillShade="D9"/>
          </w:tcPr>
          <w:p w14:paraId="50A1F741" w14:textId="77777777" w:rsidR="00A53CEA" w:rsidRPr="0076532F" w:rsidRDefault="00BF496B" w:rsidP="008175F8">
            <w:pPr>
              <w:pStyle w:val="Normal0"/>
              <w:rPr>
                <w:rFonts w:ascii="Times New Roman" w:hAnsi="Times New Roman" w:cs="Times New Roman"/>
                <w:b/>
                <w:sz w:val="20"/>
                <w:szCs w:val="20"/>
              </w:rPr>
            </w:pPr>
            <w:r>
              <w:t>Verification</w:t>
            </w:r>
          </w:p>
        </w:tc>
      </w:tr>
      <w:tr w:rsidR="0041482C" w14:paraId="584BF874" w14:textId="77777777" w:rsidTr="008175F8">
        <w:trPr>
          <w:trHeight w:val="37"/>
        </w:trPr>
        <w:tc>
          <w:tcPr>
            <w:tcW w:w="8545" w:type="dxa"/>
            <w:shd w:val="clear" w:color="auto" w:fill="auto"/>
          </w:tcPr>
          <w:p w14:paraId="7A4586A9"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The SFA did not complete the annual verification process by November 15th. The SFA must complete the verification process no later than November 15 of each school year.; The SFA did not request an extension of the November 15 deadline, in writing, from ESE.</w:t>
            </w:r>
          </w:p>
        </w:tc>
      </w:tr>
      <w:tr w:rsidR="0041482C" w14:paraId="674B2C36" w14:textId="77777777" w:rsidTr="008175F8">
        <w:trPr>
          <w:trHeight w:val="37"/>
        </w:trPr>
        <w:tc>
          <w:tcPr>
            <w:tcW w:w="8545" w:type="dxa"/>
            <w:shd w:val="clear" w:color="auto" w:fill="auto"/>
          </w:tcPr>
          <w:p w14:paraId="75876C1B"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The SFA did not use the Virtual Gateway to conduct Direct Verification for the selected applications.</w:t>
            </w:r>
          </w:p>
        </w:tc>
      </w:tr>
      <w:tr w:rsidR="0041482C" w14:paraId="7D4BD8CA" w14:textId="77777777" w:rsidTr="008175F8">
        <w:trPr>
          <w:trHeight w:val="37"/>
        </w:trPr>
        <w:tc>
          <w:tcPr>
            <w:tcW w:w="8545" w:type="dxa"/>
            <w:shd w:val="clear" w:color="auto" w:fill="auto"/>
          </w:tcPr>
          <w:p w14:paraId="49EBFCBE"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The SFA was unable to produce documentation demonstrating that a confirmation review was conducted.</w:t>
            </w:r>
          </w:p>
        </w:tc>
      </w:tr>
      <w:tr w:rsidR="0041482C" w14:paraId="6D8B3052" w14:textId="77777777" w:rsidTr="008175F8">
        <w:trPr>
          <w:trHeight w:val="37"/>
        </w:trPr>
        <w:tc>
          <w:tcPr>
            <w:tcW w:w="8545" w:type="dxa"/>
            <w:shd w:val="clear" w:color="auto" w:fill="D9D9D9" w:themeFill="background1" w:themeFillShade="D9"/>
          </w:tcPr>
          <w:p w14:paraId="61C8C06E" w14:textId="77777777" w:rsidR="00A53CEA" w:rsidRPr="0076532F" w:rsidRDefault="00BF496B" w:rsidP="008175F8">
            <w:pPr>
              <w:pStyle w:val="Normal0"/>
              <w:rPr>
                <w:rFonts w:ascii="Times New Roman" w:hAnsi="Times New Roman" w:cs="Times New Roman"/>
                <w:b/>
                <w:sz w:val="20"/>
                <w:szCs w:val="20"/>
              </w:rPr>
            </w:pPr>
            <w:r>
              <w:t>Meal Counting and Claiming</w:t>
            </w:r>
          </w:p>
        </w:tc>
      </w:tr>
      <w:tr w:rsidR="0041482C" w14:paraId="49727120" w14:textId="77777777" w:rsidTr="008175F8">
        <w:trPr>
          <w:trHeight w:val="37"/>
        </w:trPr>
        <w:tc>
          <w:tcPr>
            <w:tcW w:w="8545" w:type="dxa"/>
            <w:shd w:val="clear" w:color="auto" w:fill="auto"/>
          </w:tcPr>
          <w:p w14:paraId="0FC9BD5E"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 xml:space="preserve">The counts for some or all of the schools were incorrectly consolidated and claimed by the SFA. The SFA must correctly record, </w:t>
            </w:r>
            <w:proofErr w:type="gramStart"/>
            <w:r>
              <w:t>consolidate</w:t>
            </w:r>
            <w:proofErr w:type="gramEnd"/>
            <w:r>
              <w:t xml:space="preserve"> and report those lunch and supplement counts on the Claim for Reimbursement.</w:t>
            </w:r>
          </w:p>
        </w:tc>
      </w:tr>
      <w:tr w:rsidR="0041482C" w14:paraId="073066B0" w14:textId="77777777" w:rsidTr="008175F8">
        <w:trPr>
          <w:trHeight w:val="37"/>
        </w:trPr>
        <w:tc>
          <w:tcPr>
            <w:tcW w:w="8545" w:type="dxa"/>
            <w:shd w:val="clear" w:color="auto" w:fill="31849B" w:themeFill="accent5" w:themeFillShade="BF"/>
          </w:tcPr>
          <w:p w14:paraId="466AB862" w14:textId="77777777" w:rsidR="00A53CEA" w:rsidRPr="005B0132" w:rsidRDefault="00BF496B" w:rsidP="008175F8">
            <w:pPr>
              <w:pStyle w:val="Normal0"/>
              <w:rPr>
                <w:rFonts w:asciiTheme="minorHAnsi" w:hAnsiTheme="minorHAnsi" w:cstheme="minorHAnsi"/>
                <w:b/>
                <w:i/>
                <w:color w:val="DBE5F1" w:themeColor="accent1" w:themeTint="33"/>
                <w:sz w:val="32"/>
                <w:szCs w:val="20"/>
              </w:rPr>
            </w:pPr>
            <w:r>
              <w:t>Meal Patterns and Nutritional Quality</w:t>
            </w:r>
          </w:p>
        </w:tc>
      </w:tr>
      <w:tr w:rsidR="0041482C" w14:paraId="42516FF1" w14:textId="77777777" w:rsidTr="008175F8">
        <w:trPr>
          <w:trHeight w:val="37"/>
        </w:trPr>
        <w:tc>
          <w:tcPr>
            <w:tcW w:w="8545" w:type="dxa"/>
            <w:shd w:val="clear" w:color="auto" w:fill="D9D9D9" w:themeFill="background1" w:themeFillShade="D9"/>
          </w:tcPr>
          <w:p w14:paraId="66E034AB" w14:textId="77777777" w:rsidR="00A53CEA" w:rsidRPr="0076532F" w:rsidRDefault="00BF496B" w:rsidP="008175F8">
            <w:pPr>
              <w:pStyle w:val="Normal0"/>
              <w:rPr>
                <w:rFonts w:ascii="Times New Roman" w:hAnsi="Times New Roman" w:cs="Times New Roman"/>
                <w:b/>
                <w:sz w:val="20"/>
                <w:szCs w:val="20"/>
              </w:rPr>
            </w:pPr>
            <w:r>
              <w:t>Meal Components and Quantities</w:t>
            </w:r>
          </w:p>
        </w:tc>
      </w:tr>
      <w:tr w:rsidR="0041482C" w14:paraId="44A336C8" w14:textId="77777777" w:rsidTr="008175F8">
        <w:trPr>
          <w:trHeight w:val="37"/>
        </w:trPr>
        <w:tc>
          <w:tcPr>
            <w:tcW w:w="8545" w:type="dxa"/>
            <w:shd w:val="clear" w:color="auto" w:fill="auto"/>
          </w:tcPr>
          <w:p w14:paraId="49405900"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41482C" w14:paraId="0219E719" w14:textId="77777777" w:rsidTr="008175F8">
        <w:trPr>
          <w:trHeight w:val="37"/>
        </w:trPr>
        <w:tc>
          <w:tcPr>
            <w:tcW w:w="8545" w:type="dxa"/>
            <w:shd w:val="clear" w:color="auto" w:fill="D9D9D9" w:themeFill="background1" w:themeFillShade="D9"/>
          </w:tcPr>
          <w:p w14:paraId="44797212" w14:textId="77777777" w:rsidR="00A53CEA" w:rsidRPr="0076532F" w:rsidRDefault="00BF496B" w:rsidP="008175F8">
            <w:pPr>
              <w:pStyle w:val="Normal0"/>
              <w:rPr>
                <w:rFonts w:ascii="Times New Roman" w:hAnsi="Times New Roman" w:cs="Times New Roman"/>
                <w:b/>
                <w:sz w:val="20"/>
                <w:szCs w:val="20"/>
              </w:rPr>
            </w:pPr>
            <w:r>
              <w:t>Offer versus Serve</w:t>
            </w:r>
          </w:p>
        </w:tc>
      </w:tr>
      <w:tr w:rsidR="0041482C" w14:paraId="7E5F3A56" w14:textId="77777777" w:rsidTr="008175F8">
        <w:trPr>
          <w:trHeight w:val="37"/>
        </w:trPr>
        <w:tc>
          <w:tcPr>
            <w:tcW w:w="8545" w:type="dxa"/>
            <w:shd w:val="clear" w:color="auto" w:fill="auto"/>
          </w:tcPr>
          <w:p w14:paraId="36C3534B"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w:t>
            </w:r>
          </w:p>
        </w:tc>
      </w:tr>
      <w:tr w:rsidR="0041482C" w14:paraId="198E53FD" w14:textId="77777777" w:rsidTr="008175F8">
        <w:trPr>
          <w:trHeight w:val="37"/>
        </w:trPr>
        <w:tc>
          <w:tcPr>
            <w:tcW w:w="8545" w:type="dxa"/>
            <w:shd w:val="clear" w:color="auto" w:fill="D9D9D9" w:themeFill="background1" w:themeFillShade="D9"/>
          </w:tcPr>
          <w:p w14:paraId="264E0123" w14:textId="77777777" w:rsidR="00A53CEA" w:rsidRPr="0076532F" w:rsidRDefault="00BF496B" w:rsidP="008175F8">
            <w:pPr>
              <w:pStyle w:val="Normal0"/>
              <w:rPr>
                <w:rFonts w:ascii="Times New Roman" w:hAnsi="Times New Roman" w:cs="Times New Roman"/>
                <w:b/>
                <w:sz w:val="20"/>
                <w:szCs w:val="20"/>
              </w:rPr>
            </w:pPr>
            <w:r>
              <w:t>Dietary Specifications and Nutrition Analysis</w:t>
            </w:r>
          </w:p>
        </w:tc>
      </w:tr>
      <w:tr w:rsidR="0041482C" w14:paraId="1331605A" w14:textId="77777777" w:rsidTr="008175F8">
        <w:trPr>
          <w:trHeight w:val="37"/>
        </w:trPr>
        <w:tc>
          <w:tcPr>
            <w:tcW w:w="8545" w:type="dxa"/>
            <w:shd w:val="clear" w:color="auto" w:fill="auto"/>
          </w:tcPr>
          <w:p w14:paraId="0438D433"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The Dietary Specifications Tool was not completed by the sponsor and submitted prior to the onsite review.</w:t>
            </w:r>
          </w:p>
        </w:tc>
      </w:tr>
      <w:tr w:rsidR="0041482C" w14:paraId="7E358450" w14:textId="77777777" w:rsidTr="008175F8">
        <w:trPr>
          <w:trHeight w:val="37"/>
        </w:trPr>
        <w:tc>
          <w:tcPr>
            <w:tcW w:w="8545" w:type="dxa"/>
            <w:shd w:val="clear" w:color="auto" w:fill="31849B" w:themeFill="accent5" w:themeFillShade="BF"/>
          </w:tcPr>
          <w:p w14:paraId="684A1C88" w14:textId="77777777" w:rsidR="00A53CEA" w:rsidRPr="005B0132" w:rsidRDefault="00BF496B" w:rsidP="008175F8">
            <w:pPr>
              <w:pStyle w:val="Normal0"/>
              <w:rPr>
                <w:rFonts w:asciiTheme="minorHAnsi" w:hAnsiTheme="minorHAnsi" w:cstheme="minorHAnsi"/>
                <w:b/>
                <w:i/>
                <w:color w:val="DBE5F1" w:themeColor="accent1" w:themeTint="33"/>
                <w:sz w:val="32"/>
                <w:szCs w:val="20"/>
              </w:rPr>
            </w:pPr>
            <w:r>
              <w:t>School Nutrition Environment</w:t>
            </w:r>
          </w:p>
        </w:tc>
      </w:tr>
      <w:tr w:rsidR="0041482C" w14:paraId="40B59E11" w14:textId="77777777" w:rsidTr="008175F8">
        <w:trPr>
          <w:trHeight w:val="37"/>
        </w:trPr>
        <w:tc>
          <w:tcPr>
            <w:tcW w:w="8545" w:type="dxa"/>
            <w:shd w:val="clear" w:color="auto" w:fill="D9D9D9" w:themeFill="background1" w:themeFillShade="D9"/>
          </w:tcPr>
          <w:p w14:paraId="6621FB61" w14:textId="77777777" w:rsidR="00A53CEA" w:rsidRPr="0076532F" w:rsidRDefault="00BF496B" w:rsidP="008175F8">
            <w:pPr>
              <w:pStyle w:val="Normal0"/>
              <w:rPr>
                <w:rFonts w:ascii="Times New Roman" w:hAnsi="Times New Roman" w:cs="Times New Roman"/>
                <w:b/>
                <w:sz w:val="20"/>
                <w:szCs w:val="20"/>
              </w:rPr>
            </w:pPr>
            <w:r>
              <w:t>Food Safety</w:t>
            </w:r>
          </w:p>
        </w:tc>
      </w:tr>
      <w:tr w:rsidR="0041482C" w14:paraId="7E2B3114" w14:textId="77777777" w:rsidTr="008175F8">
        <w:trPr>
          <w:trHeight w:val="37"/>
        </w:trPr>
        <w:tc>
          <w:tcPr>
            <w:tcW w:w="8545" w:type="dxa"/>
            <w:shd w:val="clear" w:color="auto" w:fill="auto"/>
          </w:tcPr>
          <w:p w14:paraId="127DC640"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41482C" w14:paraId="535D3810" w14:textId="77777777" w:rsidTr="008175F8">
        <w:trPr>
          <w:trHeight w:val="37"/>
        </w:trPr>
        <w:tc>
          <w:tcPr>
            <w:tcW w:w="8545" w:type="dxa"/>
            <w:shd w:val="clear" w:color="auto" w:fill="auto"/>
          </w:tcPr>
          <w:p w14:paraId="5A06D66F"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Foods are not rotated properly according to accepted practice. SFAs should store and use food following first in, first out (FIFO) procedures to safeguard against spoilage.</w:t>
            </w:r>
          </w:p>
        </w:tc>
      </w:tr>
      <w:tr w:rsidR="0041482C" w14:paraId="459AA4E9" w14:textId="77777777" w:rsidTr="008175F8">
        <w:trPr>
          <w:trHeight w:val="37"/>
        </w:trPr>
        <w:tc>
          <w:tcPr>
            <w:tcW w:w="8545" w:type="dxa"/>
            <w:shd w:val="clear" w:color="auto" w:fill="auto"/>
          </w:tcPr>
          <w:p w14:paraId="3A3CB28D"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41482C" w14:paraId="428022A8" w14:textId="77777777" w:rsidTr="008175F8">
        <w:trPr>
          <w:trHeight w:val="37"/>
        </w:trPr>
        <w:tc>
          <w:tcPr>
            <w:tcW w:w="8545" w:type="dxa"/>
            <w:shd w:val="clear" w:color="auto" w:fill="auto"/>
          </w:tcPr>
          <w:p w14:paraId="58B568BE"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41482C" w14:paraId="48BCD206" w14:textId="77777777" w:rsidTr="008175F8">
        <w:trPr>
          <w:trHeight w:val="37"/>
        </w:trPr>
        <w:tc>
          <w:tcPr>
            <w:tcW w:w="8545" w:type="dxa"/>
            <w:shd w:val="clear" w:color="auto" w:fill="auto"/>
          </w:tcPr>
          <w:p w14:paraId="48BE5482"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41482C" w14:paraId="2930A680" w14:textId="77777777" w:rsidTr="008175F8">
        <w:trPr>
          <w:trHeight w:val="37"/>
        </w:trPr>
        <w:tc>
          <w:tcPr>
            <w:tcW w:w="8545" w:type="dxa"/>
            <w:shd w:val="clear" w:color="auto" w:fill="auto"/>
          </w:tcPr>
          <w:p w14:paraId="0ED1FF02"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w:t>
            </w:r>
            <w:r>
              <w:lastRenderedPageBreak/>
              <w:t xml:space="preserve">and donated foods shall be such as to properly safeguard against theft, </w:t>
            </w:r>
            <w:proofErr w:type="gramStart"/>
            <w:r>
              <w:t>spoilage</w:t>
            </w:r>
            <w:proofErr w:type="gramEnd"/>
            <w:r>
              <w:t xml:space="preserve"> and other loss.</w:t>
            </w:r>
          </w:p>
        </w:tc>
      </w:tr>
      <w:tr w:rsidR="0041482C" w14:paraId="516847E4" w14:textId="77777777" w:rsidTr="008175F8">
        <w:trPr>
          <w:trHeight w:val="37"/>
        </w:trPr>
        <w:tc>
          <w:tcPr>
            <w:tcW w:w="8545" w:type="dxa"/>
            <w:shd w:val="clear" w:color="auto" w:fill="auto"/>
          </w:tcPr>
          <w:p w14:paraId="4A704DDF"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lastRenderedPageBreak/>
              <w:t>The school did not maintain records for a period of six months following a month's temperature records to demonstrate compliance.</w:t>
            </w:r>
          </w:p>
        </w:tc>
      </w:tr>
      <w:tr w:rsidR="0041482C" w14:paraId="56D87C63" w14:textId="77777777" w:rsidTr="008175F8">
        <w:trPr>
          <w:trHeight w:val="37"/>
        </w:trPr>
        <w:tc>
          <w:tcPr>
            <w:tcW w:w="8545" w:type="dxa"/>
            <w:shd w:val="clear" w:color="auto" w:fill="D9D9D9" w:themeFill="background1" w:themeFillShade="D9"/>
          </w:tcPr>
          <w:p w14:paraId="289AD48A" w14:textId="77777777" w:rsidR="00A53CEA" w:rsidRPr="0076532F" w:rsidRDefault="00BF496B" w:rsidP="008175F8">
            <w:pPr>
              <w:pStyle w:val="Normal0"/>
              <w:rPr>
                <w:rFonts w:ascii="Times New Roman" w:hAnsi="Times New Roman" w:cs="Times New Roman"/>
                <w:b/>
                <w:sz w:val="20"/>
                <w:szCs w:val="20"/>
              </w:rPr>
            </w:pPr>
            <w:r>
              <w:t>Local School Wellness Policy</w:t>
            </w:r>
          </w:p>
        </w:tc>
      </w:tr>
      <w:tr w:rsidR="0041482C" w14:paraId="17C23F1F" w14:textId="77777777" w:rsidTr="008175F8">
        <w:trPr>
          <w:trHeight w:val="37"/>
        </w:trPr>
        <w:tc>
          <w:tcPr>
            <w:tcW w:w="8545" w:type="dxa"/>
            <w:shd w:val="clear" w:color="auto" w:fill="auto"/>
          </w:tcPr>
          <w:p w14:paraId="4A28BC07"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41482C" w14:paraId="1860C73C" w14:textId="77777777" w:rsidTr="008175F8">
        <w:trPr>
          <w:trHeight w:val="37"/>
        </w:trPr>
        <w:tc>
          <w:tcPr>
            <w:tcW w:w="8545" w:type="dxa"/>
            <w:shd w:val="clear" w:color="auto" w:fill="auto"/>
          </w:tcPr>
          <w:p w14:paraId="11FC554B"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is required to contain goals for nutrition education, nutrition promotion, other school-based activities to promote student wellness, and physical activity.</w:t>
            </w:r>
          </w:p>
        </w:tc>
      </w:tr>
      <w:tr w:rsidR="0041482C" w14:paraId="3C33E36F" w14:textId="77777777" w:rsidTr="008175F8">
        <w:trPr>
          <w:trHeight w:val="37"/>
        </w:trPr>
        <w:tc>
          <w:tcPr>
            <w:tcW w:w="8545" w:type="dxa"/>
            <w:shd w:val="clear" w:color="auto" w:fill="auto"/>
          </w:tcPr>
          <w:p w14:paraId="53C809FC"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41482C" w14:paraId="476B2E13" w14:textId="77777777" w:rsidTr="008175F8">
        <w:trPr>
          <w:trHeight w:val="37"/>
        </w:trPr>
        <w:tc>
          <w:tcPr>
            <w:tcW w:w="8545" w:type="dxa"/>
            <w:shd w:val="clear" w:color="auto" w:fill="auto"/>
          </w:tcPr>
          <w:p w14:paraId="2DA8FFD4"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41482C" w14:paraId="4971BDB0" w14:textId="77777777" w:rsidTr="008175F8">
        <w:trPr>
          <w:trHeight w:val="37"/>
        </w:trPr>
        <w:tc>
          <w:tcPr>
            <w:tcW w:w="8545" w:type="dxa"/>
            <w:shd w:val="clear" w:color="auto" w:fill="auto"/>
          </w:tcPr>
          <w:p w14:paraId="75D3625F"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41482C" w14:paraId="7168F5F2" w14:textId="77777777" w:rsidTr="008175F8">
        <w:trPr>
          <w:trHeight w:val="37"/>
        </w:trPr>
        <w:tc>
          <w:tcPr>
            <w:tcW w:w="8545" w:type="dxa"/>
            <w:shd w:val="clear" w:color="auto" w:fill="auto"/>
          </w:tcPr>
          <w:p w14:paraId="2B86E76C"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41482C" w14:paraId="1B7B8E23" w14:textId="77777777" w:rsidTr="008175F8">
        <w:trPr>
          <w:trHeight w:val="37"/>
        </w:trPr>
        <w:tc>
          <w:tcPr>
            <w:tcW w:w="8545" w:type="dxa"/>
            <w:shd w:val="clear" w:color="auto" w:fill="auto"/>
          </w:tcPr>
          <w:p w14:paraId="62B02B57"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41482C" w14:paraId="5912A953" w14:textId="77777777" w:rsidTr="008175F8">
        <w:trPr>
          <w:trHeight w:val="37"/>
        </w:trPr>
        <w:tc>
          <w:tcPr>
            <w:tcW w:w="8545" w:type="dxa"/>
            <w:shd w:val="clear" w:color="auto" w:fill="auto"/>
          </w:tcPr>
          <w:p w14:paraId="6E088CE9"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41482C" w14:paraId="02EBC935" w14:textId="77777777" w:rsidTr="008175F8">
        <w:trPr>
          <w:trHeight w:val="37"/>
        </w:trPr>
        <w:tc>
          <w:tcPr>
            <w:tcW w:w="8545" w:type="dxa"/>
            <w:shd w:val="clear" w:color="auto" w:fill="D9D9D9" w:themeFill="background1" w:themeFillShade="D9"/>
          </w:tcPr>
          <w:p w14:paraId="3BF6B789" w14:textId="77777777" w:rsidR="00A53CEA" w:rsidRPr="0076532F" w:rsidRDefault="00BF496B" w:rsidP="008175F8">
            <w:pPr>
              <w:pStyle w:val="Normal0"/>
              <w:rPr>
                <w:rFonts w:ascii="Times New Roman" w:hAnsi="Times New Roman" w:cs="Times New Roman"/>
                <w:b/>
                <w:sz w:val="20"/>
                <w:szCs w:val="20"/>
              </w:rPr>
            </w:pPr>
            <w:r>
              <w:t>Smart Snacks</w:t>
            </w:r>
          </w:p>
        </w:tc>
      </w:tr>
      <w:tr w:rsidR="0041482C" w14:paraId="560ACDAE" w14:textId="77777777" w:rsidTr="008175F8">
        <w:trPr>
          <w:trHeight w:val="37"/>
        </w:trPr>
        <w:tc>
          <w:tcPr>
            <w:tcW w:w="8545" w:type="dxa"/>
            <w:shd w:val="clear" w:color="auto" w:fill="auto"/>
          </w:tcPr>
          <w:p w14:paraId="2A929FD7"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Some or all of the food and beverages sold to students during the school day, did not meet the Competitive Food standards. All competitive food sold to students on the school campus during the school day must meet the nutrition standards specified. These standards apply to items as packaged and served to students.</w:t>
            </w:r>
          </w:p>
        </w:tc>
      </w:tr>
      <w:tr w:rsidR="0041482C" w14:paraId="38DEC1C9" w14:textId="77777777" w:rsidTr="008175F8">
        <w:trPr>
          <w:trHeight w:val="37"/>
        </w:trPr>
        <w:tc>
          <w:tcPr>
            <w:tcW w:w="8545" w:type="dxa"/>
            <w:shd w:val="clear" w:color="auto" w:fill="31849B" w:themeFill="accent5" w:themeFillShade="BF"/>
          </w:tcPr>
          <w:p w14:paraId="77815D21" w14:textId="77777777" w:rsidR="00A53CEA" w:rsidRPr="005B0132" w:rsidRDefault="00BF496B" w:rsidP="008175F8">
            <w:pPr>
              <w:pStyle w:val="Normal0"/>
              <w:rPr>
                <w:rFonts w:asciiTheme="minorHAnsi" w:hAnsiTheme="minorHAnsi" w:cstheme="minorHAnsi"/>
                <w:b/>
                <w:i/>
                <w:color w:val="DBE5F1" w:themeColor="accent1" w:themeTint="33"/>
                <w:sz w:val="32"/>
                <w:szCs w:val="20"/>
              </w:rPr>
            </w:pPr>
            <w:r>
              <w:t>Civil Rights</w:t>
            </w:r>
          </w:p>
        </w:tc>
      </w:tr>
      <w:tr w:rsidR="0041482C" w14:paraId="73AEF998" w14:textId="77777777" w:rsidTr="008175F8">
        <w:trPr>
          <w:trHeight w:val="37"/>
        </w:trPr>
        <w:tc>
          <w:tcPr>
            <w:tcW w:w="8545" w:type="dxa"/>
            <w:shd w:val="clear" w:color="auto" w:fill="auto"/>
          </w:tcPr>
          <w:p w14:paraId="54BD0D2A"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lastRenderedPageBreak/>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r w:rsidR="0041482C" w14:paraId="0CB23174" w14:textId="77777777" w:rsidTr="008175F8">
        <w:trPr>
          <w:trHeight w:val="37"/>
        </w:trPr>
        <w:tc>
          <w:tcPr>
            <w:tcW w:w="8545" w:type="dxa"/>
            <w:shd w:val="clear" w:color="auto" w:fill="auto"/>
          </w:tcPr>
          <w:p w14:paraId="1AAA274B"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The SFA did not use the Nuts and Bolts OnDemand: Civil Rights in Child Nutrition Programs to train staff.</w:t>
            </w:r>
          </w:p>
        </w:tc>
      </w:tr>
      <w:tr w:rsidR="0041482C" w14:paraId="03EEDA6D" w14:textId="77777777" w:rsidTr="008175F8">
        <w:trPr>
          <w:trHeight w:val="37"/>
        </w:trPr>
        <w:tc>
          <w:tcPr>
            <w:tcW w:w="8545" w:type="dxa"/>
            <w:shd w:val="clear" w:color="auto" w:fill="auto"/>
          </w:tcPr>
          <w:p w14:paraId="2B1FF460" w14:textId="77777777" w:rsidR="00A53CEA" w:rsidRPr="005B0132" w:rsidRDefault="00BF496B"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bl>
    <w:p w14:paraId="7D3E2903" w14:textId="77777777" w:rsidR="00A53CEA" w:rsidRPr="00223718" w:rsidRDefault="00137C66" w:rsidP="00A53CEA">
      <w:pPr>
        <w:pStyle w:val="Normal0"/>
        <w:rPr>
          <w:rFonts w:ascii="Times New Roman" w:hAnsi="Times New Roman" w:cs="Times New Roman"/>
          <w:sz w:val="20"/>
          <w:szCs w:val="20"/>
        </w:rPr>
      </w:pPr>
    </w:p>
    <w:p w14:paraId="54B858BE" w14:textId="77777777" w:rsidR="00A53CEA" w:rsidRDefault="00137C66" w:rsidP="00A53CEA">
      <w:pPr>
        <w:pStyle w:val="Normal0"/>
      </w:pPr>
    </w:p>
    <w:p w14:paraId="3F314638" w14:textId="77777777" w:rsidR="006D68B7" w:rsidRDefault="00137C66">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39066" w14:textId="77777777" w:rsidR="00137C66" w:rsidRDefault="00137C66">
      <w:r>
        <w:separator/>
      </w:r>
    </w:p>
  </w:endnote>
  <w:endnote w:type="continuationSeparator" w:id="0">
    <w:p w14:paraId="32097C41" w14:textId="77777777" w:rsidR="00137C66" w:rsidRDefault="0013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6951D" w14:textId="77777777" w:rsidR="0037068A" w:rsidRDefault="00BF496B" w:rsidP="000F3A03">
    <w:pPr>
      <w:pStyle w:val="Footer"/>
      <w:jc w:val="center"/>
      <w:rPr>
        <w:sz w:val="14"/>
      </w:rPr>
    </w:pPr>
    <w:r>
      <w:rPr>
        <w:sz w:val="14"/>
      </w:rPr>
      <w:t>This institution is an equal opportunity provider</w:t>
    </w:r>
  </w:p>
  <w:p w14:paraId="01B3381B" w14:textId="77777777" w:rsidR="0037068A" w:rsidRDefault="00137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530C" w14:textId="77777777" w:rsidR="0037068A" w:rsidRDefault="00BF496B" w:rsidP="000F3A03">
    <w:pPr>
      <w:pStyle w:val="Footer0"/>
      <w:jc w:val="center"/>
      <w:rPr>
        <w:sz w:val="14"/>
      </w:rPr>
    </w:pPr>
    <w:r>
      <w:rPr>
        <w:sz w:val="14"/>
      </w:rPr>
      <w:t>This institution is an equal opportunity provider</w:t>
    </w:r>
  </w:p>
  <w:p w14:paraId="7F6EE9AB" w14:textId="77777777" w:rsidR="0037068A" w:rsidRDefault="00137C6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182D8" w14:textId="77777777" w:rsidR="00137C66" w:rsidRDefault="00137C66">
      <w:r>
        <w:separator/>
      </w:r>
    </w:p>
  </w:footnote>
  <w:footnote w:type="continuationSeparator" w:id="0">
    <w:p w14:paraId="7CBA2606" w14:textId="77777777" w:rsidR="00137C66" w:rsidRDefault="00137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91A261E2">
      <w:start w:val="1"/>
      <w:numFmt w:val="decimal"/>
      <w:lvlText w:val="%1."/>
      <w:lvlJc w:val="left"/>
      <w:pPr>
        <w:ind w:left="720" w:hanging="360"/>
      </w:pPr>
      <w:rPr>
        <w:rFonts w:hint="default"/>
      </w:rPr>
    </w:lvl>
    <w:lvl w:ilvl="1" w:tplc="8BC215D6" w:tentative="1">
      <w:start w:val="1"/>
      <w:numFmt w:val="lowerLetter"/>
      <w:lvlText w:val="%2."/>
      <w:lvlJc w:val="left"/>
      <w:pPr>
        <w:ind w:left="1440" w:hanging="360"/>
      </w:pPr>
    </w:lvl>
    <w:lvl w:ilvl="2" w:tplc="23B8C28E" w:tentative="1">
      <w:start w:val="1"/>
      <w:numFmt w:val="lowerRoman"/>
      <w:lvlText w:val="%3."/>
      <w:lvlJc w:val="right"/>
      <w:pPr>
        <w:ind w:left="2160" w:hanging="180"/>
      </w:pPr>
    </w:lvl>
    <w:lvl w:ilvl="3" w:tplc="4574DB48" w:tentative="1">
      <w:start w:val="1"/>
      <w:numFmt w:val="decimal"/>
      <w:lvlText w:val="%4."/>
      <w:lvlJc w:val="left"/>
      <w:pPr>
        <w:ind w:left="2880" w:hanging="360"/>
      </w:pPr>
    </w:lvl>
    <w:lvl w:ilvl="4" w:tplc="1020D88A" w:tentative="1">
      <w:start w:val="1"/>
      <w:numFmt w:val="lowerLetter"/>
      <w:lvlText w:val="%5."/>
      <w:lvlJc w:val="left"/>
      <w:pPr>
        <w:ind w:left="3600" w:hanging="360"/>
      </w:pPr>
    </w:lvl>
    <w:lvl w:ilvl="5" w:tplc="DC1E20F8" w:tentative="1">
      <w:start w:val="1"/>
      <w:numFmt w:val="lowerRoman"/>
      <w:lvlText w:val="%6."/>
      <w:lvlJc w:val="right"/>
      <w:pPr>
        <w:ind w:left="4320" w:hanging="180"/>
      </w:pPr>
    </w:lvl>
    <w:lvl w:ilvl="6" w:tplc="29CE169E" w:tentative="1">
      <w:start w:val="1"/>
      <w:numFmt w:val="decimal"/>
      <w:lvlText w:val="%7."/>
      <w:lvlJc w:val="left"/>
      <w:pPr>
        <w:ind w:left="5040" w:hanging="360"/>
      </w:pPr>
    </w:lvl>
    <w:lvl w:ilvl="7" w:tplc="F9C81BA6" w:tentative="1">
      <w:start w:val="1"/>
      <w:numFmt w:val="lowerLetter"/>
      <w:lvlText w:val="%8."/>
      <w:lvlJc w:val="left"/>
      <w:pPr>
        <w:ind w:left="5760" w:hanging="360"/>
      </w:pPr>
    </w:lvl>
    <w:lvl w:ilvl="8" w:tplc="FA4CD6A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E9C6FE10">
      <w:start w:val="1"/>
      <w:numFmt w:val="bullet"/>
      <w:lvlText w:val=""/>
      <w:lvlJc w:val="left"/>
      <w:pPr>
        <w:ind w:left="720" w:hanging="360"/>
      </w:pPr>
      <w:rPr>
        <w:rFonts w:ascii="Symbol" w:hAnsi="Symbol" w:hint="default"/>
      </w:rPr>
    </w:lvl>
    <w:lvl w:ilvl="1" w:tplc="724C6B50" w:tentative="1">
      <w:start w:val="1"/>
      <w:numFmt w:val="bullet"/>
      <w:lvlText w:val="o"/>
      <w:lvlJc w:val="left"/>
      <w:pPr>
        <w:ind w:left="1440" w:hanging="360"/>
      </w:pPr>
      <w:rPr>
        <w:rFonts w:ascii="Courier New" w:hAnsi="Courier New" w:cs="Courier New" w:hint="default"/>
      </w:rPr>
    </w:lvl>
    <w:lvl w:ilvl="2" w:tplc="583687F0" w:tentative="1">
      <w:start w:val="1"/>
      <w:numFmt w:val="bullet"/>
      <w:lvlText w:val=""/>
      <w:lvlJc w:val="left"/>
      <w:pPr>
        <w:ind w:left="2160" w:hanging="360"/>
      </w:pPr>
      <w:rPr>
        <w:rFonts w:ascii="Wingdings" w:hAnsi="Wingdings" w:hint="default"/>
      </w:rPr>
    </w:lvl>
    <w:lvl w:ilvl="3" w:tplc="6FD82700" w:tentative="1">
      <w:start w:val="1"/>
      <w:numFmt w:val="bullet"/>
      <w:lvlText w:val=""/>
      <w:lvlJc w:val="left"/>
      <w:pPr>
        <w:ind w:left="2880" w:hanging="360"/>
      </w:pPr>
      <w:rPr>
        <w:rFonts w:ascii="Symbol" w:hAnsi="Symbol" w:hint="default"/>
      </w:rPr>
    </w:lvl>
    <w:lvl w:ilvl="4" w:tplc="74EA9628" w:tentative="1">
      <w:start w:val="1"/>
      <w:numFmt w:val="bullet"/>
      <w:lvlText w:val="o"/>
      <w:lvlJc w:val="left"/>
      <w:pPr>
        <w:ind w:left="3600" w:hanging="360"/>
      </w:pPr>
      <w:rPr>
        <w:rFonts w:ascii="Courier New" w:hAnsi="Courier New" w:cs="Courier New" w:hint="default"/>
      </w:rPr>
    </w:lvl>
    <w:lvl w:ilvl="5" w:tplc="F7505478" w:tentative="1">
      <w:start w:val="1"/>
      <w:numFmt w:val="bullet"/>
      <w:lvlText w:val=""/>
      <w:lvlJc w:val="left"/>
      <w:pPr>
        <w:ind w:left="4320" w:hanging="360"/>
      </w:pPr>
      <w:rPr>
        <w:rFonts w:ascii="Wingdings" w:hAnsi="Wingdings" w:hint="default"/>
      </w:rPr>
    </w:lvl>
    <w:lvl w:ilvl="6" w:tplc="12A495EE" w:tentative="1">
      <w:start w:val="1"/>
      <w:numFmt w:val="bullet"/>
      <w:lvlText w:val=""/>
      <w:lvlJc w:val="left"/>
      <w:pPr>
        <w:ind w:left="5040" w:hanging="360"/>
      </w:pPr>
      <w:rPr>
        <w:rFonts w:ascii="Symbol" w:hAnsi="Symbol" w:hint="default"/>
      </w:rPr>
    </w:lvl>
    <w:lvl w:ilvl="7" w:tplc="37BEC358" w:tentative="1">
      <w:start w:val="1"/>
      <w:numFmt w:val="bullet"/>
      <w:lvlText w:val="o"/>
      <w:lvlJc w:val="left"/>
      <w:pPr>
        <w:ind w:left="5760" w:hanging="360"/>
      </w:pPr>
      <w:rPr>
        <w:rFonts w:ascii="Courier New" w:hAnsi="Courier New" w:cs="Courier New" w:hint="default"/>
      </w:rPr>
    </w:lvl>
    <w:lvl w:ilvl="8" w:tplc="77FC79A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2C"/>
    <w:rsid w:val="00137C66"/>
    <w:rsid w:val="002B5AAB"/>
    <w:rsid w:val="002E5E62"/>
    <w:rsid w:val="0041482C"/>
    <w:rsid w:val="00BF4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DE7B"/>
  <w15:docId w15:val="{9BBA5605-B8DA-4C9E-91E8-BDF93BB0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BABF7-C118-4CD5-A6B8-171ECF8B7D10}">
  <ds:schemaRefs>
    <ds:schemaRef ds:uri="http://schemas.microsoft.com/sharepoint/v3/contenttype/forms"/>
  </ds:schemaRefs>
</ds:datastoreItem>
</file>

<file path=customXml/itemProps2.xml><?xml version="1.0" encoding="utf-8"?>
<ds:datastoreItem xmlns:ds="http://schemas.openxmlformats.org/officeDocument/2006/customXml" ds:itemID="{C701E2F6-4E8C-4463-AD1A-633B64508F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00CFD-DB25-477B-90B1-9BB379A2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Marblehead School Department Administrative Review Summary School Year 2021-2022</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School Department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