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DFD36" w14:textId="77777777" w:rsidR="00CA19B4" w:rsidRPr="00200779" w:rsidRDefault="005F3F5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0C7F642" w14:textId="77777777" w:rsidR="00CA19B4" w:rsidRDefault="007447DF" w:rsidP="00CA19B4">
      <w:pPr>
        <w:jc w:val="center"/>
        <w:rPr>
          <w:rFonts w:ascii="Times New Roman" w:hAnsi="Times New Roman" w:cs="Times New Roman"/>
          <w:sz w:val="24"/>
          <w:szCs w:val="24"/>
        </w:rPr>
      </w:pPr>
    </w:p>
    <w:p w14:paraId="623EFC32" w14:textId="77777777" w:rsidR="00CA19B4" w:rsidRDefault="005F3F5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255DE92D" w14:textId="77777777" w:rsidR="00CA19B4" w:rsidRDefault="007447DF" w:rsidP="00CA19B4">
      <w:pPr>
        <w:rPr>
          <w:rFonts w:ascii="Times New Roman" w:hAnsi="Times New Roman" w:cs="Times New Roman"/>
          <w:sz w:val="20"/>
          <w:szCs w:val="20"/>
        </w:rPr>
      </w:pPr>
    </w:p>
    <w:p w14:paraId="1EC7231D" w14:textId="77777777" w:rsidR="00CA19B4" w:rsidRDefault="007447DF" w:rsidP="00CA19B4">
      <w:pPr>
        <w:rPr>
          <w:rFonts w:ascii="Times New Roman" w:hAnsi="Times New Roman" w:cs="Times New Roman"/>
          <w:sz w:val="20"/>
          <w:szCs w:val="20"/>
        </w:rPr>
      </w:pPr>
    </w:p>
    <w:p w14:paraId="589AD91D" w14:textId="77777777" w:rsidR="00CA19B4" w:rsidRPr="00B63138" w:rsidRDefault="005F3F5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Springfield Public Schools</w:t>
      </w:r>
      <w:bookmarkEnd w:id="0"/>
    </w:p>
    <w:p w14:paraId="4788159C" w14:textId="77777777" w:rsidR="00CA19B4" w:rsidRDefault="007447DF" w:rsidP="00CA19B4">
      <w:pPr>
        <w:rPr>
          <w:rFonts w:ascii="Times New Roman" w:hAnsi="Times New Roman" w:cs="Times New Roman"/>
          <w:sz w:val="20"/>
          <w:szCs w:val="20"/>
        </w:rPr>
      </w:pPr>
    </w:p>
    <w:p w14:paraId="4AB1E6F9" w14:textId="77777777" w:rsidR="00CA19B4" w:rsidRDefault="005F3F5C"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05/23/2022</w:t>
      </w:r>
      <w:bookmarkEnd w:id="1"/>
    </w:p>
    <w:p w14:paraId="25F6CE7A" w14:textId="77777777" w:rsidR="00CA19B4" w:rsidRDefault="007447DF" w:rsidP="00CA19B4">
      <w:pPr>
        <w:rPr>
          <w:rFonts w:ascii="Times New Roman" w:hAnsi="Times New Roman" w:cs="Times New Roman"/>
          <w:sz w:val="20"/>
          <w:szCs w:val="20"/>
        </w:rPr>
      </w:pPr>
    </w:p>
    <w:p w14:paraId="085BE701" w14:textId="77777777" w:rsidR="00CA19B4" w:rsidRDefault="005F3F5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05/27/2022</w:t>
      </w:r>
      <w:bookmarkEnd w:id="2"/>
    </w:p>
    <w:p w14:paraId="48B9CC2F" w14:textId="77777777" w:rsidR="00CA19B4" w:rsidRDefault="005F3F5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ADAF11B" w14:textId="77777777" w:rsidR="00CA19B4" w:rsidRDefault="007447DF" w:rsidP="00CA19B4">
      <w:pPr>
        <w:pBdr>
          <w:bottom w:val="single" w:sz="12" w:space="1" w:color="auto"/>
        </w:pBdr>
        <w:rPr>
          <w:rFonts w:ascii="Times New Roman" w:hAnsi="Times New Roman" w:cs="Times New Roman"/>
          <w:sz w:val="20"/>
          <w:szCs w:val="20"/>
        </w:rPr>
      </w:pPr>
    </w:p>
    <w:p w14:paraId="5C605DF7" w14:textId="77777777" w:rsidR="00CA19B4" w:rsidRDefault="005F3F5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801BFAB" w14:textId="77777777" w:rsidR="00CA19B4" w:rsidRDefault="007447DF" w:rsidP="00CA19B4">
      <w:pPr>
        <w:rPr>
          <w:rFonts w:ascii="Times New Roman" w:hAnsi="Times New Roman" w:cs="Times New Roman"/>
          <w:sz w:val="20"/>
          <w:szCs w:val="20"/>
        </w:rPr>
      </w:pPr>
    </w:p>
    <w:p w14:paraId="7622F562" w14:textId="77777777" w:rsidR="00CA19B4" w:rsidRPr="00223718" w:rsidRDefault="005F3F5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62CB0F4" w14:textId="77777777" w:rsidR="00CA19B4" w:rsidRDefault="007447DF" w:rsidP="00CA19B4">
      <w:pPr>
        <w:rPr>
          <w:rFonts w:ascii="Times New Roman" w:hAnsi="Times New Roman" w:cs="Times New Roman"/>
          <w:sz w:val="20"/>
          <w:szCs w:val="20"/>
        </w:rPr>
      </w:pPr>
    </w:p>
    <w:p w14:paraId="6B8D6052" w14:textId="77777777" w:rsidR="00CA19B4" w:rsidRDefault="005F3F5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9B52845" w14:textId="77777777" w:rsidR="00CA19B4" w:rsidRDefault="007447DF" w:rsidP="00CA19B4">
      <w:pPr>
        <w:ind w:left="720"/>
        <w:rPr>
          <w:rFonts w:ascii="Times New Roman" w:hAnsi="Times New Roman" w:cs="Times New Roman"/>
          <w:sz w:val="20"/>
          <w:szCs w:val="20"/>
        </w:rPr>
      </w:pPr>
    </w:p>
    <w:bookmarkStart w:id="3" w:name="CHK_SBP"/>
    <w:p w14:paraId="25D6A9EC" w14:textId="77777777" w:rsidR="00CA19B4" w:rsidRDefault="005F3F5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447DF">
        <w:rPr>
          <w:rFonts w:ascii="Times New Roman" w:hAnsi="Times New Roman" w:cs="Times New Roman"/>
          <w:sz w:val="20"/>
          <w:szCs w:val="20"/>
        </w:rPr>
      </w:r>
      <w:r w:rsidR="007447D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74187D2" w14:textId="77777777" w:rsidR="00CA19B4" w:rsidRDefault="005F3F5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447DF">
        <w:rPr>
          <w:rFonts w:ascii="Times New Roman" w:hAnsi="Times New Roman" w:cs="Times New Roman"/>
          <w:sz w:val="20"/>
          <w:szCs w:val="20"/>
        </w:rPr>
      </w:r>
      <w:r w:rsidR="007447D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80448E5" w14:textId="77777777" w:rsidR="00CA19B4" w:rsidRDefault="005F3F5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447DF">
        <w:rPr>
          <w:rFonts w:ascii="Times New Roman" w:hAnsi="Times New Roman" w:cs="Times New Roman"/>
          <w:sz w:val="20"/>
          <w:szCs w:val="20"/>
        </w:rPr>
      </w:r>
      <w:r w:rsidR="007447D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76D6F95" w14:textId="77777777" w:rsidR="00CA19B4" w:rsidRDefault="005F3F5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447DF">
        <w:rPr>
          <w:rFonts w:ascii="Times New Roman" w:hAnsi="Times New Roman" w:cs="Times New Roman"/>
          <w:sz w:val="20"/>
          <w:szCs w:val="20"/>
        </w:rPr>
      </w:r>
      <w:r w:rsidR="007447D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C5E5A4F" w14:textId="77777777" w:rsidR="00CA19B4" w:rsidRDefault="005F3F5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447DF">
        <w:rPr>
          <w:rFonts w:ascii="Times New Roman" w:hAnsi="Times New Roman" w:cs="Times New Roman"/>
          <w:sz w:val="20"/>
          <w:szCs w:val="20"/>
        </w:rPr>
      </w:r>
      <w:r w:rsidR="007447D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ABB3E80" w14:textId="77777777" w:rsidR="00CA19B4" w:rsidRDefault="005F3F5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447DF">
        <w:rPr>
          <w:rFonts w:ascii="Times New Roman" w:hAnsi="Times New Roman" w:cs="Times New Roman"/>
          <w:sz w:val="20"/>
          <w:szCs w:val="20"/>
        </w:rPr>
      </w:r>
      <w:r w:rsidR="007447D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C597803" w14:textId="77777777" w:rsidR="00CA19B4" w:rsidRDefault="007447DF" w:rsidP="00CA19B4">
      <w:pPr>
        <w:rPr>
          <w:rFonts w:ascii="Times New Roman" w:hAnsi="Times New Roman" w:cs="Times New Roman"/>
          <w:sz w:val="20"/>
          <w:szCs w:val="20"/>
        </w:rPr>
      </w:pPr>
    </w:p>
    <w:p w14:paraId="2F5DD7D1" w14:textId="77777777" w:rsidR="00CA19B4" w:rsidRDefault="005F3F5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E2D46C4" w14:textId="77777777" w:rsidR="00CA19B4" w:rsidRDefault="007447DF" w:rsidP="00CA19B4">
      <w:pPr>
        <w:ind w:left="720"/>
        <w:rPr>
          <w:rFonts w:ascii="Times New Roman" w:hAnsi="Times New Roman" w:cs="Times New Roman"/>
          <w:sz w:val="20"/>
          <w:szCs w:val="20"/>
        </w:rPr>
      </w:pPr>
    </w:p>
    <w:bookmarkStart w:id="9" w:name="CHK_CEP"/>
    <w:p w14:paraId="6A009EDF" w14:textId="77777777" w:rsidR="00CA19B4" w:rsidRDefault="005F3F5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447DF">
        <w:rPr>
          <w:rFonts w:ascii="Times New Roman" w:hAnsi="Times New Roman" w:cs="Times New Roman"/>
          <w:sz w:val="20"/>
          <w:szCs w:val="20"/>
        </w:rPr>
      </w:r>
      <w:r w:rsidR="007447D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4DBD0C4" w14:textId="77777777" w:rsidR="00CA19B4" w:rsidRDefault="005F3F5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447DF">
        <w:rPr>
          <w:rFonts w:ascii="Times New Roman" w:hAnsi="Times New Roman" w:cs="Times New Roman"/>
          <w:sz w:val="20"/>
          <w:szCs w:val="20"/>
        </w:rPr>
      </w:r>
      <w:r w:rsidR="007447D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FE4BD6D" w14:textId="77777777" w:rsidR="00CA19B4" w:rsidRDefault="005F3F5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447DF">
        <w:rPr>
          <w:rFonts w:ascii="Times New Roman" w:hAnsi="Times New Roman" w:cs="Times New Roman"/>
          <w:sz w:val="20"/>
          <w:szCs w:val="20"/>
        </w:rPr>
      </w:r>
      <w:r w:rsidR="007447D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543F0B7" w14:textId="77777777" w:rsidR="00CA19B4" w:rsidRDefault="005F3F5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447DF">
        <w:rPr>
          <w:rFonts w:ascii="Times New Roman" w:hAnsi="Times New Roman" w:cs="Times New Roman"/>
          <w:sz w:val="20"/>
          <w:szCs w:val="20"/>
        </w:rPr>
      </w:r>
      <w:r w:rsidR="007447D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A766889" w14:textId="77777777" w:rsidR="00CA19B4" w:rsidRDefault="007447DF" w:rsidP="00CA19B4">
      <w:pPr>
        <w:rPr>
          <w:rFonts w:ascii="Times New Roman" w:hAnsi="Times New Roman" w:cs="Times New Roman"/>
          <w:sz w:val="20"/>
          <w:szCs w:val="20"/>
        </w:rPr>
      </w:pPr>
    </w:p>
    <w:p w14:paraId="7B951141" w14:textId="77777777" w:rsidR="00CA19B4" w:rsidRPr="00D6151F" w:rsidRDefault="005F3F5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0C3E160" w14:textId="77777777" w:rsidR="00CA19B4" w:rsidRDefault="007447DF" w:rsidP="00CA19B4">
      <w:pPr>
        <w:rPr>
          <w:rFonts w:ascii="Times New Roman" w:hAnsi="Times New Roman" w:cs="Times New Roman"/>
          <w:sz w:val="20"/>
          <w:szCs w:val="20"/>
        </w:rPr>
      </w:pPr>
    </w:p>
    <w:p w14:paraId="15A9F5F8" w14:textId="77777777" w:rsidR="00CA19B4" w:rsidRDefault="005F3F5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44DF99F" w14:textId="77777777" w:rsidR="00CA19B4" w:rsidRDefault="005F3F5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7447DF">
        <w:rPr>
          <w:rFonts w:ascii="MS Gothic" w:eastAsia="MS Gothic" w:hAnsi="Times New Roman" w:cs="Times New Roman"/>
          <w:sz w:val="20"/>
          <w:szCs w:val="20"/>
        </w:rPr>
      </w:r>
      <w:r w:rsidR="007447D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7447DF">
        <w:rPr>
          <w:rFonts w:ascii="MS Gothic" w:eastAsia="MS Gothic" w:hAnsi="Times New Roman" w:cs="Times New Roman"/>
          <w:sz w:val="20"/>
          <w:szCs w:val="20"/>
        </w:rPr>
      </w:r>
      <w:r w:rsidR="007447D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E6E0A07" w14:textId="77777777" w:rsidR="00CA19B4" w:rsidRDefault="007447DF" w:rsidP="00CA19B4">
      <w:pPr>
        <w:ind w:firstLine="720"/>
        <w:rPr>
          <w:rFonts w:ascii="Times New Roman" w:hAnsi="Times New Roman" w:cs="Times New Roman"/>
          <w:sz w:val="20"/>
          <w:szCs w:val="20"/>
        </w:rPr>
      </w:pPr>
    </w:p>
    <w:p w14:paraId="4E836A09" w14:textId="77777777" w:rsidR="00CA19B4" w:rsidRDefault="005F3F5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287BDA7" w14:textId="77777777" w:rsidR="006D68B7" w:rsidRDefault="007447DF">
      <w:pPr>
        <w:sectPr w:rsidR="006D68B7" w:rsidSect="005B420A">
          <w:footerReference w:type="default" r:id="rId9"/>
          <w:pgSz w:w="12240" w:h="15840"/>
          <w:pgMar w:top="1440" w:right="1440" w:bottom="1440" w:left="1440" w:header="720" w:footer="720" w:gutter="0"/>
          <w:cols w:space="720"/>
        </w:sectPr>
      </w:pPr>
    </w:p>
    <w:p w14:paraId="4C83761A" w14:textId="77777777" w:rsidR="00A53CEA" w:rsidRDefault="007447DF" w:rsidP="00A53CEA">
      <w:pPr>
        <w:pStyle w:val="Normal0"/>
        <w:ind w:firstLine="720"/>
        <w:rPr>
          <w:rFonts w:ascii="Times New Roman" w:hAnsi="Times New Roman" w:cs="Times New Roman"/>
          <w:sz w:val="20"/>
          <w:szCs w:val="20"/>
        </w:rPr>
      </w:pPr>
    </w:p>
    <w:p w14:paraId="6A569364" w14:textId="77777777" w:rsidR="00A53CEA" w:rsidRPr="00C61944" w:rsidRDefault="005F3F5C"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30943" w14:paraId="301D56A0" w14:textId="77777777" w:rsidTr="008175F8">
        <w:trPr>
          <w:trHeight w:val="37"/>
        </w:trPr>
        <w:tc>
          <w:tcPr>
            <w:tcW w:w="8545" w:type="dxa"/>
            <w:shd w:val="clear" w:color="auto" w:fill="31849B" w:themeFill="accent5" w:themeFillShade="BF"/>
          </w:tcPr>
          <w:p w14:paraId="16615C44" w14:textId="77777777" w:rsidR="00A53CEA" w:rsidRPr="005B0132" w:rsidRDefault="005F3F5C" w:rsidP="008175F8">
            <w:pPr>
              <w:pStyle w:val="Normal0"/>
              <w:rPr>
                <w:rFonts w:asciiTheme="minorHAnsi" w:hAnsiTheme="minorHAnsi" w:cstheme="minorHAnsi"/>
                <w:b/>
                <w:i/>
                <w:color w:val="DBE5F1" w:themeColor="accent1" w:themeTint="33"/>
                <w:sz w:val="32"/>
                <w:szCs w:val="20"/>
              </w:rPr>
            </w:pPr>
            <w:r>
              <w:t>Program Access and Reimbursement</w:t>
            </w:r>
          </w:p>
        </w:tc>
      </w:tr>
      <w:tr w:rsidR="00530943" w14:paraId="05040998" w14:textId="77777777" w:rsidTr="008175F8">
        <w:trPr>
          <w:trHeight w:val="37"/>
        </w:trPr>
        <w:tc>
          <w:tcPr>
            <w:tcW w:w="8545" w:type="dxa"/>
            <w:shd w:val="clear" w:color="auto" w:fill="D9D9D9" w:themeFill="background1" w:themeFillShade="D9"/>
          </w:tcPr>
          <w:p w14:paraId="7090FB42" w14:textId="77777777" w:rsidR="00A53CEA" w:rsidRPr="0076532F" w:rsidRDefault="005F3F5C" w:rsidP="008175F8">
            <w:pPr>
              <w:pStyle w:val="Normal0"/>
              <w:rPr>
                <w:rFonts w:ascii="Times New Roman" w:hAnsi="Times New Roman" w:cs="Times New Roman"/>
                <w:b/>
                <w:sz w:val="20"/>
                <w:szCs w:val="20"/>
              </w:rPr>
            </w:pPr>
            <w:r>
              <w:t>Meal Counting and Claiming</w:t>
            </w:r>
          </w:p>
        </w:tc>
      </w:tr>
      <w:tr w:rsidR="00530943" w14:paraId="5A507FDB" w14:textId="77777777" w:rsidTr="008175F8">
        <w:trPr>
          <w:trHeight w:val="37"/>
        </w:trPr>
        <w:tc>
          <w:tcPr>
            <w:tcW w:w="8545" w:type="dxa"/>
            <w:shd w:val="clear" w:color="auto" w:fill="auto"/>
          </w:tcPr>
          <w:p w14:paraId="06F0AE04" w14:textId="77777777" w:rsidR="00A53CEA" w:rsidRPr="005B0132" w:rsidRDefault="005F3F5C"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530943" w14:paraId="5C001A39" w14:textId="77777777" w:rsidTr="008175F8">
        <w:trPr>
          <w:trHeight w:val="37"/>
        </w:trPr>
        <w:tc>
          <w:tcPr>
            <w:tcW w:w="8545" w:type="dxa"/>
            <w:shd w:val="clear" w:color="auto" w:fill="auto"/>
          </w:tcPr>
          <w:p w14:paraId="5D45DB6F" w14:textId="77777777" w:rsidR="00A53CEA" w:rsidRPr="005B0132" w:rsidRDefault="005F3F5C"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530943" w14:paraId="55BA76DF" w14:textId="77777777" w:rsidTr="008175F8">
        <w:trPr>
          <w:trHeight w:val="37"/>
        </w:trPr>
        <w:tc>
          <w:tcPr>
            <w:tcW w:w="8545" w:type="dxa"/>
            <w:shd w:val="clear" w:color="auto" w:fill="31849B" w:themeFill="accent5" w:themeFillShade="BF"/>
          </w:tcPr>
          <w:p w14:paraId="0AFAE1F0" w14:textId="77777777" w:rsidR="00A53CEA" w:rsidRPr="005B0132" w:rsidRDefault="005F3F5C" w:rsidP="008175F8">
            <w:pPr>
              <w:pStyle w:val="Normal0"/>
              <w:rPr>
                <w:rFonts w:asciiTheme="minorHAnsi" w:hAnsiTheme="minorHAnsi" w:cstheme="minorHAnsi"/>
                <w:b/>
                <w:i/>
                <w:color w:val="DBE5F1" w:themeColor="accent1" w:themeTint="33"/>
                <w:sz w:val="32"/>
                <w:szCs w:val="20"/>
              </w:rPr>
            </w:pPr>
            <w:r>
              <w:t>Meal Patterns and Nutritional Quality</w:t>
            </w:r>
          </w:p>
        </w:tc>
      </w:tr>
      <w:tr w:rsidR="00530943" w14:paraId="5F646B27" w14:textId="77777777" w:rsidTr="008175F8">
        <w:trPr>
          <w:trHeight w:val="37"/>
        </w:trPr>
        <w:tc>
          <w:tcPr>
            <w:tcW w:w="8545" w:type="dxa"/>
            <w:shd w:val="clear" w:color="auto" w:fill="D9D9D9" w:themeFill="background1" w:themeFillShade="D9"/>
          </w:tcPr>
          <w:p w14:paraId="6D6F3C2D" w14:textId="77777777" w:rsidR="00A53CEA" w:rsidRPr="0076532F" w:rsidRDefault="005F3F5C" w:rsidP="008175F8">
            <w:pPr>
              <w:pStyle w:val="Normal0"/>
              <w:rPr>
                <w:rFonts w:ascii="Times New Roman" w:hAnsi="Times New Roman" w:cs="Times New Roman"/>
                <w:b/>
                <w:sz w:val="20"/>
                <w:szCs w:val="20"/>
              </w:rPr>
            </w:pPr>
            <w:r>
              <w:t>Meal Components and Quantities</w:t>
            </w:r>
          </w:p>
        </w:tc>
      </w:tr>
      <w:tr w:rsidR="00530943" w14:paraId="19031E65" w14:textId="77777777" w:rsidTr="008175F8">
        <w:trPr>
          <w:trHeight w:val="37"/>
        </w:trPr>
        <w:tc>
          <w:tcPr>
            <w:tcW w:w="8545" w:type="dxa"/>
            <w:shd w:val="clear" w:color="auto" w:fill="auto"/>
          </w:tcPr>
          <w:p w14:paraId="2A6FAB15" w14:textId="77777777" w:rsidR="00A53CEA" w:rsidRPr="005B0132" w:rsidRDefault="005F3F5C"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530943" w14:paraId="6C07A733" w14:textId="77777777" w:rsidTr="008175F8">
        <w:trPr>
          <w:trHeight w:val="37"/>
        </w:trPr>
        <w:tc>
          <w:tcPr>
            <w:tcW w:w="8545" w:type="dxa"/>
            <w:shd w:val="clear" w:color="auto" w:fill="31849B" w:themeFill="accent5" w:themeFillShade="BF"/>
          </w:tcPr>
          <w:p w14:paraId="27B1D366" w14:textId="77777777" w:rsidR="00A53CEA" w:rsidRPr="005B0132" w:rsidRDefault="005F3F5C" w:rsidP="008175F8">
            <w:pPr>
              <w:pStyle w:val="Normal0"/>
              <w:rPr>
                <w:rFonts w:asciiTheme="minorHAnsi" w:hAnsiTheme="minorHAnsi" w:cstheme="minorHAnsi"/>
                <w:b/>
                <w:i/>
                <w:color w:val="DBE5F1" w:themeColor="accent1" w:themeTint="33"/>
                <w:sz w:val="32"/>
                <w:szCs w:val="20"/>
              </w:rPr>
            </w:pPr>
            <w:r>
              <w:t>School Nutrition Environment</w:t>
            </w:r>
          </w:p>
        </w:tc>
      </w:tr>
      <w:tr w:rsidR="00530943" w14:paraId="11819F60" w14:textId="77777777" w:rsidTr="008175F8">
        <w:trPr>
          <w:trHeight w:val="37"/>
        </w:trPr>
        <w:tc>
          <w:tcPr>
            <w:tcW w:w="8545" w:type="dxa"/>
            <w:shd w:val="clear" w:color="auto" w:fill="D9D9D9" w:themeFill="background1" w:themeFillShade="D9"/>
          </w:tcPr>
          <w:p w14:paraId="7CA643BD" w14:textId="77777777" w:rsidR="00A53CEA" w:rsidRPr="0076532F" w:rsidRDefault="005F3F5C" w:rsidP="008175F8">
            <w:pPr>
              <w:pStyle w:val="Normal0"/>
              <w:rPr>
                <w:rFonts w:ascii="Times New Roman" w:hAnsi="Times New Roman" w:cs="Times New Roman"/>
                <w:b/>
                <w:sz w:val="20"/>
                <w:szCs w:val="20"/>
              </w:rPr>
            </w:pPr>
            <w:r>
              <w:t>Food Safety</w:t>
            </w:r>
          </w:p>
        </w:tc>
      </w:tr>
      <w:tr w:rsidR="00530943" w14:paraId="0D6F0B93" w14:textId="77777777" w:rsidTr="008175F8">
        <w:trPr>
          <w:trHeight w:val="37"/>
        </w:trPr>
        <w:tc>
          <w:tcPr>
            <w:tcW w:w="8545" w:type="dxa"/>
            <w:shd w:val="clear" w:color="auto" w:fill="auto"/>
          </w:tcPr>
          <w:p w14:paraId="34CBE723" w14:textId="77777777" w:rsidR="00A53CEA" w:rsidRPr="005B0132" w:rsidRDefault="005F3F5C"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530943" w14:paraId="5BFE6FAA" w14:textId="77777777" w:rsidTr="008175F8">
        <w:trPr>
          <w:trHeight w:val="37"/>
        </w:trPr>
        <w:tc>
          <w:tcPr>
            <w:tcW w:w="8545" w:type="dxa"/>
            <w:shd w:val="clear" w:color="auto" w:fill="auto"/>
          </w:tcPr>
          <w:p w14:paraId="781BC26B" w14:textId="77777777" w:rsidR="00A53CEA" w:rsidRPr="005B0132" w:rsidRDefault="005F3F5C"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530943" w14:paraId="105E5C1D" w14:textId="77777777" w:rsidTr="008175F8">
        <w:trPr>
          <w:trHeight w:val="37"/>
        </w:trPr>
        <w:tc>
          <w:tcPr>
            <w:tcW w:w="8545" w:type="dxa"/>
            <w:shd w:val="clear" w:color="auto" w:fill="auto"/>
          </w:tcPr>
          <w:p w14:paraId="4B0EC312" w14:textId="77777777" w:rsidR="00A53CEA" w:rsidRPr="005B0132" w:rsidRDefault="005F3F5C"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530943" w14:paraId="210011A4" w14:textId="77777777" w:rsidTr="008175F8">
        <w:trPr>
          <w:trHeight w:val="37"/>
        </w:trPr>
        <w:tc>
          <w:tcPr>
            <w:tcW w:w="8545" w:type="dxa"/>
            <w:shd w:val="clear" w:color="auto" w:fill="auto"/>
          </w:tcPr>
          <w:p w14:paraId="0F007E75" w14:textId="77777777" w:rsidR="00A53CEA" w:rsidRPr="005B0132" w:rsidRDefault="005F3F5C"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competitive bids reveal the costs of domestic agricultural food components are significantly higher than the non-domestic ones.</w:t>
            </w:r>
          </w:p>
        </w:tc>
      </w:tr>
    </w:tbl>
    <w:p w14:paraId="1AB190D4" w14:textId="77777777" w:rsidR="00A53CEA" w:rsidRPr="00223718" w:rsidRDefault="007447DF" w:rsidP="00A53CEA">
      <w:pPr>
        <w:pStyle w:val="Normal0"/>
        <w:rPr>
          <w:rFonts w:ascii="Times New Roman" w:hAnsi="Times New Roman" w:cs="Times New Roman"/>
          <w:sz w:val="20"/>
          <w:szCs w:val="20"/>
        </w:rPr>
      </w:pPr>
    </w:p>
    <w:p w14:paraId="290DDD19" w14:textId="77777777" w:rsidR="00A53CEA" w:rsidRDefault="007447DF" w:rsidP="00A53CEA">
      <w:pPr>
        <w:pStyle w:val="Normal0"/>
      </w:pPr>
    </w:p>
    <w:p w14:paraId="13E7D7E2" w14:textId="77777777" w:rsidR="006D68B7" w:rsidRDefault="007447DF">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30943" w14:paraId="1AE8BDD3" w14:textId="77777777" w:rsidTr="00A708A7">
        <w:trPr>
          <w:trHeight w:val="37"/>
        </w:trPr>
        <w:tc>
          <w:tcPr>
            <w:tcW w:w="8545" w:type="dxa"/>
            <w:shd w:val="clear" w:color="auto" w:fill="31849B" w:themeFill="accent5" w:themeFillShade="BF"/>
          </w:tcPr>
          <w:p w14:paraId="4051BDBC" w14:textId="77777777" w:rsidR="00E2351D" w:rsidRPr="00935CAD" w:rsidRDefault="005F3F5C" w:rsidP="00A708A7">
            <w:pPr>
              <w:pStyle w:val="Normal1"/>
              <w:rPr>
                <w:rFonts w:ascii="Times New Roman" w:hAnsi="Times New Roman" w:cs="Times New Roman"/>
                <w:b/>
                <w:i/>
                <w:color w:val="DBE5F1" w:themeColor="accent1" w:themeTint="33"/>
                <w:sz w:val="24"/>
                <w:szCs w:val="24"/>
              </w:rPr>
            </w:pPr>
            <w:r w:rsidRPr="009A5D2A">
              <w:rPr>
                <w:rFonts w:ascii="Times New Roman" w:hAnsi="Times New Roman" w:cs="Times New Roman"/>
                <w:b/>
                <w:i/>
                <w:color w:val="auto"/>
                <w:sz w:val="24"/>
                <w:szCs w:val="24"/>
              </w:rPr>
              <w:lastRenderedPageBreak/>
              <w:t>Noteworthy Observations</w:t>
            </w:r>
          </w:p>
        </w:tc>
      </w:tr>
      <w:tr w:rsidR="00530943" w14:paraId="07D8F8EE" w14:textId="77777777" w:rsidTr="00A708A7">
        <w:trPr>
          <w:trHeight w:val="37"/>
        </w:trPr>
        <w:tc>
          <w:tcPr>
            <w:tcW w:w="8545" w:type="dxa"/>
            <w:shd w:val="clear" w:color="auto" w:fill="auto"/>
          </w:tcPr>
          <w:p w14:paraId="6DC70A09" w14:textId="77777777" w:rsidR="00E2351D" w:rsidRPr="00935CAD" w:rsidRDefault="005F3F5C" w:rsidP="00A708A7">
            <w:pPr>
              <w:pStyle w:val="Normal1"/>
              <w:rPr>
                <w:rFonts w:ascii="Times New Roman" w:hAnsi="Times New Roman" w:cs="Times New Roman"/>
                <w:sz w:val="20"/>
                <w:szCs w:val="20"/>
              </w:rPr>
            </w:pPr>
            <w:r>
              <w:t>The Review Team found the following noteworthy items: Staff cooperative for AR /meals with color and good presentations / staff organized/</w:t>
            </w:r>
          </w:p>
        </w:tc>
      </w:tr>
    </w:tbl>
    <w:p w14:paraId="29D2671A" w14:textId="77777777" w:rsidR="006D68B7" w:rsidRDefault="007447DF">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C2EE5" w14:textId="77777777" w:rsidR="007447DF" w:rsidRDefault="007447DF">
      <w:r>
        <w:separator/>
      </w:r>
    </w:p>
  </w:endnote>
  <w:endnote w:type="continuationSeparator" w:id="0">
    <w:p w14:paraId="3CA6CA10" w14:textId="77777777" w:rsidR="007447DF" w:rsidRDefault="0074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881C8" w14:textId="77777777" w:rsidR="0037068A" w:rsidRDefault="005F3F5C" w:rsidP="000F3A03">
    <w:pPr>
      <w:pStyle w:val="Footer"/>
      <w:jc w:val="center"/>
      <w:rPr>
        <w:sz w:val="14"/>
      </w:rPr>
    </w:pPr>
    <w:r>
      <w:rPr>
        <w:sz w:val="14"/>
      </w:rPr>
      <w:t>This institution is an equal opportunity provider</w:t>
    </w:r>
  </w:p>
  <w:p w14:paraId="3B87D02A" w14:textId="77777777" w:rsidR="0037068A" w:rsidRDefault="00744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B72EA" w14:textId="77777777" w:rsidR="0037068A" w:rsidRDefault="005F3F5C" w:rsidP="000F3A03">
    <w:pPr>
      <w:pStyle w:val="Footer0"/>
      <w:jc w:val="center"/>
      <w:rPr>
        <w:sz w:val="14"/>
      </w:rPr>
    </w:pPr>
    <w:r>
      <w:rPr>
        <w:sz w:val="14"/>
      </w:rPr>
      <w:t>This institution is an equal opportunity provider</w:t>
    </w:r>
  </w:p>
  <w:p w14:paraId="3894797D" w14:textId="77777777" w:rsidR="0037068A" w:rsidRDefault="007447D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21DEE" w14:textId="77777777" w:rsidR="007447DF" w:rsidRDefault="007447DF">
      <w:r>
        <w:separator/>
      </w:r>
    </w:p>
  </w:footnote>
  <w:footnote w:type="continuationSeparator" w:id="0">
    <w:p w14:paraId="361AF679" w14:textId="77777777" w:rsidR="007447DF" w:rsidRDefault="00744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47F4BA10">
      <w:start w:val="1"/>
      <w:numFmt w:val="decimal"/>
      <w:lvlText w:val="%1."/>
      <w:lvlJc w:val="left"/>
      <w:pPr>
        <w:ind w:left="720" w:hanging="360"/>
      </w:pPr>
      <w:rPr>
        <w:rFonts w:hint="default"/>
      </w:rPr>
    </w:lvl>
    <w:lvl w:ilvl="1" w:tplc="7D7A3AC0" w:tentative="1">
      <w:start w:val="1"/>
      <w:numFmt w:val="lowerLetter"/>
      <w:lvlText w:val="%2."/>
      <w:lvlJc w:val="left"/>
      <w:pPr>
        <w:ind w:left="1440" w:hanging="360"/>
      </w:pPr>
    </w:lvl>
    <w:lvl w:ilvl="2" w:tplc="30881A0C" w:tentative="1">
      <w:start w:val="1"/>
      <w:numFmt w:val="lowerRoman"/>
      <w:lvlText w:val="%3."/>
      <w:lvlJc w:val="right"/>
      <w:pPr>
        <w:ind w:left="2160" w:hanging="180"/>
      </w:pPr>
    </w:lvl>
    <w:lvl w:ilvl="3" w:tplc="9B024B54" w:tentative="1">
      <w:start w:val="1"/>
      <w:numFmt w:val="decimal"/>
      <w:lvlText w:val="%4."/>
      <w:lvlJc w:val="left"/>
      <w:pPr>
        <w:ind w:left="2880" w:hanging="360"/>
      </w:pPr>
    </w:lvl>
    <w:lvl w:ilvl="4" w:tplc="3740E170" w:tentative="1">
      <w:start w:val="1"/>
      <w:numFmt w:val="lowerLetter"/>
      <w:lvlText w:val="%5."/>
      <w:lvlJc w:val="left"/>
      <w:pPr>
        <w:ind w:left="3600" w:hanging="360"/>
      </w:pPr>
    </w:lvl>
    <w:lvl w:ilvl="5" w:tplc="4AD6449E" w:tentative="1">
      <w:start w:val="1"/>
      <w:numFmt w:val="lowerRoman"/>
      <w:lvlText w:val="%6."/>
      <w:lvlJc w:val="right"/>
      <w:pPr>
        <w:ind w:left="4320" w:hanging="180"/>
      </w:pPr>
    </w:lvl>
    <w:lvl w:ilvl="6" w:tplc="AD7CE7D4" w:tentative="1">
      <w:start w:val="1"/>
      <w:numFmt w:val="decimal"/>
      <w:lvlText w:val="%7."/>
      <w:lvlJc w:val="left"/>
      <w:pPr>
        <w:ind w:left="5040" w:hanging="360"/>
      </w:pPr>
    </w:lvl>
    <w:lvl w:ilvl="7" w:tplc="5A4CA7E8" w:tentative="1">
      <w:start w:val="1"/>
      <w:numFmt w:val="lowerLetter"/>
      <w:lvlText w:val="%8."/>
      <w:lvlJc w:val="left"/>
      <w:pPr>
        <w:ind w:left="5760" w:hanging="360"/>
      </w:pPr>
    </w:lvl>
    <w:lvl w:ilvl="8" w:tplc="0FDE270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AB1869C6">
      <w:start w:val="1"/>
      <w:numFmt w:val="bullet"/>
      <w:lvlText w:val=""/>
      <w:lvlJc w:val="left"/>
      <w:pPr>
        <w:ind w:left="720" w:hanging="360"/>
      </w:pPr>
      <w:rPr>
        <w:rFonts w:ascii="Symbol" w:hAnsi="Symbol" w:hint="default"/>
      </w:rPr>
    </w:lvl>
    <w:lvl w:ilvl="1" w:tplc="3F28612A" w:tentative="1">
      <w:start w:val="1"/>
      <w:numFmt w:val="bullet"/>
      <w:lvlText w:val="o"/>
      <w:lvlJc w:val="left"/>
      <w:pPr>
        <w:ind w:left="1440" w:hanging="360"/>
      </w:pPr>
      <w:rPr>
        <w:rFonts w:ascii="Courier New" w:hAnsi="Courier New" w:cs="Courier New" w:hint="default"/>
      </w:rPr>
    </w:lvl>
    <w:lvl w:ilvl="2" w:tplc="20D01AFE" w:tentative="1">
      <w:start w:val="1"/>
      <w:numFmt w:val="bullet"/>
      <w:lvlText w:val=""/>
      <w:lvlJc w:val="left"/>
      <w:pPr>
        <w:ind w:left="2160" w:hanging="360"/>
      </w:pPr>
      <w:rPr>
        <w:rFonts w:ascii="Wingdings" w:hAnsi="Wingdings" w:hint="default"/>
      </w:rPr>
    </w:lvl>
    <w:lvl w:ilvl="3" w:tplc="EC286554" w:tentative="1">
      <w:start w:val="1"/>
      <w:numFmt w:val="bullet"/>
      <w:lvlText w:val=""/>
      <w:lvlJc w:val="left"/>
      <w:pPr>
        <w:ind w:left="2880" w:hanging="360"/>
      </w:pPr>
      <w:rPr>
        <w:rFonts w:ascii="Symbol" w:hAnsi="Symbol" w:hint="default"/>
      </w:rPr>
    </w:lvl>
    <w:lvl w:ilvl="4" w:tplc="A15838CA" w:tentative="1">
      <w:start w:val="1"/>
      <w:numFmt w:val="bullet"/>
      <w:lvlText w:val="o"/>
      <w:lvlJc w:val="left"/>
      <w:pPr>
        <w:ind w:left="3600" w:hanging="360"/>
      </w:pPr>
      <w:rPr>
        <w:rFonts w:ascii="Courier New" w:hAnsi="Courier New" w:cs="Courier New" w:hint="default"/>
      </w:rPr>
    </w:lvl>
    <w:lvl w:ilvl="5" w:tplc="09CC2B8C" w:tentative="1">
      <w:start w:val="1"/>
      <w:numFmt w:val="bullet"/>
      <w:lvlText w:val=""/>
      <w:lvlJc w:val="left"/>
      <w:pPr>
        <w:ind w:left="4320" w:hanging="360"/>
      </w:pPr>
      <w:rPr>
        <w:rFonts w:ascii="Wingdings" w:hAnsi="Wingdings" w:hint="default"/>
      </w:rPr>
    </w:lvl>
    <w:lvl w:ilvl="6" w:tplc="FAFC638E" w:tentative="1">
      <w:start w:val="1"/>
      <w:numFmt w:val="bullet"/>
      <w:lvlText w:val=""/>
      <w:lvlJc w:val="left"/>
      <w:pPr>
        <w:ind w:left="5040" w:hanging="360"/>
      </w:pPr>
      <w:rPr>
        <w:rFonts w:ascii="Symbol" w:hAnsi="Symbol" w:hint="default"/>
      </w:rPr>
    </w:lvl>
    <w:lvl w:ilvl="7" w:tplc="A5BCBD6C" w:tentative="1">
      <w:start w:val="1"/>
      <w:numFmt w:val="bullet"/>
      <w:lvlText w:val="o"/>
      <w:lvlJc w:val="left"/>
      <w:pPr>
        <w:ind w:left="5760" w:hanging="360"/>
      </w:pPr>
      <w:rPr>
        <w:rFonts w:ascii="Courier New" w:hAnsi="Courier New" w:cs="Courier New" w:hint="default"/>
      </w:rPr>
    </w:lvl>
    <w:lvl w:ilvl="8" w:tplc="7BF8721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43"/>
    <w:rsid w:val="00530943"/>
    <w:rsid w:val="005F3F5C"/>
    <w:rsid w:val="007447DF"/>
    <w:rsid w:val="00840CEA"/>
    <w:rsid w:val="009A5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4660"/>
  <w15:docId w15:val="{13BD3B6B-EEF2-48CB-AFCC-044BA755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F77A0-04C3-4BA3-BA5B-F6C0D63B25D9}">
  <ds:schemaRefs>
    <ds:schemaRef ds:uri="http://schemas.microsoft.com/sharepoint/v3/contenttype/forms"/>
  </ds:schemaRefs>
</ds:datastoreItem>
</file>

<file path=customXml/itemProps2.xml><?xml version="1.0" encoding="utf-8"?>
<ds:datastoreItem xmlns:ds="http://schemas.openxmlformats.org/officeDocument/2006/customXml" ds:itemID="{D53B2373-7BF4-4AFA-8E35-B8491671E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Springfield Public Schools Administrative Review Summary School Year 2021-2022</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2022-06-30T21:19:00Z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