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AACA8" w14:textId="77777777" w:rsidR="00CA19B4" w:rsidRPr="00200779" w:rsidRDefault="00780702"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CEE5024" w14:textId="77777777" w:rsidR="00CA19B4" w:rsidRDefault="00B0628B" w:rsidP="00CA19B4">
      <w:pPr>
        <w:jc w:val="center"/>
        <w:rPr>
          <w:rFonts w:ascii="Times New Roman" w:hAnsi="Times New Roman" w:cs="Times New Roman"/>
          <w:sz w:val="24"/>
          <w:szCs w:val="24"/>
        </w:rPr>
      </w:pPr>
    </w:p>
    <w:p w14:paraId="3D856E3D" w14:textId="77777777" w:rsidR="00CA19B4" w:rsidRDefault="00780702"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2E2E8FC" w14:textId="77777777" w:rsidR="00CA19B4" w:rsidRDefault="00B0628B" w:rsidP="00CA19B4">
      <w:pPr>
        <w:rPr>
          <w:rFonts w:ascii="Times New Roman" w:hAnsi="Times New Roman" w:cs="Times New Roman"/>
          <w:sz w:val="20"/>
          <w:szCs w:val="20"/>
        </w:rPr>
      </w:pPr>
    </w:p>
    <w:p w14:paraId="1610E8B0" w14:textId="77777777" w:rsidR="00CA19B4" w:rsidRDefault="00B0628B" w:rsidP="00CA19B4">
      <w:pPr>
        <w:rPr>
          <w:rFonts w:ascii="Times New Roman" w:hAnsi="Times New Roman" w:cs="Times New Roman"/>
          <w:sz w:val="20"/>
          <w:szCs w:val="20"/>
        </w:rPr>
      </w:pPr>
    </w:p>
    <w:p w14:paraId="21BB52F3" w14:textId="77777777" w:rsidR="00CA19B4" w:rsidRPr="00B63138" w:rsidRDefault="00780702"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Watertown Public Schools</w:t>
      </w:r>
      <w:bookmarkEnd w:id="0"/>
    </w:p>
    <w:p w14:paraId="2A69F1CC" w14:textId="77777777" w:rsidR="00CA19B4" w:rsidRDefault="00B0628B" w:rsidP="00CA19B4">
      <w:pPr>
        <w:rPr>
          <w:rFonts w:ascii="Times New Roman" w:hAnsi="Times New Roman" w:cs="Times New Roman"/>
          <w:sz w:val="20"/>
          <w:szCs w:val="20"/>
        </w:rPr>
      </w:pPr>
    </w:p>
    <w:p w14:paraId="3D6DD775" w14:textId="77777777" w:rsidR="00CA19B4" w:rsidRDefault="00780702"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02/10/2022</w:t>
      </w:r>
      <w:bookmarkEnd w:id="1"/>
    </w:p>
    <w:p w14:paraId="39EF6DC2" w14:textId="77777777" w:rsidR="00CA19B4" w:rsidRDefault="00B0628B" w:rsidP="00CA19B4">
      <w:pPr>
        <w:rPr>
          <w:rFonts w:ascii="Times New Roman" w:hAnsi="Times New Roman" w:cs="Times New Roman"/>
          <w:sz w:val="20"/>
          <w:szCs w:val="20"/>
        </w:rPr>
      </w:pPr>
    </w:p>
    <w:p w14:paraId="3152858B" w14:textId="77777777" w:rsidR="00CA19B4" w:rsidRDefault="00780702"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02/10/2022</w:t>
      </w:r>
      <w:bookmarkEnd w:id="2"/>
    </w:p>
    <w:p w14:paraId="45D9E5B6" w14:textId="77777777" w:rsidR="00CA19B4" w:rsidRDefault="00780702"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34E4425" w14:textId="77777777" w:rsidR="00CA19B4" w:rsidRDefault="00B0628B" w:rsidP="00CA19B4">
      <w:pPr>
        <w:pBdr>
          <w:bottom w:val="single" w:sz="12" w:space="1" w:color="auto"/>
        </w:pBdr>
        <w:rPr>
          <w:rFonts w:ascii="Times New Roman" w:hAnsi="Times New Roman" w:cs="Times New Roman"/>
          <w:sz w:val="20"/>
          <w:szCs w:val="20"/>
        </w:rPr>
      </w:pPr>
    </w:p>
    <w:p w14:paraId="7C990EC9" w14:textId="77777777" w:rsidR="00CA19B4" w:rsidRDefault="00780702"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6D942F0" w14:textId="77777777" w:rsidR="00CA19B4" w:rsidRDefault="00B0628B" w:rsidP="00CA19B4">
      <w:pPr>
        <w:rPr>
          <w:rFonts w:ascii="Times New Roman" w:hAnsi="Times New Roman" w:cs="Times New Roman"/>
          <w:sz w:val="20"/>
          <w:szCs w:val="20"/>
        </w:rPr>
      </w:pPr>
    </w:p>
    <w:p w14:paraId="27E9A5DD" w14:textId="77777777" w:rsidR="00CA19B4" w:rsidRPr="00223718" w:rsidRDefault="00780702"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98CDD5C" w14:textId="77777777" w:rsidR="00CA19B4" w:rsidRDefault="00B0628B" w:rsidP="00CA19B4">
      <w:pPr>
        <w:rPr>
          <w:rFonts w:ascii="Times New Roman" w:hAnsi="Times New Roman" w:cs="Times New Roman"/>
          <w:sz w:val="20"/>
          <w:szCs w:val="20"/>
        </w:rPr>
      </w:pPr>
    </w:p>
    <w:p w14:paraId="3C14F69A" w14:textId="77777777" w:rsidR="00CA19B4" w:rsidRDefault="0078070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B45462B" w14:textId="77777777" w:rsidR="00CA19B4" w:rsidRDefault="00B0628B" w:rsidP="00CA19B4">
      <w:pPr>
        <w:ind w:left="720"/>
        <w:rPr>
          <w:rFonts w:ascii="Times New Roman" w:hAnsi="Times New Roman" w:cs="Times New Roman"/>
          <w:sz w:val="20"/>
          <w:szCs w:val="20"/>
        </w:rPr>
      </w:pPr>
    </w:p>
    <w:bookmarkStart w:id="3" w:name="CHK_SBP"/>
    <w:p w14:paraId="7BA19963" w14:textId="77777777" w:rsidR="00CA19B4" w:rsidRDefault="0078070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0628B">
        <w:rPr>
          <w:rFonts w:ascii="Times New Roman" w:hAnsi="Times New Roman" w:cs="Times New Roman"/>
          <w:sz w:val="20"/>
          <w:szCs w:val="20"/>
        </w:rPr>
      </w:r>
      <w:r w:rsidR="00B0628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1866CE5" w14:textId="77777777" w:rsidR="00CA19B4" w:rsidRDefault="0078070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0628B">
        <w:rPr>
          <w:rFonts w:ascii="Times New Roman" w:hAnsi="Times New Roman" w:cs="Times New Roman"/>
          <w:sz w:val="20"/>
          <w:szCs w:val="20"/>
        </w:rPr>
      </w:r>
      <w:r w:rsidR="00B0628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D0C3F79" w14:textId="77777777" w:rsidR="00CA19B4" w:rsidRDefault="0078070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0628B">
        <w:rPr>
          <w:rFonts w:ascii="Times New Roman" w:hAnsi="Times New Roman" w:cs="Times New Roman"/>
          <w:sz w:val="20"/>
          <w:szCs w:val="20"/>
        </w:rPr>
      </w:r>
      <w:r w:rsidR="00B0628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9EBB3DC" w14:textId="77777777" w:rsidR="00CA19B4" w:rsidRDefault="0078070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0628B">
        <w:rPr>
          <w:rFonts w:ascii="Times New Roman" w:hAnsi="Times New Roman" w:cs="Times New Roman"/>
          <w:sz w:val="20"/>
          <w:szCs w:val="20"/>
        </w:rPr>
      </w:r>
      <w:r w:rsidR="00B0628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25FFF62" w14:textId="77777777" w:rsidR="00CA19B4" w:rsidRDefault="0078070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0628B">
        <w:rPr>
          <w:rFonts w:ascii="Times New Roman" w:hAnsi="Times New Roman" w:cs="Times New Roman"/>
          <w:sz w:val="20"/>
          <w:szCs w:val="20"/>
        </w:rPr>
      </w:r>
      <w:r w:rsidR="00B0628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7D54FF6" w14:textId="77777777" w:rsidR="00CA19B4" w:rsidRDefault="0078070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0628B">
        <w:rPr>
          <w:rFonts w:ascii="Times New Roman" w:hAnsi="Times New Roman" w:cs="Times New Roman"/>
          <w:sz w:val="20"/>
          <w:szCs w:val="20"/>
        </w:rPr>
      </w:r>
      <w:r w:rsidR="00B0628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D693F6B" w14:textId="77777777" w:rsidR="00CA19B4" w:rsidRDefault="00B0628B" w:rsidP="00CA19B4">
      <w:pPr>
        <w:rPr>
          <w:rFonts w:ascii="Times New Roman" w:hAnsi="Times New Roman" w:cs="Times New Roman"/>
          <w:sz w:val="20"/>
          <w:szCs w:val="20"/>
        </w:rPr>
      </w:pPr>
    </w:p>
    <w:p w14:paraId="79B2EEC5" w14:textId="77777777" w:rsidR="00CA19B4" w:rsidRDefault="0078070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07EE1FE" w14:textId="77777777" w:rsidR="00CA19B4" w:rsidRDefault="00B0628B" w:rsidP="00CA19B4">
      <w:pPr>
        <w:ind w:left="720"/>
        <w:rPr>
          <w:rFonts w:ascii="Times New Roman" w:hAnsi="Times New Roman" w:cs="Times New Roman"/>
          <w:sz w:val="20"/>
          <w:szCs w:val="20"/>
        </w:rPr>
      </w:pPr>
    </w:p>
    <w:bookmarkStart w:id="9" w:name="CHK_CEP"/>
    <w:p w14:paraId="7EB0B2CC" w14:textId="77777777" w:rsidR="00CA19B4" w:rsidRDefault="0078070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0628B">
        <w:rPr>
          <w:rFonts w:ascii="Times New Roman" w:hAnsi="Times New Roman" w:cs="Times New Roman"/>
          <w:sz w:val="20"/>
          <w:szCs w:val="20"/>
        </w:rPr>
      </w:r>
      <w:r w:rsidR="00B0628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BC84108" w14:textId="77777777" w:rsidR="00CA19B4" w:rsidRDefault="0078070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0628B">
        <w:rPr>
          <w:rFonts w:ascii="Times New Roman" w:hAnsi="Times New Roman" w:cs="Times New Roman"/>
          <w:sz w:val="20"/>
          <w:szCs w:val="20"/>
        </w:rPr>
      </w:r>
      <w:r w:rsidR="00B0628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C73B2BD" w14:textId="77777777" w:rsidR="00CA19B4" w:rsidRDefault="0078070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0628B">
        <w:rPr>
          <w:rFonts w:ascii="Times New Roman" w:hAnsi="Times New Roman" w:cs="Times New Roman"/>
          <w:sz w:val="20"/>
          <w:szCs w:val="20"/>
        </w:rPr>
      </w:r>
      <w:r w:rsidR="00B0628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D9CC689" w14:textId="77777777" w:rsidR="00CA19B4" w:rsidRDefault="0078070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0628B">
        <w:rPr>
          <w:rFonts w:ascii="Times New Roman" w:hAnsi="Times New Roman" w:cs="Times New Roman"/>
          <w:sz w:val="20"/>
          <w:szCs w:val="20"/>
        </w:rPr>
      </w:r>
      <w:r w:rsidR="00B0628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27979B8" w14:textId="77777777" w:rsidR="00CA19B4" w:rsidRDefault="00B0628B" w:rsidP="00CA19B4">
      <w:pPr>
        <w:rPr>
          <w:rFonts w:ascii="Times New Roman" w:hAnsi="Times New Roman" w:cs="Times New Roman"/>
          <w:sz w:val="20"/>
          <w:szCs w:val="20"/>
        </w:rPr>
      </w:pPr>
    </w:p>
    <w:p w14:paraId="793F5CBC" w14:textId="77777777" w:rsidR="00CA19B4" w:rsidRPr="00D6151F" w:rsidRDefault="00780702"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ED590C9" w14:textId="77777777" w:rsidR="00CA19B4" w:rsidRDefault="00B0628B" w:rsidP="00CA19B4">
      <w:pPr>
        <w:rPr>
          <w:rFonts w:ascii="Times New Roman" w:hAnsi="Times New Roman" w:cs="Times New Roman"/>
          <w:sz w:val="20"/>
          <w:szCs w:val="20"/>
        </w:rPr>
      </w:pPr>
    </w:p>
    <w:p w14:paraId="3220257E" w14:textId="77777777" w:rsidR="00CA19B4" w:rsidRDefault="0078070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64B2EA3" w14:textId="77777777" w:rsidR="00CA19B4" w:rsidRDefault="00780702"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B0628B">
        <w:rPr>
          <w:rFonts w:ascii="MS Gothic" w:eastAsia="MS Gothic" w:hAnsi="Times New Roman" w:cs="Times New Roman"/>
          <w:sz w:val="20"/>
          <w:szCs w:val="20"/>
        </w:rPr>
      </w:r>
      <w:r w:rsidR="00B0628B">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B0628B">
        <w:rPr>
          <w:rFonts w:ascii="MS Gothic" w:eastAsia="MS Gothic" w:hAnsi="Times New Roman" w:cs="Times New Roman"/>
          <w:sz w:val="20"/>
          <w:szCs w:val="20"/>
        </w:rPr>
      </w:r>
      <w:r w:rsidR="00B0628B">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D48F137" w14:textId="77777777" w:rsidR="00CA19B4" w:rsidRDefault="00B0628B" w:rsidP="00CA19B4">
      <w:pPr>
        <w:ind w:firstLine="720"/>
        <w:rPr>
          <w:rFonts w:ascii="Times New Roman" w:hAnsi="Times New Roman" w:cs="Times New Roman"/>
          <w:sz w:val="20"/>
          <w:szCs w:val="20"/>
        </w:rPr>
      </w:pPr>
    </w:p>
    <w:p w14:paraId="525AA831" w14:textId="77777777" w:rsidR="00CA19B4" w:rsidRDefault="00780702"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AF33823" w14:textId="77777777" w:rsidR="006D68B7" w:rsidRDefault="00B0628B">
      <w:pPr>
        <w:sectPr w:rsidR="006D68B7" w:rsidSect="005B420A">
          <w:footerReference w:type="default" r:id="rId10"/>
          <w:pgSz w:w="12240" w:h="15840"/>
          <w:pgMar w:top="1440" w:right="1440" w:bottom="1440" w:left="1440" w:header="720" w:footer="720" w:gutter="0"/>
          <w:cols w:space="720"/>
        </w:sectPr>
      </w:pPr>
    </w:p>
    <w:p w14:paraId="5FBD9CD6" w14:textId="77777777" w:rsidR="00A53CEA" w:rsidRDefault="00B0628B" w:rsidP="00A53CEA">
      <w:pPr>
        <w:pStyle w:val="Normal0"/>
        <w:ind w:firstLine="720"/>
        <w:rPr>
          <w:rFonts w:ascii="Times New Roman" w:hAnsi="Times New Roman" w:cs="Times New Roman"/>
          <w:sz w:val="20"/>
          <w:szCs w:val="20"/>
        </w:rPr>
      </w:pPr>
    </w:p>
    <w:p w14:paraId="08369CFB" w14:textId="77777777" w:rsidR="00A53CEA" w:rsidRPr="00C61944" w:rsidRDefault="00780702"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C0D9A" w14:paraId="1B9359FE" w14:textId="77777777" w:rsidTr="008175F8">
        <w:trPr>
          <w:trHeight w:val="37"/>
        </w:trPr>
        <w:tc>
          <w:tcPr>
            <w:tcW w:w="8545" w:type="dxa"/>
            <w:shd w:val="clear" w:color="auto" w:fill="31849B" w:themeFill="accent5" w:themeFillShade="BF"/>
          </w:tcPr>
          <w:p w14:paraId="3230F77E" w14:textId="77777777" w:rsidR="00A53CEA" w:rsidRPr="005B0132" w:rsidRDefault="00780702" w:rsidP="008175F8">
            <w:pPr>
              <w:pStyle w:val="Normal0"/>
              <w:rPr>
                <w:rFonts w:asciiTheme="minorHAnsi" w:hAnsiTheme="minorHAnsi" w:cstheme="minorHAnsi"/>
                <w:b/>
                <w:i/>
                <w:color w:val="DBE5F1" w:themeColor="accent1" w:themeTint="33"/>
                <w:sz w:val="32"/>
                <w:szCs w:val="20"/>
              </w:rPr>
            </w:pPr>
            <w:r>
              <w:t>Program Access and Reimbursement</w:t>
            </w:r>
          </w:p>
        </w:tc>
      </w:tr>
      <w:tr w:rsidR="00FC0D9A" w14:paraId="5E3F94E9" w14:textId="77777777" w:rsidTr="008175F8">
        <w:trPr>
          <w:trHeight w:val="37"/>
        </w:trPr>
        <w:tc>
          <w:tcPr>
            <w:tcW w:w="8545" w:type="dxa"/>
            <w:shd w:val="clear" w:color="auto" w:fill="D9D9D9" w:themeFill="background1" w:themeFillShade="D9"/>
          </w:tcPr>
          <w:p w14:paraId="7EF0281B" w14:textId="77777777" w:rsidR="00A53CEA" w:rsidRPr="0076532F" w:rsidRDefault="00780702" w:rsidP="008175F8">
            <w:pPr>
              <w:pStyle w:val="Normal0"/>
              <w:rPr>
                <w:rFonts w:ascii="Times New Roman" w:hAnsi="Times New Roman" w:cs="Times New Roman"/>
                <w:b/>
                <w:sz w:val="20"/>
                <w:szCs w:val="20"/>
              </w:rPr>
            </w:pPr>
            <w:r>
              <w:t>Verification</w:t>
            </w:r>
          </w:p>
        </w:tc>
      </w:tr>
      <w:tr w:rsidR="00FC0D9A" w14:paraId="6E92D0C9" w14:textId="77777777" w:rsidTr="008175F8">
        <w:trPr>
          <w:trHeight w:val="37"/>
        </w:trPr>
        <w:tc>
          <w:tcPr>
            <w:tcW w:w="8545" w:type="dxa"/>
            <w:shd w:val="clear" w:color="auto" w:fill="auto"/>
          </w:tcPr>
          <w:p w14:paraId="48408749" w14:textId="77777777" w:rsidR="00A53CEA" w:rsidRPr="005B0132" w:rsidRDefault="00780702" w:rsidP="00A53CEA">
            <w:pPr>
              <w:pStyle w:val="ListParagraph"/>
              <w:numPr>
                <w:ilvl w:val="0"/>
                <w:numId w:val="2"/>
              </w:numPr>
              <w:ind w:left="540"/>
              <w:rPr>
                <w:rFonts w:ascii="Times New Roman" w:hAnsi="Times New Roman" w:cs="Times New Roman"/>
                <w:sz w:val="20"/>
                <w:szCs w:val="20"/>
              </w:rPr>
            </w:pPr>
            <w:r>
              <w:t>The SFA did not update the eligibility status on the benefit issuance document(s) or POS for students whose eligibility changed due to verification according to regulations.</w:t>
            </w:r>
          </w:p>
        </w:tc>
      </w:tr>
      <w:tr w:rsidR="00FC0D9A" w14:paraId="437FC2DA" w14:textId="77777777" w:rsidTr="008175F8">
        <w:trPr>
          <w:trHeight w:val="37"/>
        </w:trPr>
        <w:tc>
          <w:tcPr>
            <w:tcW w:w="8545" w:type="dxa"/>
            <w:shd w:val="clear" w:color="auto" w:fill="D9D9D9" w:themeFill="background1" w:themeFillShade="D9"/>
          </w:tcPr>
          <w:p w14:paraId="1160A3FC" w14:textId="77777777" w:rsidR="00A53CEA" w:rsidRPr="0076532F" w:rsidRDefault="00780702" w:rsidP="008175F8">
            <w:pPr>
              <w:pStyle w:val="Normal0"/>
              <w:rPr>
                <w:rFonts w:ascii="Times New Roman" w:hAnsi="Times New Roman" w:cs="Times New Roman"/>
                <w:b/>
                <w:sz w:val="20"/>
                <w:szCs w:val="20"/>
              </w:rPr>
            </w:pPr>
            <w:r>
              <w:t>Meal Counting and Claiming</w:t>
            </w:r>
          </w:p>
        </w:tc>
      </w:tr>
      <w:tr w:rsidR="00FC0D9A" w14:paraId="4D7F9B30" w14:textId="77777777" w:rsidTr="008175F8">
        <w:trPr>
          <w:trHeight w:val="37"/>
        </w:trPr>
        <w:tc>
          <w:tcPr>
            <w:tcW w:w="8545" w:type="dxa"/>
            <w:shd w:val="clear" w:color="auto" w:fill="auto"/>
          </w:tcPr>
          <w:p w14:paraId="176309E7" w14:textId="77777777" w:rsidR="00A53CEA" w:rsidRPr="005B0132" w:rsidRDefault="00780702" w:rsidP="00A53CEA">
            <w:pPr>
              <w:pStyle w:val="ListParagraph"/>
              <w:numPr>
                <w:ilvl w:val="0"/>
                <w:numId w:val="2"/>
              </w:numPr>
              <w:ind w:left="540"/>
              <w:rPr>
                <w:rFonts w:ascii="Times New Roman" w:hAnsi="Times New Roman" w:cs="Times New Roman"/>
                <w:sz w:val="20"/>
                <w:szCs w:val="20"/>
              </w:rPr>
            </w:pPr>
            <w:r>
              <w:t xml:space="preserve">The counts for some or all of the schools were incorrectly consolidated and claimed by the SFA. The SFA must correctly record, </w:t>
            </w:r>
            <w:proofErr w:type="gramStart"/>
            <w:r>
              <w:t>consolidate</w:t>
            </w:r>
            <w:proofErr w:type="gramEnd"/>
            <w:r>
              <w:t xml:space="preserve"> and report those lunch and supplement counts on the Claim for Reimbursement.</w:t>
            </w:r>
          </w:p>
        </w:tc>
      </w:tr>
      <w:tr w:rsidR="00FC0D9A" w14:paraId="20FFAC2E" w14:textId="77777777" w:rsidTr="008175F8">
        <w:trPr>
          <w:trHeight w:val="37"/>
        </w:trPr>
        <w:tc>
          <w:tcPr>
            <w:tcW w:w="8545" w:type="dxa"/>
            <w:shd w:val="clear" w:color="auto" w:fill="auto"/>
          </w:tcPr>
          <w:p w14:paraId="33716A16" w14:textId="77777777" w:rsidR="00A53CEA" w:rsidRPr="005B0132" w:rsidRDefault="00780702"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FC0D9A" w14:paraId="5A5691C5" w14:textId="77777777" w:rsidTr="008175F8">
        <w:trPr>
          <w:trHeight w:val="37"/>
        </w:trPr>
        <w:tc>
          <w:tcPr>
            <w:tcW w:w="8545" w:type="dxa"/>
            <w:shd w:val="clear" w:color="auto" w:fill="31849B" w:themeFill="accent5" w:themeFillShade="BF"/>
          </w:tcPr>
          <w:p w14:paraId="0B7D208E" w14:textId="77777777" w:rsidR="00A53CEA" w:rsidRPr="005B0132" w:rsidRDefault="00780702" w:rsidP="008175F8">
            <w:pPr>
              <w:pStyle w:val="Normal0"/>
              <w:rPr>
                <w:rFonts w:asciiTheme="minorHAnsi" w:hAnsiTheme="minorHAnsi" w:cstheme="minorHAnsi"/>
                <w:b/>
                <w:i/>
                <w:color w:val="DBE5F1" w:themeColor="accent1" w:themeTint="33"/>
                <w:sz w:val="32"/>
                <w:szCs w:val="20"/>
              </w:rPr>
            </w:pPr>
            <w:r>
              <w:t>Meal Patterns and Nutritional Quality</w:t>
            </w:r>
          </w:p>
        </w:tc>
      </w:tr>
      <w:tr w:rsidR="00FC0D9A" w14:paraId="4B23D1FE" w14:textId="77777777" w:rsidTr="008175F8">
        <w:trPr>
          <w:trHeight w:val="37"/>
        </w:trPr>
        <w:tc>
          <w:tcPr>
            <w:tcW w:w="8545" w:type="dxa"/>
            <w:shd w:val="clear" w:color="auto" w:fill="D9D9D9" w:themeFill="background1" w:themeFillShade="D9"/>
          </w:tcPr>
          <w:p w14:paraId="46231685" w14:textId="77777777" w:rsidR="00A53CEA" w:rsidRPr="0076532F" w:rsidRDefault="00780702" w:rsidP="008175F8">
            <w:pPr>
              <w:pStyle w:val="Normal0"/>
              <w:rPr>
                <w:rFonts w:ascii="Times New Roman" w:hAnsi="Times New Roman" w:cs="Times New Roman"/>
                <w:b/>
                <w:sz w:val="20"/>
                <w:szCs w:val="20"/>
              </w:rPr>
            </w:pPr>
            <w:r>
              <w:t>Meal Components and Quantities</w:t>
            </w:r>
          </w:p>
        </w:tc>
      </w:tr>
      <w:tr w:rsidR="00FC0D9A" w14:paraId="6D840501" w14:textId="77777777" w:rsidTr="008175F8">
        <w:trPr>
          <w:trHeight w:val="37"/>
        </w:trPr>
        <w:tc>
          <w:tcPr>
            <w:tcW w:w="8545" w:type="dxa"/>
            <w:shd w:val="clear" w:color="auto" w:fill="auto"/>
          </w:tcPr>
          <w:p w14:paraId="383BE9C5" w14:textId="77777777" w:rsidR="00A53CEA" w:rsidRPr="005B0132" w:rsidRDefault="00780702"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w:t>
            </w:r>
          </w:p>
        </w:tc>
      </w:tr>
      <w:tr w:rsidR="00FC0D9A" w14:paraId="0D8819CF" w14:textId="77777777" w:rsidTr="008175F8">
        <w:trPr>
          <w:trHeight w:val="37"/>
        </w:trPr>
        <w:tc>
          <w:tcPr>
            <w:tcW w:w="8545" w:type="dxa"/>
            <w:shd w:val="clear" w:color="auto" w:fill="D9D9D9" w:themeFill="background1" w:themeFillShade="D9"/>
          </w:tcPr>
          <w:p w14:paraId="7CC0DA6A" w14:textId="77777777" w:rsidR="00A53CEA" w:rsidRPr="0076532F" w:rsidRDefault="00780702" w:rsidP="008175F8">
            <w:pPr>
              <w:pStyle w:val="Normal0"/>
              <w:rPr>
                <w:rFonts w:ascii="Times New Roman" w:hAnsi="Times New Roman" w:cs="Times New Roman"/>
                <w:b/>
                <w:sz w:val="20"/>
                <w:szCs w:val="20"/>
              </w:rPr>
            </w:pPr>
            <w:r>
              <w:t>Offer versus Serve</w:t>
            </w:r>
          </w:p>
        </w:tc>
      </w:tr>
      <w:tr w:rsidR="00FC0D9A" w14:paraId="39782E35" w14:textId="77777777" w:rsidTr="008175F8">
        <w:trPr>
          <w:trHeight w:val="37"/>
        </w:trPr>
        <w:tc>
          <w:tcPr>
            <w:tcW w:w="8545" w:type="dxa"/>
            <w:shd w:val="clear" w:color="auto" w:fill="auto"/>
          </w:tcPr>
          <w:p w14:paraId="3952D312" w14:textId="77777777" w:rsidR="00A53CEA" w:rsidRPr="005B0132" w:rsidRDefault="00780702"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Under OVS, students must be allowed to decline two components at lunch, except that the students must select at least 1/2 cup of either the fruit or vegetable component. Senior high schools must participate in offer versus serve. Schools below the senior high level may participate in offer versus serve at the discretion of the school food authority.</w:t>
            </w:r>
          </w:p>
        </w:tc>
      </w:tr>
      <w:tr w:rsidR="00FC0D9A" w14:paraId="3487F694" w14:textId="77777777" w:rsidTr="008175F8">
        <w:trPr>
          <w:trHeight w:val="37"/>
        </w:trPr>
        <w:tc>
          <w:tcPr>
            <w:tcW w:w="8545" w:type="dxa"/>
            <w:shd w:val="clear" w:color="auto" w:fill="31849B" w:themeFill="accent5" w:themeFillShade="BF"/>
          </w:tcPr>
          <w:p w14:paraId="52918AD5" w14:textId="77777777" w:rsidR="00A53CEA" w:rsidRPr="005B0132" w:rsidRDefault="00780702" w:rsidP="008175F8">
            <w:pPr>
              <w:pStyle w:val="Normal0"/>
              <w:rPr>
                <w:rFonts w:asciiTheme="minorHAnsi" w:hAnsiTheme="minorHAnsi" w:cstheme="minorHAnsi"/>
                <w:b/>
                <w:i/>
                <w:color w:val="DBE5F1" w:themeColor="accent1" w:themeTint="33"/>
                <w:sz w:val="32"/>
                <w:szCs w:val="20"/>
              </w:rPr>
            </w:pPr>
            <w:r>
              <w:t>School Nutrition Environment</w:t>
            </w:r>
          </w:p>
        </w:tc>
      </w:tr>
      <w:tr w:rsidR="00FC0D9A" w14:paraId="53683B6D" w14:textId="77777777" w:rsidTr="008175F8">
        <w:trPr>
          <w:trHeight w:val="37"/>
        </w:trPr>
        <w:tc>
          <w:tcPr>
            <w:tcW w:w="8545" w:type="dxa"/>
            <w:shd w:val="clear" w:color="auto" w:fill="D9D9D9" w:themeFill="background1" w:themeFillShade="D9"/>
          </w:tcPr>
          <w:p w14:paraId="5F0B6681" w14:textId="77777777" w:rsidR="00A53CEA" w:rsidRPr="0076532F" w:rsidRDefault="00780702" w:rsidP="008175F8">
            <w:pPr>
              <w:pStyle w:val="Normal0"/>
              <w:rPr>
                <w:rFonts w:ascii="Times New Roman" w:hAnsi="Times New Roman" w:cs="Times New Roman"/>
                <w:b/>
                <w:sz w:val="20"/>
                <w:szCs w:val="20"/>
              </w:rPr>
            </w:pPr>
            <w:r>
              <w:t>Food Safety</w:t>
            </w:r>
          </w:p>
        </w:tc>
      </w:tr>
      <w:tr w:rsidR="00FC0D9A" w14:paraId="431C1210" w14:textId="77777777" w:rsidTr="008175F8">
        <w:trPr>
          <w:trHeight w:val="37"/>
        </w:trPr>
        <w:tc>
          <w:tcPr>
            <w:tcW w:w="8545" w:type="dxa"/>
            <w:shd w:val="clear" w:color="auto" w:fill="auto"/>
          </w:tcPr>
          <w:p w14:paraId="60BCB942" w14:textId="77777777" w:rsidR="00A53CEA" w:rsidRPr="005B0132" w:rsidRDefault="00780702"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There is limited documentation to determine if domestic alternatives were considered and if an exception was granted by the SFA because the agricultural food component is not produced or manufactured in the U.S. in sufficient and reasonably available quantities of a satisfactory quality or competitive bids reveal the costs of domestic agricultural food components are significantly higher than the non-domestic ones.</w:t>
            </w:r>
          </w:p>
        </w:tc>
      </w:tr>
      <w:tr w:rsidR="00FC0D9A" w14:paraId="08ABFC62" w14:textId="77777777" w:rsidTr="008175F8">
        <w:trPr>
          <w:trHeight w:val="37"/>
        </w:trPr>
        <w:tc>
          <w:tcPr>
            <w:tcW w:w="8545" w:type="dxa"/>
            <w:shd w:val="clear" w:color="auto" w:fill="auto"/>
          </w:tcPr>
          <w:p w14:paraId="26EDB7AC" w14:textId="77777777" w:rsidR="00A53CEA" w:rsidRPr="005B0132" w:rsidRDefault="00780702"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FC0D9A" w14:paraId="4F767333" w14:textId="77777777" w:rsidTr="008175F8">
        <w:trPr>
          <w:trHeight w:val="37"/>
        </w:trPr>
        <w:tc>
          <w:tcPr>
            <w:tcW w:w="8545" w:type="dxa"/>
            <w:shd w:val="clear" w:color="auto" w:fill="auto"/>
          </w:tcPr>
          <w:p w14:paraId="48FDE63C" w14:textId="77777777" w:rsidR="00A53CEA" w:rsidRPr="005B0132" w:rsidRDefault="00780702" w:rsidP="00A53CEA">
            <w:pPr>
              <w:pStyle w:val="ListParagraph"/>
              <w:numPr>
                <w:ilvl w:val="0"/>
                <w:numId w:val="2"/>
              </w:numPr>
              <w:ind w:left="540"/>
              <w:rPr>
                <w:rFonts w:ascii="Times New Roman" w:hAnsi="Times New Roman" w:cs="Times New Roman"/>
                <w:sz w:val="20"/>
                <w:szCs w:val="20"/>
              </w:rPr>
            </w:pPr>
            <w:r>
              <w:t>Foodservice workers are not properly attired. Foodservice employees must wear clean outer clothing to prevent contamination.; The SFA did not provide an adequate written food safety program that covers any facility or part of a facility where food is stored, prepared, or served. The food safety program must meet the program requirements; The SFA's standard operating procedures (SOPs) were not implemented. A school food authority with a food safety program must implement traditional hazard analysis and critical control point (HACCP) principles.</w:t>
            </w:r>
          </w:p>
        </w:tc>
      </w:tr>
      <w:tr w:rsidR="00FC0D9A" w14:paraId="1E398F11" w14:textId="77777777" w:rsidTr="008175F8">
        <w:trPr>
          <w:trHeight w:val="37"/>
        </w:trPr>
        <w:tc>
          <w:tcPr>
            <w:tcW w:w="8545" w:type="dxa"/>
            <w:shd w:val="clear" w:color="auto" w:fill="auto"/>
          </w:tcPr>
          <w:p w14:paraId="0E2E387B" w14:textId="77777777" w:rsidR="00A53CEA" w:rsidRPr="005B0132" w:rsidRDefault="00780702" w:rsidP="00A53CEA">
            <w:pPr>
              <w:pStyle w:val="ListParagraph"/>
              <w:numPr>
                <w:ilvl w:val="0"/>
                <w:numId w:val="2"/>
              </w:numPr>
              <w:ind w:left="540"/>
              <w:rPr>
                <w:rFonts w:ascii="Times New Roman" w:hAnsi="Times New Roman" w:cs="Times New Roman"/>
                <w:sz w:val="20"/>
                <w:szCs w:val="20"/>
              </w:rPr>
            </w:pPr>
            <w:r>
              <w:lastRenderedPageBreak/>
              <w:t>One or more foodservice employees have not been trained on fire extinguisher procedures. All foodservice employees must be trained to use the fire extinguisher(s).</w:t>
            </w:r>
          </w:p>
        </w:tc>
      </w:tr>
      <w:tr w:rsidR="00FC0D9A" w14:paraId="207A2390" w14:textId="77777777" w:rsidTr="008175F8">
        <w:trPr>
          <w:trHeight w:val="37"/>
        </w:trPr>
        <w:tc>
          <w:tcPr>
            <w:tcW w:w="8545" w:type="dxa"/>
            <w:shd w:val="clear" w:color="auto" w:fill="D9D9D9" w:themeFill="background1" w:themeFillShade="D9"/>
          </w:tcPr>
          <w:p w14:paraId="2132447D" w14:textId="77777777" w:rsidR="00A53CEA" w:rsidRPr="0076532F" w:rsidRDefault="00780702" w:rsidP="008175F8">
            <w:pPr>
              <w:pStyle w:val="Normal0"/>
              <w:rPr>
                <w:rFonts w:ascii="Times New Roman" w:hAnsi="Times New Roman" w:cs="Times New Roman"/>
                <w:b/>
                <w:sz w:val="20"/>
                <w:szCs w:val="20"/>
              </w:rPr>
            </w:pPr>
            <w:r>
              <w:t>Local School Wellness Policy</w:t>
            </w:r>
          </w:p>
        </w:tc>
      </w:tr>
      <w:tr w:rsidR="00FC0D9A" w14:paraId="5852411E" w14:textId="77777777" w:rsidTr="008175F8">
        <w:trPr>
          <w:trHeight w:val="37"/>
        </w:trPr>
        <w:tc>
          <w:tcPr>
            <w:tcW w:w="8545" w:type="dxa"/>
            <w:shd w:val="clear" w:color="auto" w:fill="auto"/>
          </w:tcPr>
          <w:p w14:paraId="08B30EFA" w14:textId="77777777" w:rsidR="00A53CEA" w:rsidRPr="005B0132" w:rsidRDefault="00780702"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FC0D9A" w14:paraId="199BB158" w14:textId="77777777" w:rsidTr="008175F8">
        <w:trPr>
          <w:trHeight w:val="37"/>
        </w:trPr>
        <w:tc>
          <w:tcPr>
            <w:tcW w:w="8545" w:type="dxa"/>
            <w:shd w:val="clear" w:color="auto" w:fill="D9D9D9" w:themeFill="background1" w:themeFillShade="D9"/>
          </w:tcPr>
          <w:p w14:paraId="669913DB" w14:textId="77777777" w:rsidR="00A53CEA" w:rsidRPr="0076532F" w:rsidRDefault="00780702" w:rsidP="008175F8">
            <w:pPr>
              <w:pStyle w:val="Normal0"/>
              <w:rPr>
                <w:rFonts w:ascii="Times New Roman" w:hAnsi="Times New Roman" w:cs="Times New Roman"/>
                <w:b/>
                <w:sz w:val="20"/>
                <w:szCs w:val="20"/>
              </w:rPr>
            </w:pPr>
            <w:r>
              <w:t>Smart Snacks</w:t>
            </w:r>
          </w:p>
        </w:tc>
      </w:tr>
      <w:tr w:rsidR="00FC0D9A" w14:paraId="6BC2A1CD" w14:textId="77777777" w:rsidTr="008175F8">
        <w:trPr>
          <w:trHeight w:val="37"/>
        </w:trPr>
        <w:tc>
          <w:tcPr>
            <w:tcW w:w="8545" w:type="dxa"/>
            <w:shd w:val="clear" w:color="auto" w:fill="auto"/>
          </w:tcPr>
          <w:p w14:paraId="04EF4F52" w14:textId="77777777" w:rsidR="00A53CEA" w:rsidRPr="005B0132" w:rsidRDefault="00780702" w:rsidP="00A53CEA">
            <w:pPr>
              <w:pStyle w:val="ListParagraph"/>
              <w:numPr>
                <w:ilvl w:val="0"/>
                <w:numId w:val="2"/>
              </w:numPr>
              <w:ind w:left="540"/>
              <w:rPr>
                <w:rFonts w:ascii="Times New Roman" w:hAnsi="Times New Roman" w:cs="Times New Roman"/>
                <w:sz w:val="20"/>
                <w:szCs w:val="20"/>
              </w:rPr>
            </w:pPr>
            <w:r>
              <w:t>Foods/beverages sold to students in the cafeteria do not meet Smart Snacks standards; Foods/beverages sold to students in Vending Machines do not meet Smart Snacks standards.; Some or all of the food and beverages sold to students during the school day, did not meet the Competitive Food standards. All competitive food sold to students on the school campus during the school day must meet the nutrition standards specified. These standards apply to items as packaged and served to students.</w:t>
            </w:r>
          </w:p>
        </w:tc>
      </w:tr>
    </w:tbl>
    <w:p w14:paraId="24C62B56" w14:textId="77777777" w:rsidR="00A53CEA" w:rsidRPr="00223718" w:rsidRDefault="00B0628B" w:rsidP="00A53CEA">
      <w:pPr>
        <w:pStyle w:val="Normal0"/>
        <w:rPr>
          <w:rFonts w:ascii="Times New Roman" w:hAnsi="Times New Roman" w:cs="Times New Roman"/>
          <w:sz w:val="20"/>
          <w:szCs w:val="20"/>
        </w:rPr>
      </w:pPr>
    </w:p>
    <w:p w14:paraId="61795171" w14:textId="77777777" w:rsidR="00A53CEA" w:rsidRDefault="00B0628B" w:rsidP="00A53CEA">
      <w:pPr>
        <w:pStyle w:val="Normal0"/>
      </w:pPr>
    </w:p>
    <w:p w14:paraId="063635AB" w14:textId="77777777" w:rsidR="006D68B7" w:rsidRDefault="00B0628B">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C2112" w14:textId="77777777" w:rsidR="00B0628B" w:rsidRDefault="00B0628B">
      <w:r>
        <w:separator/>
      </w:r>
    </w:p>
  </w:endnote>
  <w:endnote w:type="continuationSeparator" w:id="0">
    <w:p w14:paraId="4F6002F1" w14:textId="77777777" w:rsidR="00B0628B" w:rsidRDefault="00B0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AEFC7" w14:textId="77777777" w:rsidR="0037068A" w:rsidRDefault="00780702" w:rsidP="000F3A03">
    <w:pPr>
      <w:pStyle w:val="Footer"/>
      <w:jc w:val="center"/>
      <w:rPr>
        <w:sz w:val="14"/>
      </w:rPr>
    </w:pPr>
    <w:r>
      <w:rPr>
        <w:sz w:val="14"/>
      </w:rPr>
      <w:t>This institution is an equal opportunity provider</w:t>
    </w:r>
  </w:p>
  <w:p w14:paraId="6A6D9DB3" w14:textId="77777777" w:rsidR="0037068A" w:rsidRDefault="00B06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31BD6" w14:textId="77777777" w:rsidR="0037068A" w:rsidRDefault="00780702" w:rsidP="000F3A03">
    <w:pPr>
      <w:pStyle w:val="Footer0"/>
      <w:jc w:val="center"/>
      <w:rPr>
        <w:sz w:val="14"/>
      </w:rPr>
    </w:pPr>
    <w:r>
      <w:rPr>
        <w:sz w:val="14"/>
      </w:rPr>
      <w:t>This institution is an equal opportunity provider</w:t>
    </w:r>
  </w:p>
  <w:p w14:paraId="068F83E3" w14:textId="77777777" w:rsidR="0037068A" w:rsidRDefault="00B0628B">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AF7E2" w14:textId="77777777" w:rsidR="00B0628B" w:rsidRDefault="00B0628B">
      <w:r>
        <w:separator/>
      </w:r>
    </w:p>
  </w:footnote>
  <w:footnote w:type="continuationSeparator" w:id="0">
    <w:p w14:paraId="45660437" w14:textId="77777777" w:rsidR="00B0628B" w:rsidRDefault="00B06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360E41D4">
      <w:start w:val="1"/>
      <w:numFmt w:val="decimal"/>
      <w:lvlText w:val="%1."/>
      <w:lvlJc w:val="left"/>
      <w:pPr>
        <w:ind w:left="720" w:hanging="360"/>
      </w:pPr>
      <w:rPr>
        <w:rFonts w:hint="default"/>
      </w:rPr>
    </w:lvl>
    <w:lvl w:ilvl="1" w:tplc="AC9433D0" w:tentative="1">
      <w:start w:val="1"/>
      <w:numFmt w:val="lowerLetter"/>
      <w:lvlText w:val="%2."/>
      <w:lvlJc w:val="left"/>
      <w:pPr>
        <w:ind w:left="1440" w:hanging="360"/>
      </w:pPr>
    </w:lvl>
    <w:lvl w:ilvl="2" w:tplc="29503BC0" w:tentative="1">
      <w:start w:val="1"/>
      <w:numFmt w:val="lowerRoman"/>
      <w:lvlText w:val="%3."/>
      <w:lvlJc w:val="right"/>
      <w:pPr>
        <w:ind w:left="2160" w:hanging="180"/>
      </w:pPr>
    </w:lvl>
    <w:lvl w:ilvl="3" w:tplc="8D740EAC" w:tentative="1">
      <w:start w:val="1"/>
      <w:numFmt w:val="decimal"/>
      <w:lvlText w:val="%4."/>
      <w:lvlJc w:val="left"/>
      <w:pPr>
        <w:ind w:left="2880" w:hanging="360"/>
      </w:pPr>
    </w:lvl>
    <w:lvl w:ilvl="4" w:tplc="4FC8FD60" w:tentative="1">
      <w:start w:val="1"/>
      <w:numFmt w:val="lowerLetter"/>
      <w:lvlText w:val="%5."/>
      <w:lvlJc w:val="left"/>
      <w:pPr>
        <w:ind w:left="3600" w:hanging="360"/>
      </w:pPr>
    </w:lvl>
    <w:lvl w:ilvl="5" w:tplc="D03E5096" w:tentative="1">
      <w:start w:val="1"/>
      <w:numFmt w:val="lowerRoman"/>
      <w:lvlText w:val="%6."/>
      <w:lvlJc w:val="right"/>
      <w:pPr>
        <w:ind w:left="4320" w:hanging="180"/>
      </w:pPr>
    </w:lvl>
    <w:lvl w:ilvl="6" w:tplc="F2B253F2" w:tentative="1">
      <w:start w:val="1"/>
      <w:numFmt w:val="decimal"/>
      <w:lvlText w:val="%7."/>
      <w:lvlJc w:val="left"/>
      <w:pPr>
        <w:ind w:left="5040" w:hanging="360"/>
      </w:pPr>
    </w:lvl>
    <w:lvl w:ilvl="7" w:tplc="BEDA2448" w:tentative="1">
      <w:start w:val="1"/>
      <w:numFmt w:val="lowerLetter"/>
      <w:lvlText w:val="%8."/>
      <w:lvlJc w:val="left"/>
      <w:pPr>
        <w:ind w:left="5760" w:hanging="360"/>
      </w:pPr>
    </w:lvl>
    <w:lvl w:ilvl="8" w:tplc="5A70ED5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83606D16">
      <w:start w:val="1"/>
      <w:numFmt w:val="bullet"/>
      <w:lvlText w:val=""/>
      <w:lvlJc w:val="left"/>
      <w:pPr>
        <w:ind w:left="720" w:hanging="360"/>
      </w:pPr>
      <w:rPr>
        <w:rFonts w:ascii="Symbol" w:hAnsi="Symbol" w:hint="default"/>
      </w:rPr>
    </w:lvl>
    <w:lvl w:ilvl="1" w:tplc="4B7AF9F2" w:tentative="1">
      <w:start w:val="1"/>
      <w:numFmt w:val="bullet"/>
      <w:lvlText w:val="o"/>
      <w:lvlJc w:val="left"/>
      <w:pPr>
        <w:ind w:left="1440" w:hanging="360"/>
      </w:pPr>
      <w:rPr>
        <w:rFonts w:ascii="Courier New" w:hAnsi="Courier New" w:cs="Courier New" w:hint="default"/>
      </w:rPr>
    </w:lvl>
    <w:lvl w:ilvl="2" w:tplc="7820E5E2" w:tentative="1">
      <w:start w:val="1"/>
      <w:numFmt w:val="bullet"/>
      <w:lvlText w:val=""/>
      <w:lvlJc w:val="left"/>
      <w:pPr>
        <w:ind w:left="2160" w:hanging="360"/>
      </w:pPr>
      <w:rPr>
        <w:rFonts w:ascii="Wingdings" w:hAnsi="Wingdings" w:hint="default"/>
      </w:rPr>
    </w:lvl>
    <w:lvl w:ilvl="3" w:tplc="9646943E" w:tentative="1">
      <w:start w:val="1"/>
      <w:numFmt w:val="bullet"/>
      <w:lvlText w:val=""/>
      <w:lvlJc w:val="left"/>
      <w:pPr>
        <w:ind w:left="2880" w:hanging="360"/>
      </w:pPr>
      <w:rPr>
        <w:rFonts w:ascii="Symbol" w:hAnsi="Symbol" w:hint="default"/>
      </w:rPr>
    </w:lvl>
    <w:lvl w:ilvl="4" w:tplc="86F03510" w:tentative="1">
      <w:start w:val="1"/>
      <w:numFmt w:val="bullet"/>
      <w:lvlText w:val="o"/>
      <w:lvlJc w:val="left"/>
      <w:pPr>
        <w:ind w:left="3600" w:hanging="360"/>
      </w:pPr>
      <w:rPr>
        <w:rFonts w:ascii="Courier New" w:hAnsi="Courier New" w:cs="Courier New" w:hint="default"/>
      </w:rPr>
    </w:lvl>
    <w:lvl w:ilvl="5" w:tplc="2756598E" w:tentative="1">
      <w:start w:val="1"/>
      <w:numFmt w:val="bullet"/>
      <w:lvlText w:val=""/>
      <w:lvlJc w:val="left"/>
      <w:pPr>
        <w:ind w:left="4320" w:hanging="360"/>
      </w:pPr>
      <w:rPr>
        <w:rFonts w:ascii="Wingdings" w:hAnsi="Wingdings" w:hint="default"/>
      </w:rPr>
    </w:lvl>
    <w:lvl w:ilvl="6" w:tplc="06CC3870" w:tentative="1">
      <w:start w:val="1"/>
      <w:numFmt w:val="bullet"/>
      <w:lvlText w:val=""/>
      <w:lvlJc w:val="left"/>
      <w:pPr>
        <w:ind w:left="5040" w:hanging="360"/>
      </w:pPr>
      <w:rPr>
        <w:rFonts w:ascii="Symbol" w:hAnsi="Symbol" w:hint="default"/>
      </w:rPr>
    </w:lvl>
    <w:lvl w:ilvl="7" w:tplc="98B4BD3C" w:tentative="1">
      <w:start w:val="1"/>
      <w:numFmt w:val="bullet"/>
      <w:lvlText w:val="o"/>
      <w:lvlJc w:val="left"/>
      <w:pPr>
        <w:ind w:left="5760" w:hanging="360"/>
      </w:pPr>
      <w:rPr>
        <w:rFonts w:ascii="Courier New" w:hAnsi="Courier New" w:cs="Courier New" w:hint="default"/>
      </w:rPr>
    </w:lvl>
    <w:lvl w:ilvl="8" w:tplc="436E300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9A"/>
    <w:rsid w:val="000F2548"/>
    <w:rsid w:val="00780702"/>
    <w:rsid w:val="00B0628B"/>
    <w:rsid w:val="00CD3591"/>
    <w:rsid w:val="00FC0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6F89"/>
  <w15:docId w15:val="{6257C54F-C69F-4B68-9654-368519A5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2E6BD-9551-4F88-9D5E-F757464E36B9}">
  <ds:schemaRefs>
    <ds:schemaRef ds:uri="http://schemas.microsoft.com/sharepoint/v3/contenttype/forms"/>
  </ds:schemaRefs>
</ds:datastoreItem>
</file>

<file path=customXml/itemProps2.xml><?xml version="1.0" encoding="utf-8"?>
<ds:datastoreItem xmlns:ds="http://schemas.openxmlformats.org/officeDocument/2006/customXml" ds:itemID="{4021BD3E-F814-45CD-A294-37E228B947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9836F3-AF82-4C47-B4CF-5E1B4FDEF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Administrative Review Summary School Year 2021-2022</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Watertown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2022-03-23T13:56:00Z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2022</vt:lpwstr>
  </property>
</Properties>
</file>