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6C3E" w14:textId="77777777" w:rsidR="00CA19B4" w:rsidRPr="00200779" w:rsidRDefault="005A05F5"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6275904" w14:textId="77777777" w:rsidR="00CA19B4" w:rsidRDefault="00000000" w:rsidP="00CA19B4">
      <w:pPr>
        <w:jc w:val="center"/>
        <w:rPr>
          <w:rFonts w:ascii="Times New Roman" w:hAnsi="Times New Roman" w:cs="Times New Roman"/>
          <w:sz w:val="24"/>
          <w:szCs w:val="24"/>
        </w:rPr>
      </w:pPr>
    </w:p>
    <w:p w14:paraId="5E8EEE21" w14:textId="77777777" w:rsidR="00CA19B4" w:rsidRDefault="005A05F5"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C52559C" w14:textId="77777777" w:rsidR="00CA19B4" w:rsidRDefault="00000000" w:rsidP="00CA19B4">
      <w:pPr>
        <w:rPr>
          <w:rFonts w:ascii="Times New Roman" w:hAnsi="Times New Roman" w:cs="Times New Roman"/>
          <w:sz w:val="20"/>
          <w:szCs w:val="20"/>
        </w:rPr>
      </w:pPr>
    </w:p>
    <w:p w14:paraId="6DAB118B" w14:textId="77777777" w:rsidR="00CA19B4" w:rsidRDefault="00000000" w:rsidP="00CA19B4">
      <w:pPr>
        <w:rPr>
          <w:rFonts w:ascii="Times New Roman" w:hAnsi="Times New Roman" w:cs="Times New Roman"/>
          <w:sz w:val="20"/>
          <w:szCs w:val="20"/>
        </w:rPr>
      </w:pPr>
    </w:p>
    <w:p w14:paraId="56CCF376" w14:textId="77777777" w:rsidR="00CA19B4" w:rsidRPr="00B63138" w:rsidRDefault="005A05F5"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Haverhill Public Schools</w:t>
      </w:r>
      <w:bookmarkEnd w:id="0"/>
    </w:p>
    <w:p w14:paraId="0FA4DA59" w14:textId="77777777" w:rsidR="00CA19B4" w:rsidRDefault="00000000" w:rsidP="00CA19B4">
      <w:pPr>
        <w:rPr>
          <w:rFonts w:ascii="Times New Roman" w:hAnsi="Times New Roman" w:cs="Times New Roman"/>
          <w:sz w:val="20"/>
          <w:szCs w:val="20"/>
        </w:rPr>
      </w:pPr>
    </w:p>
    <w:p w14:paraId="42595210" w14:textId="77777777" w:rsidR="00CA19B4" w:rsidRDefault="005A05F5"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03/07/2023</w:t>
      </w:r>
      <w:bookmarkEnd w:id="1"/>
    </w:p>
    <w:p w14:paraId="77ADFF75" w14:textId="77777777" w:rsidR="00CA19B4" w:rsidRDefault="00000000" w:rsidP="00CA19B4">
      <w:pPr>
        <w:rPr>
          <w:rFonts w:ascii="Times New Roman" w:hAnsi="Times New Roman" w:cs="Times New Roman"/>
          <w:sz w:val="20"/>
          <w:szCs w:val="20"/>
        </w:rPr>
      </w:pPr>
    </w:p>
    <w:p w14:paraId="692E2EED" w14:textId="77777777" w:rsidR="00CA19B4" w:rsidRDefault="005A05F5"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03/08/2023</w:t>
      </w:r>
      <w:bookmarkEnd w:id="2"/>
      <w:proofErr w:type="gramEnd"/>
    </w:p>
    <w:p w14:paraId="2BCB2B04" w14:textId="77777777" w:rsidR="00CA19B4" w:rsidRDefault="005A05F5"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C3E0807" w14:textId="77777777" w:rsidR="00CA19B4" w:rsidRDefault="00000000" w:rsidP="00CA19B4">
      <w:pPr>
        <w:pBdr>
          <w:bottom w:val="single" w:sz="12" w:space="1" w:color="auto"/>
        </w:pBdr>
        <w:rPr>
          <w:rFonts w:ascii="Times New Roman" w:hAnsi="Times New Roman" w:cs="Times New Roman"/>
          <w:sz w:val="20"/>
          <w:szCs w:val="20"/>
        </w:rPr>
      </w:pPr>
    </w:p>
    <w:p w14:paraId="62C6CAA2" w14:textId="77777777" w:rsidR="00CA19B4" w:rsidRDefault="005A05F5"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F589DBC" w14:textId="77777777" w:rsidR="00CA19B4" w:rsidRDefault="00000000" w:rsidP="00CA19B4">
      <w:pPr>
        <w:rPr>
          <w:rFonts w:ascii="Times New Roman" w:hAnsi="Times New Roman" w:cs="Times New Roman"/>
          <w:sz w:val="20"/>
          <w:szCs w:val="20"/>
        </w:rPr>
      </w:pPr>
    </w:p>
    <w:p w14:paraId="05A8434A" w14:textId="77777777" w:rsidR="00CA19B4" w:rsidRPr="00223718" w:rsidRDefault="005A05F5"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32A2974" w14:textId="77777777" w:rsidR="00CA19B4" w:rsidRDefault="00000000" w:rsidP="00CA19B4">
      <w:pPr>
        <w:rPr>
          <w:rFonts w:ascii="Times New Roman" w:hAnsi="Times New Roman" w:cs="Times New Roman"/>
          <w:sz w:val="20"/>
          <w:szCs w:val="20"/>
        </w:rPr>
      </w:pPr>
    </w:p>
    <w:p w14:paraId="23850A21" w14:textId="77777777" w:rsidR="00CA19B4" w:rsidRDefault="005A05F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1E2564D" w14:textId="77777777" w:rsidR="00CA19B4" w:rsidRDefault="00000000" w:rsidP="00CA19B4">
      <w:pPr>
        <w:ind w:left="720"/>
        <w:rPr>
          <w:rFonts w:ascii="Times New Roman" w:hAnsi="Times New Roman" w:cs="Times New Roman"/>
          <w:sz w:val="20"/>
          <w:szCs w:val="20"/>
        </w:rPr>
      </w:pPr>
    </w:p>
    <w:bookmarkStart w:id="3" w:name="CHK_SBP"/>
    <w:p w14:paraId="2315984C" w14:textId="77777777" w:rsidR="00CA19B4" w:rsidRDefault="005A05F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E806AA9" w14:textId="77777777" w:rsidR="00CA19B4" w:rsidRDefault="005A05F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F88A112" w14:textId="77777777" w:rsidR="00CA19B4" w:rsidRDefault="005A05F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7981AE9" w14:textId="77777777" w:rsidR="00CA19B4" w:rsidRDefault="005A05F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14D41B9" w14:textId="77777777" w:rsidR="00CA19B4" w:rsidRDefault="005A05F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BDF3153" w14:textId="77777777" w:rsidR="00CA19B4" w:rsidRDefault="005A05F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C73EBD5" w14:textId="77777777" w:rsidR="00CA19B4" w:rsidRDefault="00000000" w:rsidP="00CA19B4">
      <w:pPr>
        <w:rPr>
          <w:rFonts w:ascii="Times New Roman" w:hAnsi="Times New Roman" w:cs="Times New Roman"/>
          <w:sz w:val="20"/>
          <w:szCs w:val="20"/>
        </w:rPr>
      </w:pPr>
    </w:p>
    <w:p w14:paraId="662B2A6F" w14:textId="77777777" w:rsidR="00CA19B4" w:rsidRDefault="005A05F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107DF49" w14:textId="77777777" w:rsidR="00CA19B4" w:rsidRDefault="00000000" w:rsidP="00CA19B4">
      <w:pPr>
        <w:ind w:left="720"/>
        <w:rPr>
          <w:rFonts w:ascii="Times New Roman" w:hAnsi="Times New Roman" w:cs="Times New Roman"/>
          <w:sz w:val="20"/>
          <w:szCs w:val="20"/>
        </w:rPr>
      </w:pPr>
    </w:p>
    <w:bookmarkStart w:id="9" w:name="CHK_CEP"/>
    <w:p w14:paraId="460DA9C4" w14:textId="77777777" w:rsidR="00CA19B4" w:rsidRDefault="005A05F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536B187" w14:textId="77777777" w:rsidR="00CA19B4" w:rsidRDefault="005A05F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E453C0A" w14:textId="77777777" w:rsidR="00CA19B4" w:rsidRDefault="005A05F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11D4E15" w14:textId="77777777" w:rsidR="00CA19B4" w:rsidRDefault="005A05F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C495E9D" w14:textId="77777777" w:rsidR="00CA19B4" w:rsidRDefault="00000000" w:rsidP="00CA19B4">
      <w:pPr>
        <w:rPr>
          <w:rFonts w:ascii="Times New Roman" w:hAnsi="Times New Roman" w:cs="Times New Roman"/>
          <w:sz w:val="20"/>
          <w:szCs w:val="20"/>
        </w:rPr>
      </w:pPr>
    </w:p>
    <w:p w14:paraId="75BF5E8F" w14:textId="77777777" w:rsidR="00CA19B4" w:rsidRPr="00D6151F" w:rsidRDefault="005A05F5"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99B96A0" w14:textId="77777777" w:rsidR="00CA19B4" w:rsidRDefault="00000000" w:rsidP="00CA19B4">
      <w:pPr>
        <w:rPr>
          <w:rFonts w:ascii="Times New Roman" w:hAnsi="Times New Roman" w:cs="Times New Roman"/>
          <w:sz w:val="20"/>
          <w:szCs w:val="20"/>
        </w:rPr>
      </w:pPr>
    </w:p>
    <w:p w14:paraId="70EE4992" w14:textId="77777777" w:rsidR="00CA19B4" w:rsidRDefault="005A05F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08950E4" w14:textId="77777777" w:rsidR="00CA19B4" w:rsidRDefault="005A05F5"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EF0EF34" w14:textId="77777777" w:rsidR="00CA19B4" w:rsidRDefault="00000000" w:rsidP="00CA19B4">
      <w:pPr>
        <w:ind w:firstLine="720"/>
        <w:rPr>
          <w:rFonts w:ascii="Times New Roman" w:hAnsi="Times New Roman" w:cs="Times New Roman"/>
          <w:sz w:val="20"/>
          <w:szCs w:val="20"/>
        </w:rPr>
      </w:pPr>
    </w:p>
    <w:p w14:paraId="6C157674" w14:textId="77777777" w:rsidR="00CA19B4" w:rsidRDefault="005A05F5"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E6E404F"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36A5D1D2" w14:textId="77777777" w:rsidR="00A53CEA" w:rsidRDefault="00000000" w:rsidP="00A53CEA">
      <w:pPr>
        <w:pStyle w:val="Normal0"/>
        <w:ind w:firstLine="720"/>
        <w:rPr>
          <w:rFonts w:ascii="Times New Roman" w:hAnsi="Times New Roman" w:cs="Times New Roman"/>
          <w:sz w:val="20"/>
          <w:szCs w:val="20"/>
        </w:rPr>
      </w:pPr>
    </w:p>
    <w:p w14:paraId="126F24D5" w14:textId="77777777" w:rsidR="00A53CEA" w:rsidRPr="00C61944" w:rsidRDefault="005A05F5"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B38EA" w14:paraId="7CDC4B28" w14:textId="77777777" w:rsidTr="008175F8">
        <w:trPr>
          <w:trHeight w:val="37"/>
        </w:trPr>
        <w:tc>
          <w:tcPr>
            <w:tcW w:w="8545" w:type="dxa"/>
            <w:shd w:val="clear" w:color="auto" w:fill="31849B" w:themeFill="accent5" w:themeFillShade="BF"/>
          </w:tcPr>
          <w:p w14:paraId="4CE4B40E" w14:textId="77777777" w:rsidR="00A53CEA" w:rsidRPr="005B0132" w:rsidRDefault="005A05F5" w:rsidP="008175F8">
            <w:pPr>
              <w:pStyle w:val="Normal0"/>
              <w:rPr>
                <w:rFonts w:asciiTheme="minorHAnsi" w:hAnsiTheme="minorHAnsi" w:cstheme="minorHAnsi"/>
                <w:b/>
                <w:i/>
                <w:color w:val="DBE5F1" w:themeColor="accent1" w:themeTint="33"/>
                <w:sz w:val="32"/>
                <w:szCs w:val="20"/>
              </w:rPr>
            </w:pPr>
            <w:r>
              <w:t>Meal Patterns and Nutritional Quality</w:t>
            </w:r>
          </w:p>
        </w:tc>
      </w:tr>
      <w:tr w:rsidR="004B38EA" w14:paraId="65A5D532" w14:textId="77777777" w:rsidTr="008175F8">
        <w:trPr>
          <w:trHeight w:val="37"/>
        </w:trPr>
        <w:tc>
          <w:tcPr>
            <w:tcW w:w="8545" w:type="dxa"/>
            <w:shd w:val="clear" w:color="auto" w:fill="D9D9D9" w:themeFill="background1" w:themeFillShade="D9"/>
          </w:tcPr>
          <w:p w14:paraId="2A3C4813" w14:textId="77777777" w:rsidR="00A53CEA" w:rsidRPr="0076532F" w:rsidRDefault="005A05F5" w:rsidP="008175F8">
            <w:pPr>
              <w:pStyle w:val="Normal0"/>
              <w:rPr>
                <w:rFonts w:ascii="Times New Roman" w:hAnsi="Times New Roman" w:cs="Times New Roman"/>
                <w:b/>
                <w:sz w:val="20"/>
                <w:szCs w:val="20"/>
              </w:rPr>
            </w:pPr>
            <w:r>
              <w:t>Meal Components and Quantities</w:t>
            </w:r>
          </w:p>
        </w:tc>
      </w:tr>
      <w:tr w:rsidR="004B38EA" w14:paraId="20F2F626" w14:textId="77777777" w:rsidTr="008175F8">
        <w:trPr>
          <w:trHeight w:val="37"/>
        </w:trPr>
        <w:tc>
          <w:tcPr>
            <w:tcW w:w="8545" w:type="dxa"/>
            <w:shd w:val="clear" w:color="auto" w:fill="auto"/>
          </w:tcPr>
          <w:p w14:paraId="25F0C644" w14:textId="77777777" w:rsidR="00A53CEA" w:rsidRPr="005B0132" w:rsidRDefault="005A05F5" w:rsidP="00A53CEA">
            <w:pPr>
              <w:pStyle w:val="ListParagraph"/>
              <w:numPr>
                <w:ilvl w:val="0"/>
                <w:numId w:val="2"/>
              </w:numPr>
              <w:ind w:left="540"/>
              <w:rPr>
                <w:rFonts w:ascii="Times New Roman" w:hAnsi="Times New Roman" w:cs="Times New Roman"/>
                <w:sz w:val="20"/>
                <w:szCs w:val="20"/>
              </w:rPr>
            </w:pPr>
            <w:r>
              <w:t>Breakfast production records and/or other supporting documentation for the review period did not indicate that planned menu quantities met meal pattern requirements.; The schools' breakfast menu does not comply with the required age/grade group meal pattern requirements.</w:t>
            </w:r>
          </w:p>
        </w:tc>
      </w:tr>
      <w:tr w:rsidR="004B38EA" w14:paraId="74001482" w14:textId="77777777" w:rsidTr="008175F8">
        <w:trPr>
          <w:trHeight w:val="37"/>
        </w:trPr>
        <w:tc>
          <w:tcPr>
            <w:tcW w:w="8545" w:type="dxa"/>
            <w:shd w:val="clear" w:color="auto" w:fill="auto"/>
          </w:tcPr>
          <w:p w14:paraId="23D9C24F" w14:textId="77777777" w:rsidR="00A53CEA" w:rsidRPr="005B0132" w:rsidRDefault="005A05F5"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4B38EA" w14:paraId="5376395F" w14:textId="77777777" w:rsidTr="008175F8">
        <w:trPr>
          <w:trHeight w:val="37"/>
        </w:trPr>
        <w:tc>
          <w:tcPr>
            <w:tcW w:w="8545" w:type="dxa"/>
            <w:shd w:val="clear" w:color="auto" w:fill="auto"/>
          </w:tcPr>
          <w:p w14:paraId="421FA7D4" w14:textId="77777777" w:rsidR="00A53CEA" w:rsidRPr="005B0132" w:rsidRDefault="005A05F5"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4B38EA" w14:paraId="4F1D38E0" w14:textId="77777777" w:rsidTr="008175F8">
        <w:trPr>
          <w:trHeight w:val="37"/>
        </w:trPr>
        <w:tc>
          <w:tcPr>
            <w:tcW w:w="8545" w:type="dxa"/>
            <w:shd w:val="clear" w:color="auto" w:fill="D9D9D9" w:themeFill="background1" w:themeFillShade="D9"/>
          </w:tcPr>
          <w:p w14:paraId="7983C4AE" w14:textId="77777777" w:rsidR="00A53CEA" w:rsidRPr="0076532F" w:rsidRDefault="005A05F5" w:rsidP="008175F8">
            <w:pPr>
              <w:pStyle w:val="Normal0"/>
              <w:rPr>
                <w:rFonts w:ascii="Times New Roman" w:hAnsi="Times New Roman" w:cs="Times New Roman"/>
                <w:b/>
                <w:sz w:val="20"/>
                <w:szCs w:val="20"/>
              </w:rPr>
            </w:pPr>
            <w:r>
              <w:t>Offer versus Serve</w:t>
            </w:r>
          </w:p>
        </w:tc>
      </w:tr>
      <w:tr w:rsidR="004B38EA" w14:paraId="5A47822E" w14:textId="77777777" w:rsidTr="008175F8">
        <w:trPr>
          <w:trHeight w:val="37"/>
        </w:trPr>
        <w:tc>
          <w:tcPr>
            <w:tcW w:w="8545" w:type="dxa"/>
            <w:shd w:val="clear" w:color="auto" w:fill="auto"/>
          </w:tcPr>
          <w:p w14:paraId="2F1BD858" w14:textId="77777777" w:rsidR="00A53CEA" w:rsidRPr="005B0132" w:rsidRDefault="005A05F5"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4B38EA" w14:paraId="0EA05CDC" w14:textId="77777777" w:rsidTr="008175F8">
        <w:trPr>
          <w:trHeight w:val="37"/>
        </w:trPr>
        <w:tc>
          <w:tcPr>
            <w:tcW w:w="8545" w:type="dxa"/>
            <w:shd w:val="clear" w:color="auto" w:fill="31849B" w:themeFill="accent5" w:themeFillShade="BF"/>
          </w:tcPr>
          <w:p w14:paraId="045A133A" w14:textId="77777777" w:rsidR="00A53CEA" w:rsidRPr="005B0132" w:rsidRDefault="005A05F5" w:rsidP="008175F8">
            <w:pPr>
              <w:pStyle w:val="Normal0"/>
              <w:rPr>
                <w:rFonts w:asciiTheme="minorHAnsi" w:hAnsiTheme="minorHAnsi" w:cstheme="minorHAnsi"/>
                <w:b/>
                <w:i/>
                <w:color w:val="DBE5F1" w:themeColor="accent1" w:themeTint="33"/>
                <w:sz w:val="32"/>
                <w:szCs w:val="20"/>
              </w:rPr>
            </w:pPr>
            <w:r>
              <w:t>School Nutrition Environment</w:t>
            </w:r>
          </w:p>
        </w:tc>
      </w:tr>
      <w:tr w:rsidR="004B38EA" w14:paraId="4473C68A" w14:textId="77777777" w:rsidTr="008175F8">
        <w:trPr>
          <w:trHeight w:val="37"/>
        </w:trPr>
        <w:tc>
          <w:tcPr>
            <w:tcW w:w="8545" w:type="dxa"/>
            <w:shd w:val="clear" w:color="auto" w:fill="D9D9D9" w:themeFill="background1" w:themeFillShade="D9"/>
          </w:tcPr>
          <w:p w14:paraId="39170DA8" w14:textId="77777777" w:rsidR="00A53CEA" w:rsidRPr="0076532F" w:rsidRDefault="005A05F5" w:rsidP="008175F8">
            <w:pPr>
              <w:pStyle w:val="Normal0"/>
              <w:rPr>
                <w:rFonts w:ascii="Times New Roman" w:hAnsi="Times New Roman" w:cs="Times New Roman"/>
                <w:b/>
                <w:sz w:val="20"/>
                <w:szCs w:val="20"/>
              </w:rPr>
            </w:pPr>
            <w:r>
              <w:t>Food Safety</w:t>
            </w:r>
          </w:p>
        </w:tc>
      </w:tr>
      <w:tr w:rsidR="004B38EA" w14:paraId="6239A63B" w14:textId="77777777" w:rsidTr="008175F8">
        <w:trPr>
          <w:trHeight w:val="37"/>
        </w:trPr>
        <w:tc>
          <w:tcPr>
            <w:tcW w:w="8545" w:type="dxa"/>
            <w:shd w:val="clear" w:color="auto" w:fill="auto"/>
          </w:tcPr>
          <w:p w14:paraId="2894742D" w14:textId="77777777" w:rsidR="00A53CEA" w:rsidRPr="005B0132" w:rsidRDefault="005A05F5"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There is limited documentation to determine if domestic alternatives were considered and if an exception was granted by the School Food Authority.</w:t>
            </w:r>
          </w:p>
        </w:tc>
      </w:tr>
      <w:tr w:rsidR="004B38EA" w14:paraId="36518C99" w14:textId="77777777" w:rsidTr="008175F8">
        <w:trPr>
          <w:trHeight w:val="37"/>
        </w:trPr>
        <w:tc>
          <w:tcPr>
            <w:tcW w:w="8545" w:type="dxa"/>
            <w:shd w:val="clear" w:color="auto" w:fill="auto"/>
          </w:tcPr>
          <w:p w14:paraId="58AB1500" w14:textId="77777777" w:rsidR="00A53CEA" w:rsidRPr="005B0132" w:rsidRDefault="005A05F5"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4B38EA" w14:paraId="1417C2C6" w14:textId="77777777" w:rsidTr="008175F8">
        <w:trPr>
          <w:trHeight w:val="37"/>
        </w:trPr>
        <w:tc>
          <w:tcPr>
            <w:tcW w:w="8545" w:type="dxa"/>
            <w:shd w:val="clear" w:color="auto" w:fill="D9D9D9" w:themeFill="background1" w:themeFillShade="D9"/>
          </w:tcPr>
          <w:p w14:paraId="718B9D20" w14:textId="77777777" w:rsidR="00A53CEA" w:rsidRPr="0076532F" w:rsidRDefault="005A05F5" w:rsidP="008175F8">
            <w:pPr>
              <w:pStyle w:val="Normal0"/>
              <w:rPr>
                <w:rFonts w:ascii="Times New Roman" w:hAnsi="Times New Roman" w:cs="Times New Roman"/>
                <w:b/>
                <w:sz w:val="20"/>
                <w:szCs w:val="20"/>
              </w:rPr>
            </w:pPr>
            <w:r>
              <w:t>Local School Wellness Policy</w:t>
            </w:r>
          </w:p>
        </w:tc>
      </w:tr>
      <w:tr w:rsidR="004B38EA" w14:paraId="52933B6B" w14:textId="77777777" w:rsidTr="008175F8">
        <w:trPr>
          <w:trHeight w:val="37"/>
        </w:trPr>
        <w:tc>
          <w:tcPr>
            <w:tcW w:w="8545" w:type="dxa"/>
            <w:shd w:val="clear" w:color="auto" w:fill="auto"/>
          </w:tcPr>
          <w:p w14:paraId="6E97DA01" w14:textId="77777777" w:rsidR="00A53CEA" w:rsidRPr="005B0132" w:rsidRDefault="005A05F5"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4B38EA" w14:paraId="4C1DFBFF" w14:textId="77777777" w:rsidTr="008175F8">
        <w:trPr>
          <w:trHeight w:val="37"/>
        </w:trPr>
        <w:tc>
          <w:tcPr>
            <w:tcW w:w="8545" w:type="dxa"/>
            <w:shd w:val="clear" w:color="auto" w:fill="auto"/>
          </w:tcPr>
          <w:p w14:paraId="755B56CD" w14:textId="77777777" w:rsidR="00A53CEA" w:rsidRPr="005B0132" w:rsidRDefault="005A05F5"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 The School Food Authority has not maintained documentation to support the policy has been reviewed and updated within the past three years.</w:t>
            </w:r>
          </w:p>
        </w:tc>
      </w:tr>
      <w:tr w:rsidR="004B38EA" w14:paraId="3A1911AF" w14:textId="77777777" w:rsidTr="008175F8">
        <w:trPr>
          <w:trHeight w:val="37"/>
        </w:trPr>
        <w:tc>
          <w:tcPr>
            <w:tcW w:w="8545" w:type="dxa"/>
            <w:shd w:val="clear" w:color="auto" w:fill="31849B" w:themeFill="accent5" w:themeFillShade="BF"/>
          </w:tcPr>
          <w:p w14:paraId="3559337D" w14:textId="77777777" w:rsidR="00A53CEA" w:rsidRPr="005B0132" w:rsidRDefault="005A05F5" w:rsidP="008175F8">
            <w:pPr>
              <w:pStyle w:val="Normal0"/>
              <w:rPr>
                <w:rFonts w:asciiTheme="minorHAnsi" w:hAnsiTheme="minorHAnsi" w:cstheme="minorHAnsi"/>
                <w:b/>
                <w:i/>
                <w:color w:val="DBE5F1" w:themeColor="accent1" w:themeTint="33"/>
                <w:sz w:val="32"/>
                <w:szCs w:val="20"/>
              </w:rPr>
            </w:pPr>
            <w:r>
              <w:t>Civil Rights</w:t>
            </w:r>
          </w:p>
        </w:tc>
      </w:tr>
      <w:tr w:rsidR="004B38EA" w14:paraId="145EA88B" w14:textId="77777777" w:rsidTr="008175F8">
        <w:trPr>
          <w:trHeight w:val="37"/>
        </w:trPr>
        <w:tc>
          <w:tcPr>
            <w:tcW w:w="8545" w:type="dxa"/>
            <w:shd w:val="clear" w:color="auto" w:fill="auto"/>
          </w:tcPr>
          <w:p w14:paraId="6EC84727" w14:textId="77777777" w:rsidR="00A53CEA" w:rsidRPr="005B0132" w:rsidRDefault="005A05F5"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4B38EA" w14:paraId="2A9B7FEC" w14:textId="77777777" w:rsidTr="008175F8">
        <w:trPr>
          <w:trHeight w:val="37"/>
        </w:trPr>
        <w:tc>
          <w:tcPr>
            <w:tcW w:w="8545" w:type="dxa"/>
            <w:shd w:val="clear" w:color="auto" w:fill="auto"/>
          </w:tcPr>
          <w:p w14:paraId="0E749C43" w14:textId="77777777" w:rsidR="00A53CEA" w:rsidRPr="005B0132" w:rsidRDefault="005A05F5"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4B38EA" w14:paraId="220CF4B8" w14:textId="77777777" w:rsidTr="008175F8">
        <w:trPr>
          <w:trHeight w:val="37"/>
        </w:trPr>
        <w:tc>
          <w:tcPr>
            <w:tcW w:w="8545" w:type="dxa"/>
            <w:shd w:val="clear" w:color="auto" w:fill="auto"/>
          </w:tcPr>
          <w:p w14:paraId="2A874273" w14:textId="77777777" w:rsidR="00A53CEA" w:rsidRPr="005B0132" w:rsidRDefault="005A05F5"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6615007F" w14:textId="77777777" w:rsidR="00A53CEA" w:rsidRPr="00223718" w:rsidRDefault="00000000" w:rsidP="00A53CEA">
      <w:pPr>
        <w:pStyle w:val="Normal0"/>
        <w:rPr>
          <w:rFonts w:ascii="Times New Roman" w:hAnsi="Times New Roman" w:cs="Times New Roman"/>
          <w:sz w:val="20"/>
          <w:szCs w:val="20"/>
        </w:rPr>
      </w:pPr>
    </w:p>
    <w:p w14:paraId="4EC0F72E" w14:textId="77777777" w:rsidR="00A53CEA" w:rsidRDefault="00000000" w:rsidP="00A53CEA">
      <w:pPr>
        <w:pStyle w:val="Normal0"/>
      </w:pPr>
    </w:p>
    <w:p w14:paraId="5BD780E4"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B38EA" w14:paraId="2EE79EDE" w14:textId="77777777" w:rsidTr="00A708A7">
        <w:trPr>
          <w:trHeight w:val="37"/>
        </w:trPr>
        <w:tc>
          <w:tcPr>
            <w:tcW w:w="8545" w:type="dxa"/>
            <w:shd w:val="clear" w:color="auto" w:fill="31849B" w:themeFill="accent5" w:themeFillShade="BF"/>
          </w:tcPr>
          <w:p w14:paraId="75789B38" w14:textId="77777777" w:rsidR="00E2351D" w:rsidRPr="00935CAD" w:rsidRDefault="005A05F5" w:rsidP="00A708A7">
            <w:pPr>
              <w:pStyle w:val="Normal1"/>
              <w:rPr>
                <w:rFonts w:ascii="Times New Roman" w:hAnsi="Times New Roman" w:cs="Times New Roman"/>
                <w:b/>
                <w:i/>
                <w:color w:val="DBE5F1" w:themeColor="accent1" w:themeTint="33"/>
                <w:sz w:val="24"/>
                <w:szCs w:val="24"/>
              </w:rPr>
            </w:pPr>
            <w:r w:rsidRPr="00DB528B">
              <w:rPr>
                <w:rFonts w:ascii="Times New Roman" w:hAnsi="Times New Roman" w:cs="Times New Roman"/>
                <w:b/>
                <w:i/>
                <w:color w:val="auto"/>
                <w:sz w:val="24"/>
                <w:szCs w:val="24"/>
              </w:rPr>
              <w:lastRenderedPageBreak/>
              <w:t>Noteworthy Observations</w:t>
            </w:r>
          </w:p>
        </w:tc>
      </w:tr>
      <w:tr w:rsidR="004B38EA" w14:paraId="06DB97D9" w14:textId="77777777" w:rsidTr="00A708A7">
        <w:trPr>
          <w:trHeight w:val="37"/>
        </w:trPr>
        <w:tc>
          <w:tcPr>
            <w:tcW w:w="8545" w:type="dxa"/>
            <w:shd w:val="clear" w:color="auto" w:fill="auto"/>
          </w:tcPr>
          <w:p w14:paraId="06C6774E" w14:textId="77777777" w:rsidR="00E2351D" w:rsidRPr="00935CAD" w:rsidRDefault="005A05F5" w:rsidP="00A708A7">
            <w:pPr>
              <w:pStyle w:val="Normal1"/>
              <w:rPr>
                <w:rFonts w:ascii="Times New Roman" w:hAnsi="Times New Roman" w:cs="Times New Roman"/>
                <w:sz w:val="20"/>
                <w:szCs w:val="20"/>
              </w:rPr>
            </w:pPr>
            <w:r>
              <w:t>The Review Team found the following noteworthy items: Great food options, friendly and helpful staff.</w:t>
            </w:r>
          </w:p>
        </w:tc>
      </w:tr>
    </w:tbl>
    <w:p w14:paraId="315D0F43"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3427" w14:textId="77777777" w:rsidR="0082731F" w:rsidRDefault="0082731F">
      <w:r>
        <w:separator/>
      </w:r>
    </w:p>
  </w:endnote>
  <w:endnote w:type="continuationSeparator" w:id="0">
    <w:p w14:paraId="21BBA08A" w14:textId="77777777" w:rsidR="0082731F" w:rsidRDefault="0082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F5B3" w14:textId="77777777" w:rsidR="0037068A" w:rsidRDefault="005A05F5" w:rsidP="000F3A03">
    <w:pPr>
      <w:pStyle w:val="Footer"/>
      <w:jc w:val="center"/>
      <w:rPr>
        <w:sz w:val="14"/>
      </w:rPr>
    </w:pPr>
    <w:r>
      <w:rPr>
        <w:sz w:val="14"/>
      </w:rPr>
      <w:t xml:space="preserve">This institution is an equal opportunity </w:t>
    </w:r>
    <w:proofErr w:type="gramStart"/>
    <w:r>
      <w:rPr>
        <w:sz w:val="14"/>
      </w:rPr>
      <w:t>provider</w:t>
    </w:r>
    <w:proofErr w:type="gramEnd"/>
  </w:p>
  <w:p w14:paraId="41F4DB46"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7FCA" w14:textId="77777777" w:rsidR="0037068A" w:rsidRDefault="005A05F5" w:rsidP="000F3A03">
    <w:pPr>
      <w:pStyle w:val="Footer0"/>
      <w:jc w:val="center"/>
      <w:rPr>
        <w:sz w:val="14"/>
      </w:rPr>
    </w:pPr>
    <w:r>
      <w:rPr>
        <w:sz w:val="14"/>
      </w:rPr>
      <w:t xml:space="preserve">This institution is an equal opportunity </w:t>
    </w:r>
    <w:proofErr w:type="gramStart"/>
    <w:r>
      <w:rPr>
        <w:sz w:val="14"/>
      </w:rPr>
      <w:t>provider</w:t>
    </w:r>
    <w:proofErr w:type="gramEnd"/>
  </w:p>
  <w:p w14:paraId="3AB055B4"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1CF7" w14:textId="77777777" w:rsidR="0082731F" w:rsidRDefault="0082731F">
      <w:r>
        <w:separator/>
      </w:r>
    </w:p>
  </w:footnote>
  <w:footnote w:type="continuationSeparator" w:id="0">
    <w:p w14:paraId="0F797C5F" w14:textId="77777777" w:rsidR="0082731F" w:rsidRDefault="00827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90B28DA0">
      <w:start w:val="1"/>
      <w:numFmt w:val="decimal"/>
      <w:lvlText w:val="%1."/>
      <w:lvlJc w:val="left"/>
      <w:pPr>
        <w:ind w:left="720" w:hanging="360"/>
      </w:pPr>
      <w:rPr>
        <w:rFonts w:hint="default"/>
      </w:rPr>
    </w:lvl>
    <w:lvl w:ilvl="1" w:tplc="BF72F922" w:tentative="1">
      <w:start w:val="1"/>
      <w:numFmt w:val="lowerLetter"/>
      <w:lvlText w:val="%2."/>
      <w:lvlJc w:val="left"/>
      <w:pPr>
        <w:ind w:left="1440" w:hanging="360"/>
      </w:pPr>
    </w:lvl>
    <w:lvl w:ilvl="2" w:tplc="3E324D18" w:tentative="1">
      <w:start w:val="1"/>
      <w:numFmt w:val="lowerRoman"/>
      <w:lvlText w:val="%3."/>
      <w:lvlJc w:val="right"/>
      <w:pPr>
        <w:ind w:left="2160" w:hanging="180"/>
      </w:pPr>
    </w:lvl>
    <w:lvl w:ilvl="3" w:tplc="F418BD16" w:tentative="1">
      <w:start w:val="1"/>
      <w:numFmt w:val="decimal"/>
      <w:lvlText w:val="%4."/>
      <w:lvlJc w:val="left"/>
      <w:pPr>
        <w:ind w:left="2880" w:hanging="360"/>
      </w:pPr>
    </w:lvl>
    <w:lvl w:ilvl="4" w:tplc="92CABCA2" w:tentative="1">
      <w:start w:val="1"/>
      <w:numFmt w:val="lowerLetter"/>
      <w:lvlText w:val="%5."/>
      <w:lvlJc w:val="left"/>
      <w:pPr>
        <w:ind w:left="3600" w:hanging="360"/>
      </w:pPr>
    </w:lvl>
    <w:lvl w:ilvl="5" w:tplc="3AFA14FC" w:tentative="1">
      <w:start w:val="1"/>
      <w:numFmt w:val="lowerRoman"/>
      <w:lvlText w:val="%6."/>
      <w:lvlJc w:val="right"/>
      <w:pPr>
        <w:ind w:left="4320" w:hanging="180"/>
      </w:pPr>
    </w:lvl>
    <w:lvl w:ilvl="6" w:tplc="791CC3BE" w:tentative="1">
      <w:start w:val="1"/>
      <w:numFmt w:val="decimal"/>
      <w:lvlText w:val="%7."/>
      <w:lvlJc w:val="left"/>
      <w:pPr>
        <w:ind w:left="5040" w:hanging="360"/>
      </w:pPr>
    </w:lvl>
    <w:lvl w:ilvl="7" w:tplc="F9C21C18" w:tentative="1">
      <w:start w:val="1"/>
      <w:numFmt w:val="lowerLetter"/>
      <w:lvlText w:val="%8."/>
      <w:lvlJc w:val="left"/>
      <w:pPr>
        <w:ind w:left="5760" w:hanging="360"/>
      </w:pPr>
    </w:lvl>
    <w:lvl w:ilvl="8" w:tplc="237A6D9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045A402E">
      <w:start w:val="1"/>
      <w:numFmt w:val="bullet"/>
      <w:lvlText w:val=""/>
      <w:lvlJc w:val="left"/>
      <w:pPr>
        <w:ind w:left="720" w:hanging="360"/>
      </w:pPr>
      <w:rPr>
        <w:rFonts w:ascii="Symbol" w:hAnsi="Symbol" w:hint="default"/>
      </w:rPr>
    </w:lvl>
    <w:lvl w:ilvl="1" w:tplc="943A1972" w:tentative="1">
      <w:start w:val="1"/>
      <w:numFmt w:val="bullet"/>
      <w:lvlText w:val="o"/>
      <w:lvlJc w:val="left"/>
      <w:pPr>
        <w:ind w:left="1440" w:hanging="360"/>
      </w:pPr>
      <w:rPr>
        <w:rFonts w:ascii="Courier New" w:hAnsi="Courier New" w:cs="Courier New" w:hint="default"/>
      </w:rPr>
    </w:lvl>
    <w:lvl w:ilvl="2" w:tplc="A4362800" w:tentative="1">
      <w:start w:val="1"/>
      <w:numFmt w:val="bullet"/>
      <w:lvlText w:val=""/>
      <w:lvlJc w:val="left"/>
      <w:pPr>
        <w:ind w:left="2160" w:hanging="360"/>
      </w:pPr>
      <w:rPr>
        <w:rFonts w:ascii="Wingdings" w:hAnsi="Wingdings" w:hint="default"/>
      </w:rPr>
    </w:lvl>
    <w:lvl w:ilvl="3" w:tplc="CA2C92D8" w:tentative="1">
      <w:start w:val="1"/>
      <w:numFmt w:val="bullet"/>
      <w:lvlText w:val=""/>
      <w:lvlJc w:val="left"/>
      <w:pPr>
        <w:ind w:left="2880" w:hanging="360"/>
      </w:pPr>
      <w:rPr>
        <w:rFonts w:ascii="Symbol" w:hAnsi="Symbol" w:hint="default"/>
      </w:rPr>
    </w:lvl>
    <w:lvl w:ilvl="4" w:tplc="0666E46A" w:tentative="1">
      <w:start w:val="1"/>
      <w:numFmt w:val="bullet"/>
      <w:lvlText w:val="o"/>
      <w:lvlJc w:val="left"/>
      <w:pPr>
        <w:ind w:left="3600" w:hanging="360"/>
      </w:pPr>
      <w:rPr>
        <w:rFonts w:ascii="Courier New" w:hAnsi="Courier New" w:cs="Courier New" w:hint="default"/>
      </w:rPr>
    </w:lvl>
    <w:lvl w:ilvl="5" w:tplc="4DCE57B2" w:tentative="1">
      <w:start w:val="1"/>
      <w:numFmt w:val="bullet"/>
      <w:lvlText w:val=""/>
      <w:lvlJc w:val="left"/>
      <w:pPr>
        <w:ind w:left="4320" w:hanging="360"/>
      </w:pPr>
      <w:rPr>
        <w:rFonts w:ascii="Wingdings" w:hAnsi="Wingdings" w:hint="default"/>
      </w:rPr>
    </w:lvl>
    <w:lvl w:ilvl="6" w:tplc="CF28D3CE" w:tentative="1">
      <w:start w:val="1"/>
      <w:numFmt w:val="bullet"/>
      <w:lvlText w:val=""/>
      <w:lvlJc w:val="left"/>
      <w:pPr>
        <w:ind w:left="5040" w:hanging="360"/>
      </w:pPr>
      <w:rPr>
        <w:rFonts w:ascii="Symbol" w:hAnsi="Symbol" w:hint="default"/>
      </w:rPr>
    </w:lvl>
    <w:lvl w:ilvl="7" w:tplc="130651BA" w:tentative="1">
      <w:start w:val="1"/>
      <w:numFmt w:val="bullet"/>
      <w:lvlText w:val="o"/>
      <w:lvlJc w:val="left"/>
      <w:pPr>
        <w:ind w:left="5760" w:hanging="360"/>
      </w:pPr>
      <w:rPr>
        <w:rFonts w:ascii="Courier New" w:hAnsi="Courier New" w:cs="Courier New" w:hint="default"/>
      </w:rPr>
    </w:lvl>
    <w:lvl w:ilvl="8" w:tplc="E6A635C4" w:tentative="1">
      <w:start w:val="1"/>
      <w:numFmt w:val="bullet"/>
      <w:lvlText w:val=""/>
      <w:lvlJc w:val="left"/>
      <w:pPr>
        <w:ind w:left="6480" w:hanging="360"/>
      </w:pPr>
      <w:rPr>
        <w:rFonts w:ascii="Wingdings" w:hAnsi="Wingdings" w:hint="default"/>
      </w:rPr>
    </w:lvl>
  </w:abstractNum>
  <w:num w:numId="1" w16cid:durableId="1733966794">
    <w:abstractNumId w:val="0"/>
  </w:num>
  <w:num w:numId="2" w16cid:durableId="957032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EA"/>
    <w:rsid w:val="00412CCA"/>
    <w:rsid w:val="004B38EA"/>
    <w:rsid w:val="005A05F5"/>
    <w:rsid w:val="0082731F"/>
    <w:rsid w:val="00DB528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0A2B"/>
  <w15:docId w15:val="{C06A517B-F8D5-4B07-8891-2FDD720A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Haverhill Public Schools Administrative Review Summary School Year 2022-2023</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Haverhill Public Schools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