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F09F" w14:textId="77777777" w:rsidR="00CA19B4" w:rsidRPr="00200779" w:rsidRDefault="008D22C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7C80E61" w14:textId="77777777" w:rsidR="00CA19B4" w:rsidRDefault="00CA19B4" w:rsidP="00CA19B4">
      <w:pPr>
        <w:jc w:val="center"/>
        <w:rPr>
          <w:rFonts w:ascii="Times New Roman" w:hAnsi="Times New Roman" w:cs="Times New Roman"/>
          <w:sz w:val="24"/>
          <w:szCs w:val="24"/>
        </w:rPr>
      </w:pPr>
    </w:p>
    <w:p w14:paraId="10DC7A94" w14:textId="77777777" w:rsidR="00CA19B4" w:rsidRDefault="008D22C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5574359" w14:textId="77777777" w:rsidR="00CA19B4" w:rsidRDefault="00CA19B4" w:rsidP="00CA19B4">
      <w:pPr>
        <w:rPr>
          <w:rFonts w:ascii="Times New Roman" w:hAnsi="Times New Roman" w:cs="Times New Roman"/>
          <w:sz w:val="20"/>
          <w:szCs w:val="20"/>
        </w:rPr>
      </w:pPr>
    </w:p>
    <w:p w14:paraId="2FBFA764" w14:textId="77777777" w:rsidR="00CA19B4" w:rsidRDefault="00CA19B4" w:rsidP="00CA19B4">
      <w:pPr>
        <w:rPr>
          <w:rFonts w:ascii="Times New Roman" w:hAnsi="Times New Roman" w:cs="Times New Roman"/>
          <w:sz w:val="20"/>
          <w:szCs w:val="20"/>
        </w:rPr>
      </w:pPr>
    </w:p>
    <w:p w14:paraId="66857D1E" w14:textId="77777777" w:rsidR="00CA19B4" w:rsidRPr="00B63138" w:rsidRDefault="008D22C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Dover-Sherborn Regional School District</w:t>
      </w:r>
      <w:bookmarkEnd w:id="0"/>
    </w:p>
    <w:p w14:paraId="2A1DE747" w14:textId="77777777" w:rsidR="00CA19B4" w:rsidRDefault="00CA19B4" w:rsidP="00CA19B4">
      <w:pPr>
        <w:rPr>
          <w:rFonts w:ascii="Times New Roman" w:hAnsi="Times New Roman" w:cs="Times New Roman"/>
          <w:sz w:val="20"/>
          <w:szCs w:val="20"/>
        </w:rPr>
      </w:pPr>
    </w:p>
    <w:p w14:paraId="583E608A" w14:textId="77777777" w:rsidR="00CA19B4" w:rsidRDefault="008D22CB"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01/24/2024</w:t>
      </w:r>
      <w:bookmarkEnd w:id="1"/>
      <w:proofErr w:type="gramEnd"/>
    </w:p>
    <w:p w14:paraId="6C0A6E7D" w14:textId="77777777" w:rsidR="00CA19B4" w:rsidRDefault="00CA19B4" w:rsidP="00CA19B4">
      <w:pPr>
        <w:rPr>
          <w:rFonts w:ascii="Times New Roman" w:hAnsi="Times New Roman" w:cs="Times New Roman"/>
          <w:sz w:val="20"/>
          <w:szCs w:val="20"/>
        </w:rPr>
      </w:pPr>
    </w:p>
    <w:p w14:paraId="673DA1E0" w14:textId="77777777" w:rsidR="00CA19B4" w:rsidRDefault="008D22C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01/25/2024</w:t>
      </w:r>
      <w:bookmarkEnd w:id="2"/>
      <w:proofErr w:type="gramEnd"/>
    </w:p>
    <w:p w14:paraId="427800F1" w14:textId="77777777" w:rsidR="00CA19B4" w:rsidRDefault="008D22C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0C8ECFA" w14:textId="77777777" w:rsidR="00CA19B4" w:rsidRDefault="00CA19B4" w:rsidP="00CA19B4">
      <w:pPr>
        <w:pBdr>
          <w:bottom w:val="single" w:sz="12" w:space="1" w:color="auto"/>
        </w:pBdr>
        <w:rPr>
          <w:rFonts w:ascii="Times New Roman" w:hAnsi="Times New Roman" w:cs="Times New Roman"/>
          <w:sz w:val="20"/>
          <w:szCs w:val="20"/>
        </w:rPr>
      </w:pPr>
    </w:p>
    <w:p w14:paraId="0737FAFB" w14:textId="77777777" w:rsidR="00CA19B4" w:rsidRDefault="008D22C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9A41F97" w14:textId="77777777" w:rsidR="00CA19B4" w:rsidRDefault="00CA19B4" w:rsidP="00CA19B4">
      <w:pPr>
        <w:rPr>
          <w:rFonts w:ascii="Times New Roman" w:hAnsi="Times New Roman" w:cs="Times New Roman"/>
          <w:sz w:val="20"/>
          <w:szCs w:val="20"/>
        </w:rPr>
      </w:pPr>
    </w:p>
    <w:p w14:paraId="785CA45E" w14:textId="77777777" w:rsidR="00CA19B4" w:rsidRPr="00223718" w:rsidRDefault="008D22C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51A930D" w14:textId="77777777" w:rsidR="00CA19B4" w:rsidRDefault="00CA19B4" w:rsidP="00CA19B4">
      <w:pPr>
        <w:rPr>
          <w:rFonts w:ascii="Times New Roman" w:hAnsi="Times New Roman" w:cs="Times New Roman"/>
          <w:sz w:val="20"/>
          <w:szCs w:val="20"/>
        </w:rPr>
      </w:pPr>
    </w:p>
    <w:p w14:paraId="37881897" w14:textId="77777777" w:rsidR="00CA19B4" w:rsidRDefault="008D22C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B241B8A" w14:textId="77777777" w:rsidR="00CA19B4" w:rsidRDefault="00CA19B4" w:rsidP="00CA19B4">
      <w:pPr>
        <w:ind w:left="720"/>
        <w:rPr>
          <w:rFonts w:ascii="Times New Roman" w:hAnsi="Times New Roman" w:cs="Times New Roman"/>
          <w:sz w:val="20"/>
          <w:szCs w:val="20"/>
        </w:rPr>
      </w:pPr>
    </w:p>
    <w:bookmarkStart w:id="3" w:name="CHK_SBP"/>
    <w:p w14:paraId="3341704C" w14:textId="77777777" w:rsidR="00CA19B4" w:rsidRDefault="008D22C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707DF47D" w14:textId="77777777" w:rsidR="00CA19B4" w:rsidRDefault="008D22C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B195A4B" w14:textId="77777777" w:rsidR="00CA19B4" w:rsidRDefault="008D22C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6A9C4E5" w14:textId="77777777" w:rsidR="00CA19B4" w:rsidRDefault="008D22C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9F329E8" w14:textId="77777777" w:rsidR="00CA19B4" w:rsidRDefault="008D22C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09B8345" w14:textId="77777777" w:rsidR="00CA19B4" w:rsidRDefault="008D22C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907CDAD" w14:textId="77777777" w:rsidR="00CA19B4" w:rsidRDefault="00CA19B4" w:rsidP="00CA19B4">
      <w:pPr>
        <w:rPr>
          <w:rFonts w:ascii="Times New Roman" w:hAnsi="Times New Roman" w:cs="Times New Roman"/>
          <w:sz w:val="20"/>
          <w:szCs w:val="20"/>
        </w:rPr>
      </w:pPr>
    </w:p>
    <w:p w14:paraId="2B6A36FF" w14:textId="77777777" w:rsidR="00CA19B4" w:rsidRDefault="008D22C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4CCA39D" w14:textId="77777777" w:rsidR="00CA19B4" w:rsidRDefault="00CA19B4" w:rsidP="00CA19B4">
      <w:pPr>
        <w:ind w:left="720"/>
        <w:rPr>
          <w:rFonts w:ascii="Times New Roman" w:hAnsi="Times New Roman" w:cs="Times New Roman"/>
          <w:sz w:val="20"/>
          <w:szCs w:val="20"/>
        </w:rPr>
      </w:pPr>
    </w:p>
    <w:bookmarkStart w:id="9" w:name="CHK_CEP"/>
    <w:p w14:paraId="59AD82BE" w14:textId="77777777" w:rsidR="00CA19B4" w:rsidRDefault="008D22C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07DA284" w14:textId="77777777" w:rsidR="00CA19B4" w:rsidRDefault="008D22C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ED08696" w14:textId="77777777" w:rsidR="00CA19B4" w:rsidRDefault="008D22C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0C7D9DF" w14:textId="77777777" w:rsidR="00CA19B4" w:rsidRDefault="008D22C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DFE0E63" w14:textId="77777777" w:rsidR="00CA19B4" w:rsidRDefault="00CA19B4" w:rsidP="00CA19B4">
      <w:pPr>
        <w:rPr>
          <w:rFonts w:ascii="Times New Roman" w:hAnsi="Times New Roman" w:cs="Times New Roman"/>
          <w:sz w:val="20"/>
          <w:szCs w:val="20"/>
        </w:rPr>
      </w:pPr>
    </w:p>
    <w:p w14:paraId="267AC5A8" w14:textId="77777777" w:rsidR="00CA19B4" w:rsidRPr="00D6151F" w:rsidRDefault="008D22C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EFD81C4" w14:textId="77777777" w:rsidR="00CA19B4" w:rsidRDefault="00CA19B4" w:rsidP="00CA19B4">
      <w:pPr>
        <w:rPr>
          <w:rFonts w:ascii="Times New Roman" w:hAnsi="Times New Roman" w:cs="Times New Roman"/>
          <w:sz w:val="20"/>
          <w:szCs w:val="20"/>
        </w:rPr>
      </w:pPr>
    </w:p>
    <w:p w14:paraId="6E681DD5" w14:textId="77777777" w:rsidR="00CA19B4" w:rsidRDefault="008D22C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B4D6838" w14:textId="77777777" w:rsidR="00CA19B4" w:rsidRDefault="008D22C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3A3FF4A" w14:textId="77777777" w:rsidR="00CA19B4" w:rsidRDefault="00CA19B4" w:rsidP="00CA19B4">
      <w:pPr>
        <w:ind w:firstLine="720"/>
        <w:rPr>
          <w:rFonts w:ascii="Times New Roman" w:hAnsi="Times New Roman" w:cs="Times New Roman"/>
          <w:sz w:val="20"/>
          <w:szCs w:val="20"/>
        </w:rPr>
      </w:pPr>
    </w:p>
    <w:p w14:paraId="558596A5" w14:textId="77777777" w:rsidR="00CA19B4" w:rsidRDefault="008D22C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0F10CD7" w14:textId="77777777" w:rsidR="006D68B7" w:rsidRDefault="006D68B7">
      <w:pPr>
        <w:sectPr w:rsidR="006D68B7" w:rsidSect="00BE76D2">
          <w:footerReference w:type="default" r:id="rId7"/>
          <w:pgSz w:w="12240" w:h="15840"/>
          <w:pgMar w:top="1440" w:right="1440" w:bottom="1440" w:left="1440" w:header="720" w:footer="720" w:gutter="0"/>
          <w:cols w:space="720"/>
        </w:sectPr>
      </w:pPr>
    </w:p>
    <w:p w14:paraId="3A863FDD" w14:textId="77777777" w:rsidR="00A53CEA" w:rsidRDefault="00A53CEA" w:rsidP="00A53CEA">
      <w:pPr>
        <w:ind w:firstLine="720"/>
        <w:rPr>
          <w:rFonts w:ascii="Times New Roman" w:hAnsi="Times New Roman" w:cs="Times New Roman"/>
          <w:sz w:val="20"/>
          <w:szCs w:val="20"/>
        </w:rPr>
      </w:pPr>
    </w:p>
    <w:p w14:paraId="4B4CDE1F" w14:textId="77777777" w:rsidR="00A53CEA" w:rsidRPr="00C61944" w:rsidRDefault="008D22CB"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265F9" w14:paraId="0C8B90D8" w14:textId="77777777" w:rsidTr="008175F8">
        <w:trPr>
          <w:trHeight w:val="37"/>
        </w:trPr>
        <w:tc>
          <w:tcPr>
            <w:tcW w:w="8545" w:type="dxa"/>
            <w:shd w:val="clear" w:color="auto" w:fill="31849B"/>
          </w:tcPr>
          <w:p w14:paraId="5EF23296" w14:textId="77777777" w:rsidR="00A53CEA" w:rsidRPr="005B0132" w:rsidRDefault="008D22CB" w:rsidP="008175F8">
            <w:pPr>
              <w:rPr>
                <w:rFonts w:asciiTheme="minorHAnsi" w:hAnsiTheme="minorHAnsi" w:cstheme="minorHAnsi"/>
                <w:b/>
                <w:i/>
                <w:color w:val="DBE5F1" w:themeColor="accent1" w:themeTint="33"/>
                <w:sz w:val="32"/>
                <w:szCs w:val="20"/>
              </w:rPr>
            </w:pPr>
            <w:r>
              <w:t>Meal Patterns and Nutritional Quality</w:t>
            </w:r>
          </w:p>
        </w:tc>
      </w:tr>
      <w:tr w:rsidR="002265F9" w14:paraId="7BFAA99A" w14:textId="77777777" w:rsidTr="008175F8">
        <w:trPr>
          <w:trHeight w:val="37"/>
        </w:trPr>
        <w:tc>
          <w:tcPr>
            <w:tcW w:w="8545" w:type="dxa"/>
            <w:shd w:val="clear" w:color="auto" w:fill="D9D9D9"/>
          </w:tcPr>
          <w:p w14:paraId="6140549B" w14:textId="77777777" w:rsidR="00A53CEA" w:rsidRPr="0076532F" w:rsidRDefault="008D22CB" w:rsidP="008175F8">
            <w:pPr>
              <w:rPr>
                <w:rFonts w:ascii="Times New Roman" w:hAnsi="Times New Roman" w:cs="Times New Roman"/>
                <w:b/>
                <w:sz w:val="20"/>
                <w:szCs w:val="20"/>
              </w:rPr>
            </w:pPr>
            <w:r>
              <w:t>Meal Components &amp; Quantities- Lunch Program</w:t>
            </w:r>
          </w:p>
        </w:tc>
      </w:tr>
      <w:tr w:rsidR="002265F9" w14:paraId="505A714F" w14:textId="77777777" w:rsidTr="008175F8">
        <w:trPr>
          <w:trHeight w:val="37"/>
        </w:trPr>
        <w:tc>
          <w:tcPr>
            <w:tcW w:w="8545" w:type="dxa"/>
            <w:shd w:val="clear" w:color="auto" w:fill="auto"/>
          </w:tcPr>
          <w:p w14:paraId="5A497D58"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The posted lunch signage promotes other beverages as an alternative selection to fluid milk throughout the food service area.</w:t>
            </w:r>
          </w:p>
        </w:tc>
      </w:tr>
      <w:tr w:rsidR="002265F9" w14:paraId="498C3E96" w14:textId="77777777" w:rsidTr="008175F8">
        <w:trPr>
          <w:trHeight w:val="37"/>
        </w:trPr>
        <w:tc>
          <w:tcPr>
            <w:tcW w:w="8545" w:type="dxa"/>
            <w:shd w:val="clear" w:color="auto" w:fill="D9D9D9"/>
          </w:tcPr>
          <w:p w14:paraId="38B9C375" w14:textId="77777777" w:rsidR="00A53CEA" w:rsidRPr="0076532F" w:rsidRDefault="008D22CB" w:rsidP="008175F8">
            <w:pPr>
              <w:rPr>
                <w:rFonts w:ascii="Times New Roman" w:hAnsi="Times New Roman" w:cs="Times New Roman"/>
                <w:b/>
                <w:sz w:val="20"/>
                <w:szCs w:val="20"/>
              </w:rPr>
            </w:pPr>
            <w:r>
              <w:t>Dietary Specifications &amp; Nutrition Analysis</w:t>
            </w:r>
          </w:p>
        </w:tc>
      </w:tr>
      <w:tr w:rsidR="002265F9" w14:paraId="432C7F50" w14:textId="77777777" w:rsidTr="008175F8">
        <w:trPr>
          <w:trHeight w:val="37"/>
        </w:trPr>
        <w:tc>
          <w:tcPr>
            <w:tcW w:w="8545" w:type="dxa"/>
            <w:shd w:val="clear" w:color="auto" w:fill="auto"/>
          </w:tcPr>
          <w:p w14:paraId="2449ED97"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2265F9" w14:paraId="7DDC6B5E" w14:textId="77777777" w:rsidTr="008175F8">
        <w:trPr>
          <w:trHeight w:val="37"/>
        </w:trPr>
        <w:tc>
          <w:tcPr>
            <w:tcW w:w="8545" w:type="dxa"/>
            <w:shd w:val="clear" w:color="auto" w:fill="31849B"/>
          </w:tcPr>
          <w:p w14:paraId="1D1D0884" w14:textId="77777777" w:rsidR="00A53CEA" w:rsidRPr="005B0132" w:rsidRDefault="008D22CB" w:rsidP="008175F8">
            <w:pPr>
              <w:rPr>
                <w:rFonts w:asciiTheme="minorHAnsi" w:hAnsiTheme="minorHAnsi" w:cstheme="minorHAnsi"/>
                <w:b/>
                <w:i/>
                <w:color w:val="DBE5F1" w:themeColor="accent1" w:themeTint="33"/>
                <w:sz w:val="32"/>
                <w:szCs w:val="20"/>
              </w:rPr>
            </w:pPr>
            <w:r>
              <w:t>School Nutrition Environment</w:t>
            </w:r>
          </w:p>
        </w:tc>
      </w:tr>
      <w:tr w:rsidR="002265F9" w14:paraId="5B80ACA6" w14:textId="77777777" w:rsidTr="008175F8">
        <w:trPr>
          <w:trHeight w:val="37"/>
        </w:trPr>
        <w:tc>
          <w:tcPr>
            <w:tcW w:w="8545" w:type="dxa"/>
            <w:shd w:val="clear" w:color="auto" w:fill="D9D9D9"/>
          </w:tcPr>
          <w:p w14:paraId="0C0FF6ED" w14:textId="77777777" w:rsidR="00A53CEA" w:rsidRPr="0076532F" w:rsidRDefault="008D22CB" w:rsidP="008175F8">
            <w:pPr>
              <w:rPr>
                <w:rFonts w:ascii="Times New Roman" w:hAnsi="Times New Roman" w:cs="Times New Roman"/>
                <w:b/>
                <w:sz w:val="20"/>
                <w:szCs w:val="20"/>
              </w:rPr>
            </w:pPr>
            <w:r>
              <w:t>Food Safety</w:t>
            </w:r>
          </w:p>
        </w:tc>
      </w:tr>
      <w:tr w:rsidR="002265F9" w14:paraId="409BEA9E" w14:textId="77777777" w:rsidTr="008175F8">
        <w:trPr>
          <w:trHeight w:val="37"/>
        </w:trPr>
        <w:tc>
          <w:tcPr>
            <w:tcW w:w="8545" w:type="dxa"/>
            <w:shd w:val="clear" w:color="auto" w:fill="auto"/>
          </w:tcPr>
          <w:p w14:paraId="726C523D"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2265F9" w14:paraId="4DE28E3B" w14:textId="77777777" w:rsidTr="008175F8">
        <w:trPr>
          <w:trHeight w:val="37"/>
        </w:trPr>
        <w:tc>
          <w:tcPr>
            <w:tcW w:w="8545" w:type="dxa"/>
            <w:shd w:val="clear" w:color="auto" w:fill="auto"/>
          </w:tcPr>
          <w:p w14:paraId="38847E00"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2265F9" w14:paraId="068B9361" w14:textId="77777777" w:rsidTr="008175F8">
        <w:trPr>
          <w:trHeight w:val="37"/>
        </w:trPr>
        <w:tc>
          <w:tcPr>
            <w:tcW w:w="8545" w:type="dxa"/>
            <w:shd w:val="clear" w:color="auto" w:fill="D9D9D9"/>
          </w:tcPr>
          <w:p w14:paraId="07774B2C" w14:textId="77777777" w:rsidR="00A53CEA" w:rsidRPr="0076532F" w:rsidRDefault="008D22CB" w:rsidP="008175F8">
            <w:pPr>
              <w:rPr>
                <w:rFonts w:ascii="Times New Roman" w:hAnsi="Times New Roman" w:cs="Times New Roman"/>
                <w:b/>
                <w:sz w:val="20"/>
                <w:szCs w:val="20"/>
              </w:rPr>
            </w:pPr>
            <w:r>
              <w:t>Local School Wellness Policy</w:t>
            </w:r>
          </w:p>
        </w:tc>
      </w:tr>
      <w:tr w:rsidR="002265F9" w14:paraId="5D629A82" w14:textId="77777777" w:rsidTr="008175F8">
        <w:trPr>
          <w:trHeight w:val="37"/>
        </w:trPr>
        <w:tc>
          <w:tcPr>
            <w:tcW w:w="8545" w:type="dxa"/>
            <w:shd w:val="clear" w:color="auto" w:fill="auto"/>
          </w:tcPr>
          <w:p w14:paraId="33A1B326"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policy is missing the following criteria: </w:t>
            </w:r>
            <w:r>
              <w:cr/>
              <w:t>Policies for food and beverage marketing.</w:t>
            </w:r>
            <w:r>
              <w:cr/>
              <w:t>Goals for nutrition promotion and education, physical activity and/or other school-based activities.</w:t>
            </w:r>
            <w:r>
              <w:cr/>
              <w:t>Nutrition guidance for some or all foods available on school campus.</w:t>
            </w:r>
          </w:p>
        </w:tc>
      </w:tr>
      <w:tr w:rsidR="002265F9" w14:paraId="4B79EFF2" w14:textId="77777777" w:rsidTr="008175F8">
        <w:trPr>
          <w:trHeight w:val="37"/>
        </w:trPr>
        <w:tc>
          <w:tcPr>
            <w:tcW w:w="8545" w:type="dxa"/>
            <w:shd w:val="clear" w:color="auto" w:fill="auto"/>
          </w:tcPr>
          <w:p w14:paraId="2ACE6809"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2265F9" w14:paraId="5DE6C026" w14:textId="77777777" w:rsidTr="008175F8">
        <w:trPr>
          <w:trHeight w:val="37"/>
        </w:trPr>
        <w:tc>
          <w:tcPr>
            <w:tcW w:w="8545" w:type="dxa"/>
            <w:shd w:val="clear" w:color="auto" w:fill="auto"/>
          </w:tcPr>
          <w:p w14:paraId="1FF6E61E"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r>
              <w:cr/>
              <w:t>The School Food Authority does not have documentation demonstrating the results of the assessment have been made available to the public.</w:t>
            </w:r>
          </w:p>
        </w:tc>
      </w:tr>
      <w:tr w:rsidR="002265F9" w14:paraId="08D53A95" w14:textId="77777777" w:rsidTr="008175F8">
        <w:trPr>
          <w:trHeight w:val="37"/>
        </w:trPr>
        <w:tc>
          <w:tcPr>
            <w:tcW w:w="8545" w:type="dxa"/>
            <w:shd w:val="clear" w:color="auto" w:fill="auto"/>
          </w:tcPr>
          <w:p w14:paraId="786654EF"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2265F9" w14:paraId="494136B5" w14:textId="77777777" w:rsidTr="008175F8">
        <w:trPr>
          <w:trHeight w:val="37"/>
        </w:trPr>
        <w:tc>
          <w:tcPr>
            <w:tcW w:w="8545" w:type="dxa"/>
            <w:shd w:val="clear" w:color="auto" w:fill="D9D9D9"/>
          </w:tcPr>
          <w:p w14:paraId="77350D03" w14:textId="77777777" w:rsidR="00A53CEA" w:rsidRPr="0076532F" w:rsidRDefault="008D22CB" w:rsidP="008175F8">
            <w:pPr>
              <w:rPr>
                <w:rFonts w:ascii="Times New Roman" w:hAnsi="Times New Roman" w:cs="Times New Roman"/>
                <w:b/>
                <w:sz w:val="20"/>
                <w:szCs w:val="20"/>
              </w:rPr>
            </w:pPr>
            <w:r>
              <w:t>Smart Snacks</w:t>
            </w:r>
          </w:p>
        </w:tc>
      </w:tr>
      <w:tr w:rsidR="002265F9" w14:paraId="5AE9F14E" w14:textId="77777777" w:rsidTr="008175F8">
        <w:trPr>
          <w:trHeight w:val="37"/>
        </w:trPr>
        <w:tc>
          <w:tcPr>
            <w:tcW w:w="8545" w:type="dxa"/>
            <w:shd w:val="clear" w:color="auto" w:fill="auto"/>
          </w:tcPr>
          <w:p w14:paraId="65DC9917"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Beverages do not meet requirements for the youngest age group.</w:t>
            </w:r>
          </w:p>
        </w:tc>
      </w:tr>
      <w:tr w:rsidR="002265F9" w14:paraId="7E29359F" w14:textId="77777777" w:rsidTr="008175F8">
        <w:trPr>
          <w:trHeight w:val="37"/>
        </w:trPr>
        <w:tc>
          <w:tcPr>
            <w:tcW w:w="8545" w:type="dxa"/>
            <w:shd w:val="clear" w:color="auto" w:fill="31849B"/>
          </w:tcPr>
          <w:p w14:paraId="5BDB1108" w14:textId="77777777" w:rsidR="00A53CEA" w:rsidRPr="005B0132" w:rsidRDefault="008D22CB" w:rsidP="008175F8">
            <w:pPr>
              <w:rPr>
                <w:rFonts w:asciiTheme="minorHAnsi" w:hAnsiTheme="minorHAnsi" w:cstheme="minorHAnsi"/>
                <w:b/>
                <w:i/>
                <w:color w:val="DBE5F1" w:themeColor="accent1" w:themeTint="33"/>
                <w:sz w:val="32"/>
                <w:szCs w:val="20"/>
              </w:rPr>
            </w:pPr>
            <w:r>
              <w:t>Civil Rights</w:t>
            </w:r>
          </w:p>
        </w:tc>
      </w:tr>
      <w:tr w:rsidR="002265F9" w14:paraId="733526ED" w14:textId="77777777" w:rsidTr="008175F8">
        <w:trPr>
          <w:trHeight w:val="37"/>
        </w:trPr>
        <w:tc>
          <w:tcPr>
            <w:tcW w:w="8545" w:type="dxa"/>
            <w:shd w:val="clear" w:color="auto" w:fill="auto"/>
          </w:tcPr>
          <w:p w14:paraId="0DFB0D2D"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r>
              <w:cr/>
              <w:t xml:space="preserve">The School Food Authority did not use the </w:t>
            </w:r>
            <w:proofErr w:type="gramStart"/>
            <w:r>
              <w:t>Nuts and Bolts</w:t>
            </w:r>
            <w:proofErr w:type="gramEnd"/>
            <w:r>
              <w:t xml:space="preserve"> OnDemand: Civil Rights in Child Nutrition Programs to train staff.</w:t>
            </w:r>
          </w:p>
        </w:tc>
      </w:tr>
      <w:tr w:rsidR="002265F9" w14:paraId="37507161" w14:textId="77777777" w:rsidTr="008175F8">
        <w:trPr>
          <w:trHeight w:val="37"/>
        </w:trPr>
        <w:tc>
          <w:tcPr>
            <w:tcW w:w="8545" w:type="dxa"/>
            <w:shd w:val="clear" w:color="auto" w:fill="auto"/>
          </w:tcPr>
          <w:p w14:paraId="5923390C"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2265F9" w14:paraId="22B83E8E" w14:textId="77777777" w:rsidTr="008175F8">
        <w:trPr>
          <w:trHeight w:val="37"/>
        </w:trPr>
        <w:tc>
          <w:tcPr>
            <w:tcW w:w="8545" w:type="dxa"/>
            <w:shd w:val="clear" w:color="auto" w:fill="auto"/>
          </w:tcPr>
          <w:p w14:paraId="241A5EEC"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2265F9" w14:paraId="0F794D8F" w14:textId="77777777" w:rsidTr="008175F8">
        <w:trPr>
          <w:trHeight w:val="37"/>
        </w:trPr>
        <w:tc>
          <w:tcPr>
            <w:tcW w:w="8545" w:type="dxa"/>
            <w:shd w:val="clear" w:color="auto" w:fill="auto"/>
          </w:tcPr>
          <w:p w14:paraId="1144979E" w14:textId="77777777" w:rsidR="00A53CEA" w:rsidRPr="005B0132" w:rsidRDefault="008D22CB"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bl>
    <w:p w14:paraId="3BA13387" w14:textId="77777777" w:rsidR="00A53CEA" w:rsidRPr="00223718" w:rsidRDefault="00A53CEA" w:rsidP="00A53CEA">
      <w:pPr>
        <w:rPr>
          <w:rFonts w:ascii="Times New Roman" w:hAnsi="Times New Roman" w:cs="Times New Roman"/>
          <w:sz w:val="20"/>
          <w:szCs w:val="20"/>
        </w:rPr>
      </w:pPr>
    </w:p>
    <w:p w14:paraId="32428DF2" w14:textId="77777777" w:rsidR="00A53CEA" w:rsidRDefault="00A53CEA" w:rsidP="00A53CEA"/>
    <w:p w14:paraId="3E4C56D4" w14:textId="77777777" w:rsidR="006D68B7" w:rsidRDefault="006D68B7">
      <w:pPr>
        <w:sectPr w:rsidR="006D68B7" w:rsidSect="00BE76D2">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265F9" w14:paraId="0916914E" w14:textId="77777777" w:rsidTr="00A708A7">
        <w:trPr>
          <w:trHeight w:val="37"/>
        </w:trPr>
        <w:tc>
          <w:tcPr>
            <w:tcW w:w="8545" w:type="dxa"/>
            <w:shd w:val="clear" w:color="auto" w:fill="31849B"/>
          </w:tcPr>
          <w:p w14:paraId="11ABDBA9" w14:textId="77777777" w:rsidR="00E2351D" w:rsidRPr="00A510CB" w:rsidRDefault="008D22CB" w:rsidP="00A708A7">
            <w:pPr>
              <w:rPr>
                <w:rFonts w:ascii="Times New Roman" w:hAnsi="Times New Roman" w:cs="Times New Roman"/>
                <w:b/>
                <w:i/>
                <w:color w:val="auto"/>
                <w:sz w:val="24"/>
                <w:szCs w:val="24"/>
              </w:rPr>
            </w:pPr>
            <w:r w:rsidRPr="00A510CB">
              <w:rPr>
                <w:rFonts w:ascii="Times New Roman" w:hAnsi="Times New Roman" w:cs="Times New Roman"/>
                <w:b/>
                <w:i/>
                <w:color w:val="auto"/>
                <w:sz w:val="24"/>
                <w:szCs w:val="24"/>
              </w:rPr>
              <w:lastRenderedPageBreak/>
              <w:t>Noteworthy Observations</w:t>
            </w:r>
          </w:p>
        </w:tc>
      </w:tr>
      <w:tr w:rsidR="002265F9" w14:paraId="0ACFA0A3" w14:textId="77777777" w:rsidTr="00A708A7">
        <w:trPr>
          <w:trHeight w:val="37"/>
        </w:trPr>
        <w:tc>
          <w:tcPr>
            <w:tcW w:w="8545" w:type="dxa"/>
            <w:shd w:val="clear" w:color="auto" w:fill="auto"/>
          </w:tcPr>
          <w:p w14:paraId="41D10593" w14:textId="77777777" w:rsidR="00E2351D" w:rsidRPr="00935CAD" w:rsidRDefault="008D22CB" w:rsidP="00A708A7">
            <w:pPr>
              <w:rPr>
                <w:rFonts w:ascii="Times New Roman" w:hAnsi="Times New Roman" w:cs="Times New Roman"/>
                <w:sz w:val="20"/>
                <w:szCs w:val="20"/>
              </w:rPr>
            </w:pPr>
            <w:r>
              <w:t xml:space="preserve">The Review Team found the following noteworthy items: Dover-Sherborn Regional School District maintained a clean and </w:t>
            </w:r>
            <w:proofErr w:type="gramStart"/>
            <w:r>
              <w:t>well organized</w:t>
            </w:r>
            <w:proofErr w:type="gramEnd"/>
            <w:r>
              <w:t xml:space="preserve"> kitchen. There was a wide variety of menu options that the student's seemed to enjoy.</w:t>
            </w:r>
          </w:p>
        </w:tc>
      </w:tr>
    </w:tbl>
    <w:p w14:paraId="5A52449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5931" w14:textId="77777777" w:rsidR="00BE76D2" w:rsidRDefault="00BE76D2">
      <w:r>
        <w:separator/>
      </w:r>
    </w:p>
  </w:endnote>
  <w:endnote w:type="continuationSeparator" w:id="0">
    <w:p w14:paraId="01A5654A" w14:textId="77777777" w:rsidR="00BE76D2" w:rsidRDefault="00BE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9DEB" w14:textId="77777777" w:rsidR="0037068A" w:rsidRDefault="008D22CB"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5E1C1AA8"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7A9E" w14:textId="77777777" w:rsidR="0037068A" w:rsidRDefault="008D22CB"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577FCFF2"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E169" w14:textId="77777777" w:rsidR="00BE76D2" w:rsidRDefault="00BE76D2">
      <w:r>
        <w:separator/>
      </w:r>
    </w:p>
  </w:footnote>
  <w:footnote w:type="continuationSeparator" w:id="0">
    <w:p w14:paraId="5EC99D4B" w14:textId="77777777" w:rsidR="00BE76D2" w:rsidRDefault="00BE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46F0FC26">
      <w:start w:val="1"/>
      <w:numFmt w:val="bullet"/>
      <w:lvlText w:val=""/>
      <w:lvlJc w:val="left"/>
      <w:pPr>
        <w:ind w:left="720" w:hanging="360"/>
      </w:pPr>
      <w:rPr>
        <w:rFonts w:ascii="Symbol" w:hAnsi="Symbol" w:hint="default"/>
      </w:rPr>
    </w:lvl>
    <w:lvl w:ilvl="1" w:tplc="C57849F2" w:tentative="1">
      <w:start w:val="1"/>
      <w:numFmt w:val="bullet"/>
      <w:lvlText w:val="o"/>
      <w:lvlJc w:val="left"/>
      <w:pPr>
        <w:ind w:left="1440" w:hanging="360"/>
      </w:pPr>
      <w:rPr>
        <w:rFonts w:ascii="Courier New" w:hAnsi="Courier New" w:cs="Courier New" w:hint="default"/>
      </w:rPr>
    </w:lvl>
    <w:lvl w:ilvl="2" w:tplc="5980EB30" w:tentative="1">
      <w:start w:val="1"/>
      <w:numFmt w:val="bullet"/>
      <w:lvlText w:val=""/>
      <w:lvlJc w:val="left"/>
      <w:pPr>
        <w:ind w:left="2160" w:hanging="360"/>
      </w:pPr>
      <w:rPr>
        <w:rFonts w:ascii="Wingdings" w:hAnsi="Wingdings" w:hint="default"/>
      </w:rPr>
    </w:lvl>
    <w:lvl w:ilvl="3" w:tplc="1E58986C" w:tentative="1">
      <w:start w:val="1"/>
      <w:numFmt w:val="bullet"/>
      <w:lvlText w:val=""/>
      <w:lvlJc w:val="left"/>
      <w:pPr>
        <w:ind w:left="2880" w:hanging="360"/>
      </w:pPr>
      <w:rPr>
        <w:rFonts w:ascii="Symbol" w:hAnsi="Symbol" w:hint="default"/>
      </w:rPr>
    </w:lvl>
    <w:lvl w:ilvl="4" w:tplc="01C06854" w:tentative="1">
      <w:start w:val="1"/>
      <w:numFmt w:val="bullet"/>
      <w:lvlText w:val="o"/>
      <w:lvlJc w:val="left"/>
      <w:pPr>
        <w:ind w:left="3600" w:hanging="360"/>
      </w:pPr>
      <w:rPr>
        <w:rFonts w:ascii="Courier New" w:hAnsi="Courier New" w:cs="Courier New" w:hint="default"/>
      </w:rPr>
    </w:lvl>
    <w:lvl w:ilvl="5" w:tplc="C82829DC" w:tentative="1">
      <w:start w:val="1"/>
      <w:numFmt w:val="bullet"/>
      <w:lvlText w:val=""/>
      <w:lvlJc w:val="left"/>
      <w:pPr>
        <w:ind w:left="4320" w:hanging="360"/>
      </w:pPr>
      <w:rPr>
        <w:rFonts w:ascii="Wingdings" w:hAnsi="Wingdings" w:hint="default"/>
      </w:rPr>
    </w:lvl>
    <w:lvl w:ilvl="6" w:tplc="5868E2A4" w:tentative="1">
      <w:start w:val="1"/>
      <w:numFmt w:val="bullet"/>
      <w:lvlText w:val=""/>
      <w:lvlJc w:val="left"/>
      <w:pPr>
        <w:ind w:left="5040" w:hanging="360"/>
      </w:pPr>
      <w:rPr>
        <w:rFonts w:ascii="Symbol" w:hAnsi="Symbol" w:hint="default"/>
      </w:rPr>
    </w:lvl>
    <w:lvl w:ilvl="7" w:tplc="2EFA838E" w:tentative="1">
      <w:start w:val="1"/>
      <w:numFmt w:val="bullet"/>
      <w:lvlText w:val="o"/>
      <w:lvlJc w:val="left"/>
      <w:pPr>
        <w:ind w:left="5760" w:hanging="360"/>
      </w:pPr>
      <w:rPr>
        <w:rFonts w:ascii="Courier New" w:hAnsi="Courier New" w:cs="Courier New" w:hint="default"/>
      </w:rPr>
    </w:lvl>
    <w:lvl w:ilvl="8" w:tplc="69E8561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88A46AA">
      <w:start w:val="1"/>
      <w:numFmt w:val="decimal"/>
      <w:lvlText w:val="%1."/>
      <w:lvlJc w:val="left"/>
      <w:pPr>
        <w:ind w:left="720" w:hanging="360"/>
      </w:pPr>
      <w:rPr>
        <w:rFonts w:hint="default"/>
      </w:rPr>
    </w:lvl>
    <w:lvl w:ilvl="1" w:tplc="4D922FA0" w:tentative="1">
      <w:start w:val="1"/>
      <w:numFmt w:val="lowerLetter"/>
      <w:lvlText w:val="%2."/>
      <w:lvlJc w:val="left"/>
      <w:pPr>
        <w:ind w:left="1440" w:hanging="360"/>
      </w:pPr>
    </w:lvl>
    <w:lvl w:ilvl="2" w:tplc="9006DF48" w:tentative="1">
      <w:start w:val="1"/>
      <w:numFmt w:val="lowerRoman"/>
      <w:lvlText w:val="%3."/>
      <w:lvlJc w:val="right"/>
      <w:pPr>
        <w:ind w:left="2160" w:hanging="180"/>
      </w:pPr>
    </w:lvl>
    <w:lvl w:ilvl="3" w:tplc="4F5A8290" w:tentative="1">
      <w:start w:val="1"/>
      <w:numFmt w:val="decimal"/>
      <w:lvlText w:val="%4."/>
      <w:lvlJc w:val="left"/>
      <w:pPr>
        <w:ind w:left="2880" w:hanging="360"/>
      </w:pPr>
    </w:lvl>
    <w:lvl w:ilvl="4" w:tplc="52CA6AB0" w:tentative="1">
      <w:start w:val="1"/>
      <w:numFmt w:val="lowerLetter"/>
      <w:lvlText w:val="%5."/>
      <w:lvlJc w:val="left"/>
      <w:pPr>
        <w:ind w:left="3600" w:hanging="360"/>
      </w:pPr>
    </w:lvl>
    <w:lvl w:ilvl="5" w:tplc="622248D4" w:tentative="1">
      <w:start w:val="1"/>
      <w:numFmt w:val="lowerRoman"/>
      <w:lvlText w:val="%6."/>
      <w:lvlJc w:val="right"/>
      <w:pPr>
        <w:ind w:left="4320" w:hanging="180"/>
      </w:pPr>
    </w:lvl>
    <w:lvl w:ilvl="6" w:tplc="817E36F8" w:tentative="1">
      <w:start w:val="1"/>
      <w:numFmt w:val="decimal"/>
      <w:lvlText w:val="%7."/>
      <w:lvlJc w:val="left"/>
      <w:pPr>
        <w:ind w:left="5040" w:hanging="360"/>
      </w:pPr>
    </w:lvl>
    <w:lvl w:ilvl="7" w:tplc="493039AC" w:tentative="1">
      <w:start w:val="1"/>
      <w:numFmt w:val="lowerLetter"/>
      <w:lvlText w:val="%8."/>
      <w:lvlJc w:val="left"/>
      <w:pPr>
        <w:ind w:left="5760" w:hanging="360"/>
      </w:pPr>
    </w:lvl>
    <w:lvl w:ilvl="8" w:tplc="E542BA36" w:tentative="1">
      <w:start w:val="1"/>
      <w:numFmt w:val="lowerRoman"/>
      <w:lvlText w:val="%9."/>
      <w:lvlJc w:val="right"/>
      <w:pPr>
        <w:ind w:left="6480" w:hanging="180"/>
      </w:pPr>
    </w:lvl>
  </w:abstractNum>
  <w:num w:numId="1" w16cid:durableId="1013923663">
    <w:abstractNumId w:val="1"/>
  </w:num>
  <w:num w:numId="2" w16cid:durableId="135908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265F9"/>
    <w:rsid w:val="0027410F"/>
    <w:rsid w:val="00291947"/>
    <w:rsid w:val="002C2C42"/>
    <w:rsid w:val="00335362"/>
    <w:rsid w:val="00362A97"/>
    <w:rsid w:val="0037068A"/>
    <w:rsid w:val="0040164B"/>
    <w:rsid w:val="00413A88"/>
    <w:rsid w:val="004776BD"/>
    <w:rsid w:val="005B0132"/>
    <w:rsid w:val="00642E90"/>
    <w:rsid w:val="006D68B7"/>
    <w:rsid w:val="0076532F"/>
    <w:rsid w:val="008175F8"/>
    <w:rsid w:val="008D22CB"/>
    <w:rsid w:val="00935CAD"/>
    <w:rsid w:val="00983FA1"/>
    <w:rsid w:val="00A42BAA"/>
    <w:rsid w:val="00A510CB"/>
    <w:rsid w:val="00A53CEA"/>
    <w:rsid w:val="00A55AE5"/>
    <w:rsid w:val="00A708A7"/>
    <w:rsid w:val="00B63138"/>
    <w:rsid w:val="00BD51F9"/>
    <w:rsid w:val="00BE76D2"/>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3E2BE"/>
  <w15:docId w15:val="{8793E57F-969B-483D-B139-F57A3580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Dover-Sherborn Regional School District Administrative Review Summary School Year 2023-2024</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Dover-Sherborn Regional School District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