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3048" w14:textId="77777777" w:rsidR="0053605B" w:rsidRPr="00200779" w:rsidRDefault="0053605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4361E31" w14:textId="77777777" w:rsidR="0053605B" w:rsidRDefault="0053605B" w:rsidP="00CA19B4">
      <w:pPr>
        <w:jc w:val="center"/>
        <w:rPr>
          <w:rFonts w:ascii="Times New Roman" w:hAnsi="Times New Roman" w:cs="Times New Roman"/>
          <w:sz w:val="24"/>
          <w:szCs w:val="24"/>
        </w:rPr>
      </w:pPr>
    </w:p>
    <w:p w14:paraId="2B30DDB9" w14:textId="77777777" w:rsidR="0053605B" w:rsidRDefault="0053605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CB6C439" w14:textId="77777777" w:rsidR="0053605B" w:rsidRDefault="0053605B" w:rsidP="00CA19B4">
      <w:pPr>
        <w:rPr>
          <w:rFonts w:ascii="Times New Roman" w:hAnsi="Times New Roman" w:cs="Times New Roman"/>
          <w:sz w:val="20"/>
          <w:szCs w:val="20"/>
        </w:rPr>
      </w:pPr>
    </w:p>
    <w:p w14:paraId="5A927328" w14:textId="77777777" w:rsidR="0053605B" w:rsidRDefault="0053605B" w:rsidP="00CA19B4">
      <w:pPr>
        <w:rPr>
          <w:rFonts w:ascii="Times New Roman" w:hAnsi="Times New Roman" w:cs="Times New Roman"/>
          <w:sz w:val="20"/>
          <w:szCs w:val="20"/>
        </w:rPr>
      </w:pPr>
    </w:p>
    <w:p w14:paraId="3F58A511" w14:textId="77777777" w:rsidR="0053605B" w:rsidRPr="00B63138" w:rsidRDefault="0053605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Holyoke Community Charter School</w:t>
      </w:r>
      <w:bookmarkEnd w:id="0"/>
    </w:p>
    <w:p w14:paraId="46C1475B" w14:textId="77777777" w:rsidR="0053605B" w:rsidRDefault="0053605B" w:rsidP="00CA19B4">
      <w:pPr>
        <w:rPr>
          <w:rFonts w:ascii="Times New Roman" w:hAnsi="Times New Roman" w:cs="Times New Roman"/>
          <w:sz w:val="20"/>
          <w:szCs w:val="20"/>
        </w:rPr>
      </w:pPr>
    </w:p>
    <w:p w14:paraId="7FDB4127" w14:textId="77777777" w:rsidR="0053605B" w:rsidRDefault="0053605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12/06/2023</w:t>
      </w:r>
      <w:bookmarkEnd w:id="1"/>
    </w:p>
    <w:p w14:paraId="195F5FDE" w14:textId="77777777" w:rsidR="0053605B" w:rsidRDefault="0053605B" w:rsidP="00CA19B4">
      <w:pPr>
        <w:rPr>
          <w:rFonts w:ascii="Times New Roman" w:hAnsi="Times New Roman" w:cs="Times New Roman"/>
          <w:sz w:val="20"/>
          <w:szCs w:val="20"/>
        </w:rPr>
      </w:pPr>
    </w:p>
    <w:p w14:paraId="7AED944C" w14:textId="77777777" w:rsidR="0053605B" w:rsidRDefault="0053605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12/07/2023</w:t>
      </w:r>
      <w:bookmarkEnd w:id="2"/>
      <w:proofErr w:type="gramEnd"/>
    </w:p>
    <w:p w14:paraId="075F20D9" w14:textId="77777777" w:rsidR="0053605B" w:rsidRDefault="0053605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77BD469" w14:textId="77777777" w:rsidR="0053605B" w:rsidRDefault="0053605B" w:rsidP="00CA19B4">
      <w:pPr>
        <w:pBdr>
          <w:bottom w:val="single" w:sz="12" w:space="1" w:color="auto"/>
        </w:pBdr>
        <w:rPr>
          <w:rFonts w:ascii="Times New Roman" w:hAnsi="Times New Roman" w:cs="Times New Roman"/>
          <w:sz w:val="20"/>
          <w:szCs w:val="20"/>
        </w:rPr>
      </w:pPr>
    </w:p>
    <w:p w14:paraId="1490A719" w14:textId="77777777" w:rsidR="0053605B" w:rsidRDefault="0053605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0C673397" w14:textId="77777777" w:rsidR="0053605B" w:rsidRDefault="0053605B" w:rsidP="00CA19B4">
      <w:pPr>
        <w:rPr>
          <w:rFonts w:ascii="Times New Roman" w:hAnsi="Times New Roman" w:cs="Times New Roman"/>
          <w:sz w:val="20"/>
          <w:szCs w:val="20"/>
        </w:rPr>
      </w:pPr>
    </w:p>
    <w:p w14:paraId="6E32E299" w14:textId="77777777" w:rsidR="0053605B" w:rsidRPr="00223718" w:rsidRDefault="0053605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12BF102" w14:textId="77777777" w:rsidR="0053605B" w:rsidRDefault="0053605B" w:rsidP="00CA19B4">
      <w:pPr>
        <w:rPr>
          <w:rFonts w:ascii="Times New Roman" w:hAnsi="Times New Roman" w:cs="Times New Roman"/>
          <w:sz w:val="20"/>
          <w:szCs w:val="20"/>
        </w:rPr>
      </w:pPr>
    </w:p>
    <w:p w14:paraId="7DC9A314" w14:textId="77777777" w:rsidR="0053605B" w:rsidRDefault="005360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B822FCD" w14:textId="77777777" w:rsidR="0053605B" w:rsidRDefault="0053605B" w:rsidP="00CA19B4">
      <w:pPr>
        <w:ind w:left="720"/>
        <w:rPr>
          <w:rFonts w:ascii="Times New Roman" w:hAnsi="Times New Roman" w:cs="Times New Roman"/>
          <w:sz w:val="20"/>
          <w:szCs w:val="20"/>
        </w:rPr>
      </w:pPr>
    </w:p>
    <w:bookmarkStart w:id="3" w:name="CHK_SBP"/>
    <w:p w14:paraId="0C7096EE" w14:textId="77777777" w:rsidR="0053605B" w:rsidRDefault="005360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65AD890" w14:textId="77777777" w:rsidR="0053605B" w:rsidRDefault="005360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632FDAD" w14:textId="77777777" w:rsidR="0053605B" w:rsidRDefault="005360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D3ACF3C" w14:textId="77777777" w:rsidR="0053605B" w:rsidRDefault="005360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42CEE29" w14:textId="77777777" w:rsidR="0053605B" w:rsidRDefault="005360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AB99207" w14:textId="77777777" w:rsidR="0053605B" w:rsidRDefault="005360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C240F8D" w14:textId="77777777" w:rsidR="0053605B" w:rsidRDefault="0053605B" w:rsidP="00CA19B4">
      <w:pPr>
        <w:rPr>
          <w:rFonts w:ascii="Times New Roman" w:hAnsi="Times New Roman" w:cs="Times New Roman"/>
          <w:sz w:val="20"/>
          <w:szCs w:val="20"/>
        </w:rPr>
      </w:pPr>
    </w:p>
    <w:p w14:paraId="4E757B8C" w14:textId="77777777" w:rsidR="0053605B" w:rsidRDefault="005360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C119636" w14:textId="77777777" w:rsidR="0053605B" w:rsidRDefault="0053605B" w:rsidP="00CA19B4">
      <w:pPr>
        <w:ind w:left="720"/>
        <w:rPr>
          <w:rFonts w:ascii="Times New Roman" w:hAnsi="Times New Roman" w:cs="Times New Roman"/>
          <w:sz w:val="20"/>
          <w:szCs w:val="20"/>
        </w:rPr>
      </w:pPr>
    </w:p>
    <w:bookmarkStart w:id="9" w:name="CHK_CEP"/>
    <w:p w14:paraId="19BC3BC2" w14:textId="77777777" w:rsidR="0053605B" w:rsidRDefault="005360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54D4669" w14:textId="77777777" w:rsidR="0053605B" w:rsidRDefault="005360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093082E" w14:textId="77777777" w:rsidR="0053605B" w:rsidRDefault="005360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ADA4FB" w14:textId="77777777" w:rsidR="0053605B" w:rsidRDefault="005360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79EE39C" w14:textId="77777777" w:rsidR="0053605B" w:rsidRDefault="0053605B" w:rsidP="00CA19B4">
      <w:pPr>
        <w:rPr>
          <w:rFonts w:ascii="Times New Roman" w:hAnsi="Times New Roman" w:cs="Times New Roman"/>
          <w:sz w:val="20"/>
          <w:szCs w:val="20"/>
        </w:rPr>
      </w:pPr>
    </w:p>
    <w:p w14:paraId="658EBAE0" w14:textId="77777777" w:rsidR="0053605B" w:rsidRPr="00D6151F" w:rsidRDefault="0053605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FA41019" w14:textId="77777777" w:rsidR="0053605B" w:rsidRDefault="0053605B" w:rsidP="00CA19B4">
      <w:pPr>
        <w:rPr>
          <w:rFonts w:ascii="Times New Roman" w:hAnsi="Times New Roman" w:cs="Times New Roman"/>
          <w:sz w:val="20"/>
          <w:szCs w:val="20"/>
        </w:rPr>
      </w:pPr>
    </w:p>
    <w:p w14:paraId="440A5810" w14:textId="77777777" w:rsidR="0053605B" w:rsidRDefault="005360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BE13481" w14:textId="77777777" w:rsidR="0053605B" w:rsidRDefault="0053605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9A818C5" w14:textId="77777777" w:rsidR="0053605B" w:rsidRDefault="0053605B" w:rsidP="00CA19B4">
      <w:pPr>
        <w:ind w:firstLine="720"/>
        <w:rPr>
          <w:rFonts w:ascii="Times New Roman" w:hAnsi="Times New Roman" w:cs="Times New Roman"/>
          <w:sz w:val="20"/>
          <w:szCs w:val="20"/>
        </w:rPr>
      </w:pPr>
    </w:p>
    <w:p w14:paraId="70CB2A96" w14:textId="77777777" w:rsidR="0053605B" w:rsidRDefault="0053605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D2DA159" w14:textId="77777777" w:rsidR="0053605B" w:rsidRDefault="0053605B">
      <w:pPr>
        <w:sectPr w:rsidR="0053605B" w:rsidSect="005B420A">
          <w:footerReference w:type="default" r:id="rId7"/>
          <w:pgSz w:w="12240" w:h="15840"/>
          <w:pgMar w:top="1440" w:right="1440" w:bottom="1440" w:left="1440" w:header="720" w:footer="720" w:gutter="0"/>
          <w:cols w:space="720"/>
        </w:sectPr>
      </w:pPr>
    </w:p>
    <w:p w14:paraId="1A9399B1" w14:textId="77777777" w:rsidR="0053605B" w:rsidRDefault="0053605B" w:rsidP="00A53CEA">
      <w:pPr>
        <w:pStyle w:val="Normal0"/>
        <w:ind w:firstLine="720"/>
        <w:rPr>
          <w:rFonts w:ascii="Times New Roman" w:hAnsi="Times New Roman" w:cs="Times New Roman"/>
          <w:sz w:val="20"/>
          <w:szCs w:val="20"/>
        </w:rPr>
      </w:pPr>
    </w:p>
    <w:p w14:paraId="2B7BE448" w14:textId="77777777" w:rsidR="0053605B" w:rsidRPr="00C61944" w:rsidRDefault="0053605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77B7D" w14:paraId="2C1C88BE" w14:textId="77777777" w:rsidTr="008175F8">
        <w:trPr>
          <w:trHeight w:val="37"/>
        </w:trPr>
        <w:tc>
          <w:tcPr>
            <w:tcW w:w="8545" w:type="dxa"/>
            <w:shd w:val="clear" w:color="auto" w:fill="31849B" w:themeFill="accent5" w:themeFillShade="BF"/>
          </w:tcPr>
          <w:p w14:paraId="4AF174D9" w14:textId="77777777" w:rsidR="0053605B" w:rsidRPr="005B0132" w:rsidRDefault="0053605B" w:rsidP="008175F8">
            <w:pPr>
              <w:pStyle w:val="Normal0"/>
              <w:rPr>
                <w:rFonts w:asciiTheme="minorHAnsi" w:hAnsiTheme="minorHAnsi" w:cstheme="minorHAnsi"/>
                <w:b/>
                <w:i/>
                <w:color w:val="DBE5F1" w:themeColor="accent1" w:themeTint="33"/>
                <w:sz w:val="32"/>
                <w:szCs w:val="20"/>
              </w:rPr>
            </w:pPr>
            <w:r>
              <w:t>Meal Patterns and Nutritional Quality</w:t>
            </w:r>
          </w:p>
        </w:tc>
      </w:tr>
      <w:tr w:rsidR="00977B7D" w14:paraId="434BA311" w14:textId="77777777" w:rsidTr="008175F8">
        <w:trPr>
          <w:trHeight w:val="37"/>
        </w:trPr>
        <w:tc>
          <w:tcPr>
            <w:tcW w:w="8545" w:type="dxa"/>
            <w:shd w:val="clear" w:color="auto" w:fill="D9D9D9" w:themeFill="background1" w:themeFillShade="D9"/>
          </w:tcPr>
          <w:p w14:paraId="5DB6A7AE" w14:textId="77777777" w:rsidR="0053605B" w:rsidRPr="0076532F" w:rsidRDefault="0053605B" w:rsidP="008175F8">
            <w:pPr>
              <w:pStyle w:val="Normal0"/>
              <w:rPr>
                <w:rFonts w:ascii="Times New Roman" w:hAnsi="Times New Roman" w:cs="Times New Roman"/>
                <w:b/>
                <w:sz w:val="20"/>
                <w:szCs w:val="20"/>
              </w:rPr>
            </w:pPr>
            <w:r>
              <w:t>Meal Components &amp; Quantities- Lunch Program</w:t>
            </w:r>
          </w:p>
        </w:tc>
      </w:tr>
      <w:tr w:rsidR="00977B7D" w14:paraId="00925603" w14:textId="77777777" w:rsidTr="008175F8">
        <w:trPr>
          <w:trHeight w:val="37"/>
        </w:trPr>
        <w:tc>
          <w:tcPr>
            <w:tcW w:w="8545" w:type="dxa"/>
            <w:shd w:val="clear" w:color="auto" w:fill="auto"/>
          </w:tcPr>
          <w:p w14:paraId="47BB8962"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Breakfast and lunch production records for all review sites for week of review were incomplete.</w:t>
            </w:r>
          </w:p>
        </w:tc>
      </w:tr>
      <w:tr w:rsidR="00977B7D" w14:paraId="09B4578F" w14:textId="77777777" w:rsidTr="008175F8">
        <w:trPr>
          <w:trHeight w:val="37"/>
        </w:trPr>
        <w:tc>
          <w:tcPr>
            <w:tcW w:w="8545" w:type="dxa"/>
            <w:shd w:val="clear" w:color="auto" w:fill="auto"/>
          </w:tcPr>
          <w:p w14:paraId="08FA69AA"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977B7D" w14:paraId="3324045F" w14:textId="77777777" w:rsidTr="008175F8">
        <w:trPr>
          <w:trHeight w:val="37"/>
        </w:trPr>
        <w:tc>
          <w:tcPr>
            <w:tcW w:w="8545" w:type="dxa"/>
            <w:shd w:val="clear" w:color="auto" w:fill="auto"/>
          </w:tcPr>
          <w:p w14:paraId="668FBBC9"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977B7D" w14:paraId="2FFDF812" w14:textId="77777777" w:rsidTr="008175F8">
        <w:trPr>
          <w:trHeight w:val="37"/>
        </w:trPr>
        <w:tc>
          <w:tcPr>
            <w:tcW w:w="8545" w:type="dxa"/>
            <w:shd w:val="clear" w:color="auto" w:fill="31849B" w:themeFill="accent5" w:themeFillShade="BF"/>
          </w:tcPr>
          <w:p w14:paraId="07C8735A" w14:textId="77777777" w:rsidR="0053605B" w:rsidRPr="005B0132" w:rsidRDefault="0053605B" w:rsidP="008175F8">
            <w:pPr>
              <w:pStyle w:val="Normal0"/>
              <w:rPr>
                <w:rFonts w:asciiTheme="minorHAnsi" w:hAnsiTheme="minorHAnsi" w:cstheme="minorHAnsi"/>
                <w:b/>
                <w:i/>
                <w:color w:val="DBE5F1" w:themeColor="accent1" w:themeTint="33"/>
                <w:sz w:val="32"/>
                <w:szCs w:val="20"/>
              </w:rPr>
            </w:pPr>
            <w:r>
              <w:t>School Nutrition Environment</w:t>
            </w:r>
          </w:p>
        </w:tc>
      </w:tr>
      <w:tr w:rsidR="00977B7D" w14:paraId="74D8111B" w14:textId="77777777" w:rsidTr="008175F8">
        <w:trPr>
          <w:trHeight w:val="37"/>
        </w:trPr>
        <w:tc>
          <w:tcPr>
            <w:tcW w:w="8545" w:type="dxa"/>
            <w:shd w:val="clear" w:color="auto" w:fill="D9D9D9" w:themeFill="background1" w:themeFillShade="D9"/>
          </w:tcPr>
          <w:p w14:paraId="3D22A31B" w14:textId="77777777" w:rsidR="0053605B" w:rsidRPr="0076532F" w:rsidRDefault="0053605B" w:rsidP="008175F8">
            <w:pPr>
              <w:pStyle w:val="Normal0"/>
              <w:rPr>
                <w:rFonts w:ascii="Times New Roman" w:hAnsi="Times New Roman" w:cs="Times New Roman"/>
                <w:b/>
                <w:sz w:val="20"/>
                <w:szCs w:val="20"/>
              </w:rPr>
            </w:pPr>
            <w:r>
              <w:t>Food Safety</w:t>
            </w:r>
          </w:p>
        </w:tc>
      </w:tr>
      <w:tr w:rsidR="00977B7D" w14:paraId="6827E60C" w14:textId="77777777" w:rsidTr="008175F8">
        <w:trPr>
          <w:trHeight w:val="37"/>
        </w:trPr>
        <w:tc>
          <w:tcPr>
            <w:tcW w:w="8545" w:type="dxa"/>
            <w:shd w:val="clear" w:color="auto" w:fill="auto"/>
          </w:tcPr>
          <w:p w14:paraId="201531E5"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 xml:space="preserve">A review of agricultural food components indicated violations of the Buy American provision (7 CFR 210.21(d) during review of products on-site at reviewed </w:t>
            </w:r>
            <w:proofErr w:type="gramStart"/>
            <w:r>
              <w:t>schools..</w:t>
            </w:r>
            <w:proofErr w:type="gramEnd"/>
          </w:p>
        </w:tc>
      </w:tr>
      <w:tr w:rsidR="00977B7D" w14:paraId="7348ED65" w14:textId="77777777" w:rsidTr="008175F8">
        <w:trPr>
          <w:trHeight w:val="37"/>
        </w:trPr>
        <w:tc>
          <w:tcPr>
            <w:tcW w:w="8545" w:type="dxa"/>
            <w:shd w:val="clear" w:color="auto" w:fill="auto"/>
          </w:tcPr>
          <w:p w14:paraId="5DB13B9D"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977B7D" w14:paraId="4BF71CAB" w14:textId="77777777" w:rsidTr="008175F8">
        <w:trPr>
          <w:trHeight w:val="37"/>
        </w:trPr>
        <w:tc>
          <w:tcPr>
            <w:tcW w:w="8545" w:type="dxa"/>
            <w:shd w:val="clear" w:color="auto" w:fill="auto"/>
          </w:tcPr>
          <w:p w14:paraId="4FC82318"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977B7D" w14:paraId="29F49BF5" w14:textId="77777777" w:rsidTr="008175F8">
        <w:trPr>
          <w:trHeight w:val="37"/>
        </w:trPr>
        <w:tc>
          <w:tcPr>
            <w:tcW w:w="8545" w:type="dxa"/>
            <w:shd w:val="clear" w:color="auto" w:fill="auto"/>
          </w:tcPr>
          <w:p w14:paraId="6213BADD"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977B7D" w14:paraId="042511FB" w14:textId="77777777" w:rsidTr="008175F8">
        <w:trPr>
          <w:trHeight w:val="37"/>
        </w:trPr>
        <w:tc>
          <w:tcPr>
            <w:tcW w:w="8545" w:type="dxa"/>
            <w:shd w:val="clear" w:color="auto" w:fill="auto"/>
          </w:tcPr>
          <w:p w14:paraId="280FE085"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977B7D" w14:paraId="42142CA5" w14:textId="77777777" w:rsidTr="008175F8">
        <w:trPr>
          <w:trHeight w:val="37"/>
        </w:trPr>
        <w:tc>
          <w:tcPr>
            <w:tcW w:w="8545" w:type="dxa"/>
            <w:shd w:val="clear" w:color="auto" w:fill="D9D9D9" w:themeFill="background1" w:themeFillShade="D9"/>
          </w:tcPr>
          <w:p w14:paraId="1D2F7E7C" w14:textId="77777777" w:rsidR="0053605B" w:rsidRPr="0076532F" w:rsidRDefault="0053605B" w:rsidP="008175F8">
            <w:pPr>
              <w:pStyle w:val="Normal0"/>
              <w:rPr>
                <w:rFonts w:ascii="Times New Roman" w:hAnsi="Times New Roman" w:cs="Times New Roman"/>
                <w:b/>
                <w:sz w:val="20"/>
                <w:szCs w:val="20"/>
              </w:rPr>
            </w:pPr>
            <w:r>
              <w:t>Local School Wellness Policy</w:t>
            </w:r>
          </w:p>
        </w:tc>
      </w:tr>
      <w:tr w:rsidR="00977B7D" w14:paraId="24D92A22" w14:textId="77777777" w:rsidTr="008175F8">
        <w:trPr>
          <w:trHeight w:val="37"/>
        </w:trPr>
        <w:tc>
          <w:tcPr>
            <w:tcW w:w="8545" w:type="dxa"/>
            <w:shd w:val="clear" w:color="auto" w:fill="auto"/>
          </w:tcPr>
          <w:p w14:paraId="1B01885D"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policies for the following: </w:t>
            </w:r>
            <w:r>
              <w:cr/>
              <w:t>*Food and beverage marketing.</w:t>
            </w:r>
            <w:r>
              <w:cr/>
              <w:t>*Goals for school-based activities.</w:t>
            </w:r>
          </w:p>
        </w:tc>
      </w:tr>
      <w:tr w:rsidR="00977B7D" w14:paraId="30DE466F" w14:textId="77777777" w:rsidTr="008175F8">
        <w:trPr>
          <w:trHeight w:val="37"/>
        </w:trPr>
        <w:tc>
          <w:tcPr>
            <w:tcW w:w="8545" w:type="dxa"/>
            <w:shd w:val="clear" w:color="auto" w:fill="auto"/>
          </w:tcPr>
          <w:p w14:paraId="3A3225BB"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977B7D" w14:paraId="05C9116D" w14:textId="77777777" w:rsidTr="008175F8">
        <w:trPr>
          <w:trHeight w:val="37"/>
        </w:trPr>
        <w:tc>
          <w:tcPr>
            <w:tcW w:w="8545" w:type="dxa"/>
            <w:shd w:val="clear" w:color="auto" w:fill="auto"/>
          </w:tcPr>
          <w:p w14:paraId="5A40DF72"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r>
              <w:cr/>
              <w:t>The School Food Authority does not have documentation demonstrating the results of the assessment have been made available to the public.</w:t>
            </w:r>
          </w:p>
        </w:tc>
      </w:tr>
      <w:tr w:rsidR="00977B7D" w14:paraId="715FD16C" w14:textId="77777777" w:rsidTr="008175F8">
        <w:trPr>
          <w:trHeight w:val="37"/>
        </w:trPr>
        <w:tc>
          <w:tcPr>
            <w:tcW w:w="8545" w:type="dxa"/>
            <w:shd w:val="clear" w:color="auto" w:fill="auto"/>
          </w:tcPr>
          <w:p w14:paraId="0DAE437D"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977B7D" w14:paraId="78D83643" w14:textId="77777777" w:rsidTr="008175F8">
        <w:trPr>
          <w:trHeight w:val="37"/>
        </w:trPr>
        <w:tc>
          <w:tcPr>
            <w:tcW w:w="8545" w:type="dxa"/>
            <w:shd w:val="clear" w:color="auto" w:fill="31849B" w:themeFill="accent5" w:themeFillShade="BF"/>
          </w:tcPr>
          <w:p w14:paraId="03F21339" w14:textId="77777777" w:rsidR="0053605B" w:rsidRPr="005B0132" w:rsidRDefault="0053605B" w:rsidP="008175F8">
            <w:pPr>
              <w:pStyle w:val="Normal0"/>
              <w:rPr>
                <w:rFonts w:asciiTheme="minorHAnsi" w:hAnsiTheme="minorHAnsi" w:cstheme="minorHAnsi"/>
                <w:b/>
                <w:i/>
                <w:color w:val="DBE5F1" w:themeColor="accent1" w:themeTint="33"/>
                <w:sz w:val="32"/>
                <w:szCs w:val="20"/>
              </w:rPr>
            </w:pPr>
            <w:r>
              <w:t>Civil Rights</w:t>
            </w:r>
          </w:p>
        </w:tc>
      </w:tr>
      <w:tr w:rsidR="00977B7D" w14:paraId="2AC4C100" w14:textId="77777777" w:rsidTr="008175F8">
        <w:trPr>
          <w:trHeight w:val="37"/>
        </w:trPr>
        <w:tc>
          <w:tcPr>
            <w:tcW w:w="8545" w:type="dxa"/>
            <w:shd w:val="clear" w:color="auto" w:fill="auto"/>
          </w:tcPr>
          <w:p w14:paraId="19A6B043"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977B7D" w14:paraId="28ED36FC" w14:textId="77777777" w:rsidTr="008175F8">
        <w:trPr>
          <w:trHeight w:val="37"/>
        </w:trPr>
        <w:tc>
          <w:tcPr>
            <w:tcW w:w="8545" w:type="dxa"/>
            <w:shd w:val="clear" w:color="auto" w:fill="auto"/>
          </w:tcPr>
          <w:p w14:paraId="592CDB7D"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977B7D" w14:paraId="084CABCB" w14:textId="77777777" w:rsidTr="008175F8">
        <w:trPr>
          <w:trHeight w:val="37"/>
        </w:trPr>
        <w:tc>
          <w:tcPr>
            <w:tcW w:w="8545" w:type="dxa"/>
            <w:shd w:val="clear" w:color="auto" w:fill="auto"/>
          </w:tcPr>
          <w:p w14:paraId="2F631C97" w14:textId="77777777" w:rsidR="0053605B" w:rsidRPr="005B0132" w:rsidRDefault="0053605B" w:rsidP="00A53CEA">
            <w:pPr>
              <w:pStyle w:val="ListParagraph"/>
              <w:numPr>
                <w:ilvl w:val="0"/>
                <w:numId w:val="2"/>
              </w:numPr>
              <w:ind w:left="540"/>
              <w:rPr>
                <w:rFonts w:ascii="Times New Roman" w:hAnsi="Times New Roman" w:cs="Times New Roman"/>
                <w:sz w:val="20"/>
                <w:szCs w:val="20"/>
              </w:rPr>
            </w:pPr>
            <w:r>
              <w:t>The SFA does has not maintained a civil rights complaint log to track any written or verbal complaints alleging discrimination in FNS Programs.</w:t>
            </w:r>
          </w:p>
        </w:tc>
      </w:tr>
    </w:tbl>
    <w:p w14:paraId="0067438C" w14:textId="77777777" w:rsidR="0053605B" w:rsidRPr="00223718" w:rsidRDefault="0053605B" w:rsidP="00A53CEA">
      <w:pPr>
        <w:pStyle w:val="Normal0"/>
        <w:rPr>
          <w:rFonts w:ascii="Times New Roman" w:hAnsi="Times New Roman" w:cs="Times New Roman"/>
          <w:sz w:val="20"/>
          <w:szCs w:val="20"/>
        </w:rPr>
      </w:pPr>
    </w:p>
    <w:p w14:paraId="1496F933" w14:textId="77777777" w:rsidR="0053605B" w:rsidRDefault="0053605B" w:rsidP="00A53CEA">
      <w:pPr>
        <w:pStyle w:val="Normal0"/>
      </w:pPr>
    </w:p>
    <w:p w14:paraId="7EE2DADD" w14:textId="77777777" w:rsidR="0053605B" w:rsidRDefault="0053605B">
      <w:pPr>
        <w:pStyle w:val="Normal0"/>
        <w:sectPr w:rsidR="0053605B"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77B7D" w14:paraId="1309F4A8" w14:textId="77777777" w:rsidTr="00A708A7">
        <w:trPr>
          <w:trHeight w:val="37"/>
        </w:trPr>
        <w:tc>
          <w:tcPr>
            <w:tcW w:w="8545" w:type="dxa"/>
            <w:shd w:val="clear" w:color="auto" w:fill="31849B" w:themeFill="accent5" w:themeFillShade="BF"/>
          </w:tcPr>
          <w:p w14:paraId="5FF3477A" w14:textId="77777777" w:rsidR="0053605B" w:rsidRPr="00935CAD" w:rsidRDefault="0053605B" w:rsidP="00A708A7">
            <w:pPr>
              <w:pStyle w:val="Normal1"/>
              <w:rPr>
                <w:rFonts w:ascii="Times New Roman" w:hAnsi="Times New Roman" w:cs="Times New Roman"/>
                <w:b/>
                <w:i/>
                <w:color w:val="DBE5F1" w:themeColor="accent1" w:themeTint="33"/>
                <w:sz w:val="24"/>
                <w:szCs w:val="24"/>
              </w:rPr>
            </w:pPr>
            <w:r w:rsidRPr="00620499">
              <w:rPr>
                <w:rFonts w:ascii="Times New Roman" w:hAnsi="Times New Roman" w:cs="Times New Roman"/>
                <w:b/>
                <w:i/>
                <w:color w:val="auto"/>
                <w:sz w:val="24"/>
                <w:szCs w:val="24"/>
              </w:rPr>
              <w:lastRenderedPageBreak/>
              <w:t>Noteworthy Observations</w:t>
            </w:r>
          </w:p>
        </w:tc>
      </w:tr>
      <w:tr w:rsidR="00977B7D" w14:paraId="6ECF6421" w14:textId="77777777" w:rsidTr="00A708A7">
        <w:trPr>
          <w:trHeight w:val="37"/>
        </w:trPr>
        <w:tc>
          <w:tcPr>
            <w:tcW w:w="8545" w:type="dxa"/>
            <w:shd w:val="clear" w:color="auto" w:fill="auto"/>
          </w:tcPr>
          <w:p w14:paraId="7FFB82A1" w14:textId="77777777" w:rsidR="0053605B" w:rsidRPr="00935CAD" w:rsidRDefault="0053605B" w:rsidP="00A708A7">
            <w:pPr>
              <w:pStyle w:val="Normal1"/>
              <w:rPr>
                <w:rFonts w:ascii="Times New Roman" w:hAnsi="Times New Roman" w:cs="Times New Roman"/>
                <w:sz w:val="20"/>
                <w:szCs w:val="20"/>
              </w:rPr>
            </w:pPr>
            <w:r>
              <w:t>The Review Team found the following noteworthy items: The staff were all pleasant to work with, they all take pride in their work and school. The nutrition programs have a great base structure that can be enhanced after this review.</w:t>
            </w:r>
          </w:p>
        </w:tc>
      </w:tr>
    </w:tbl>
    <w:p w14:paraId="254139C1" w14:textId="77777777" w:rsidR="0053605B" w:rsidRDefault="0053605B">
      <w:pPr>
        <w:pStyle w:val="Normal1"/>
      </w:pPr>
    </w:p>
    <w:sectPr w:rsidR="00536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5F29" w14:textId="77777777" w:rsidR="00980D71" w:rsidRDefault="00980D71">
      <w:r>
        <w:separator/>
      </w:r>
    </w:p>
  </w:endnote>
  <w:endnote w:type="continuationSeparator" w:id="0">
    <w:p w14:paraId="5178C647" w14:textId="77777777" w:rsidR="00980D71" w:rsidRDefault="009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397" w14:textId="77777777" w:rsidR="0053605B" w:rsidRDefault="0053605B" w:rsidP="000F3A03">
    <w:pPr>
      <w:pStyle w:val="Footer"/>
      <w:jc w:val="center"/>
      <w:rPr>
        <w:sz w:val="14"/>
      </w:rPr>
    </w:pPr>
    <w:r>
      <w:rPr>
        <w:sz w:val="14"/>
      </w:rPr>
      <w:t xml:space="preserve">This institution is an equal opportunity </w:t>
    </w:r>
    <w:proofErr w:type="gramStart"/>
    <w:r>
      <w:rPr>
        <w:sz w:val="14"/>
      </w:rPr>
      <w:t>provider</w:t>
    </w:r>
    <w:proofErr w:type="gramEnd"/>
  </w:p>
  <w:p w14:paraId="3F402C45" w14:textId="77777777" w:rsidR="0053605B" w:rsidRDefault="00536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BF97" w14:textId="77777777" w:rsidR="0053605B" w:rsidRDefault="0053605B" w:rsidP="000F3A03">
    <w:pPr>
      <w:pStyle w:val="Footer0"/>
      <w:jc w:val="center"/>
      <w:rPr>
        <w:sz w:val="14"/>
      </w:rPr>
    </w:pPr>
    <w:r>
      <w:rPr>
        <w:sz w:val="14"/>
      </w:rPr>
      <w:t xml:space="preserve">This institution is an equal opportunity </w:t>
    </w:r>
    <w:proofErr w:type="gramStart"/>
    <w:r>
      <w:rPr>
        <w:sz w:val="14"/>
      </w:rPr>
      <w:t>provider</w:t>
    </w:r>
    <w:proofErr w:type="gramEnd"/>
  </w:p>
  <w:p w14:paraId="0CECD382" w14:textId="77777777" w:rsidR="0053605B" w:rsidRDefault="0053605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357A" w14:textId="77777777" w:rsidR="00980D71" w:rsidRDefault="00980D71">
      <w:r>
        <w:separator/>
      </w:r>
    </w:p>
  </w:footnote>
  <w:footnote w:type="continuationSeparator" w:id="0">
    <w:p w14:paraId="696FA610" w14:textId="77777777" w:rsidR="00980D71" w:rsidRDefault="0098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D0ACFE56">
      <w:start w:val="1"/>
      <w:numFmt w:val="decimal"/>
      <w:lvlText w:val="%1."/>
      <w:lvlJc w:val="left"/>
      <w:pPr>
        <w:ind w:left="720" w:hanging="360"/>
      </w:pPr>
      <w:rPr>
        <w:rFonts w:hint="default"/>
      </w:rPr>
    </w:lvl>
    <w:lvl w:ilvl="1" w:tplc="D5E08E78" w:tentative="1">
      <w:start w:val="1"/>
      <w:numFmt w:val="lowerLetter"/>
      <w:lvlText w:val="%2."/>
      <w:lvlJc w:val="left"/>
      <w:pPr>
        <w:ind w:left="1440" w:hanging="360"/>
      </w:pPr>
    </w:lvl>
    <w:lvl w:ilvl="2" w:tplc="3C224A66" w:tentative="1">
      <w:start w:val="1"/>
      <w:numFmt w:val="lowerRoman"/>
      <w:lvlText w:val="%3."/>
      <w:lvlJc w:val="right"/>
      <w:pPr>
        <w:ind w:left="2160" w:hanging="180"/>
      </w:pPr>
    </w:lvl>
    <w:lvl w:ilvl="3" w:tplc="782CC8CC" w:tentative="1">
      <w:start w:val="1"/>
      <w:numFmt w:val="decimal"/>
      <w:lvlText w:val="%4."/>
      <w:lvlJc w:val="left"/>
      <w:pPr>
        <w:ind w:left="2880" w:hanging="360"/>
      </w:pPr>
    </w:lvl>
    <w:lvl w:ilvl="4" w:tplc="D88ADDE2" w:tentative="1">
      <w:start w:val="1"/>
      <w:numFmt w:val="lowerLetter"/>
      <w:lvlText w:val="%5."/>
      <w:lvlJc w:val="left"/>
      <w:pPr>
        <w:ind w:left="3600" w:hanging="360"/>
      </w:pPr>
    </w:lvl>
    <w:lvl w:ilvl="5" w:tplc="BD760EE8" w:tentative="1">
      <w:start w:val="1"/>
      <w:numFmt w:val="lowerRoman"/>
      <w:lvlText w:val="%6."/>
      <w:lvlJc w:val="right"/>
      <w:pPr>
        <w:ind w:left="4320" w:hanging="180"/>
      </w:pPr>
    </w:lvl>
    <w:lvl w:ilvl="6" w:tplc="47F29482" w:tentative="1">
      <w:start w:val="1"/>
      <w:numFmt w:val="decimal"/>
      <w:lvlText w:val="%7."/>
      <w:lvlJc w:val="left"/>
      <w:pPr>
        <w:ind w:left="5040" w:hanging="360"/>
      </w:pPr>
    </w:lvl>
    <w:lvl w:ilvl="7" w:tplc="A8CC061E" w:tentative="1">
      <w:start w:val="1"/>
      <w:numFmt w:val="lowerLetter"/>
      <w:lvlText w:val="%8."/>
      <w:lvlJc w:val="left"/>
      <w:pPr>
        <w:ind w:left="5760" w:hanging="360"/>
      </w:pPr>
    </w:lvl>
    <w:lvl w:ilvl="8" w:tplc="031227D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E1CE89E">
      <w:start w:val="1"/>
      <w:numFmt w:val="bullet"/>
      <w:lvlText w:val=""/>
      <w:lvlJc w:val="left"/>
      <w:pPr>
        <w:ind w:left="720" w:hanging="360"/>
      </w:pPr>
      <w:rPr>
        <w:rFonts w:ascii="Symbol" w:hAnsi="Symbol" w:hint="default"/>
      </w:rPr>
    </w:lvl>
    <w:lvl w:ilvl="1" w:tplc="AB74300A" w:tentative="1">
      <w:start w:val="1"/>
      <w:numFmt w:val="bullet"/>
      <w:lvlText w:val="o"/>
      <w:lvlJc w:val="left"/>
      <w:pPr>
        <w:ind w:left="1440" w:hanging="360"/>
      </w:pPr>
      <w:rPr>
        <w:rFonts w:ascii="Courier New" w:hAnsi="Courier New" w:cs="Courier New" w:hint="default"/>
      </w:rPr>
    </w:lvl>
    <w:lvl w:ilvl="2" w:tplc="45E49C1C" w:tentative="1">
      <w:start w:val="1"/>
      <w:numFmt w:val="bullet"/>
      <w:lvlText w:val=""/>
      <w:lvlJc w:val="left"/>
      <w:pPr>
        <w:ind w:left="2160" w:hanging="360"/>
      </w:pPr>
      <w:rPr>
        <w:rFonts w:ascii="Wingdings" w:hAnsi="Wingdings" w:hint="default"/>
      </w:rPr>
    </w:lvl>
    <w:lvl w:ilvl="3" w:tplc="6810A386" w:tentative="1">
      <w:start w:val="1"/>
      <w:numFmt w:val="bullet"/>
      <w:lvlText w:val=""/>
      <w:lvlJc w:val="left"/>
      <w:pPr>
        <w:ind w:left="2880" w:hanging="360"/>
      </w:pPr>
      <w:rPr>
        <w:rFonts w:ascii="Symbol" w:hAnsi="Symbol" w:hint="default"/>
      </w:rPr>
    </w:lvl>
    <w:lvl w:ilvl="4" w:tplc="E238F8AE" w:tentative="1">
      <w:start w:val="1"/>
      <w:numFmt w:val="bullet"/>
      <w:lvlText w:val="o"/>
      <w:lvlJc w:val="left"/>
      <w:pPr>
        <w:ind w:left="3600" w:hanging="360"/>
      </w:pPr>
      <w:rPr>
        <w:rFonts w:ascii="Courier New" w:hAnsi="Courier New" w:cs="Courier New" w:hint="default"/>
      </w:rPr>
    </w:lvl>
    <w:lvl w:ilvl="5" w:tplc="D5A82FC0" w:tentative="1">
      <w:start w:val="1"/>
      <w:numFmt w:val="bullet"/>
      <w:lvlText w:val=""/>
      <w:lvlJc w:val="left"/>
      <w:pPr>
        <w:ind w:left="4320" w:hanging="360"/>
      </w:pPr>
      <w:rPr>
        <w:rFonts w:ascii="Wingdings" w:hAnsi="Wingdings" w:hint="default"/>
      </w:rPr>
    </w:lvl>
    <w:lvl w:ilvl="6" w:tplc="2F12260E" w:tentative="1">
      <w:start w:val="1"/>
      <w:numFmt w:val="bullet"/>
      <w:lvlText w:val=""/>
      <w:lvlJc w:val="left"/>
      <w:pPr>
        <w:ind w:left="5040" w:hanging="360"/>
      </w:pPr>
      <w:rPr>
        <w:rFonts w:ascii="Symbol" w:hAnsi="Symbol" w:hint="default"/>
      </w:rPr>
    </w:lvl>
    <w:lvl w:ilvl="7" w:tplc="3C2E28F2" w:tentative="1">
      <w:start w:val="1"/>
      <w:numFmt w:val="bullet"/>
      <w:lvlText w:val="o"/>
      <w:lvlJc w:val="left"/>
      <w:pPr>
        <w:ind w:left="5760" w:hanging="360"/>
      </w:pPr>
      <w:rPr>
        <w:rFonts w:ascii="Courier New" w:hAnsi="Courier New" w:cs="Courier New" w:hint="default"/>
      </w:rPr>
    </w:lvl>
    <w:lvl w:ilvl="8" w:tplc="302C963E" w:tentative="1">
      <w:start w:val="1"/>
      <w:numFmt w:val="bullet"/>
      <w:lvlText w:val=""/>
      <w:lvlJc w:val="left"/>
      <w:pPr>
        <w:ind w:left="6480" w:hanging="360"/>
      </w:pPr>
      <w:rPr>
        <w:rFonts w:ascii="Wingdings" w:hAnsi="Wingdings" w:hint="default"/>
      </w:rPr>
    </w:lvl>
  </w:abstractNum>
  <w:num w:numId="1" w16cid:durableId="1232303272">
    <w:abstractNumId w:val="0"/>
  </w:num>
  <w:num w:numId="2" w16cid:durableId="1057314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7D"/>
    <w:rsid w:val="0053605B"/>
    <w:rsid w:val="00620499"/>
    <w:rsid w:val="00977B7D"/>
    <w:rsid w:val="00980D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60B5"/>
  <w15:docId w15:val="{E977320E-B855-4315-981C-FFF88E72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Holyoke Community Charter School Administrative Review Summary School Year 2023-2024</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Community Charter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