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4157E" w:rsidRPr="00455B18" w:rsidRDefault="0064157E" w:rsidP="00D27018">
      <w:pPr>
        <w:jc w:val="both"/>
        <w:rPr>
          <w:rFonts w:ascii="Candara" w:hAnsi="Candara"/>
          <w:sz w:val="23"/>
          <w:szCs w:val="23"/>
        </w:rPr>
      </w:pPr>
    </w:p>
    <w:p w14:paraId="0A37501D" w14:textId="77777777" w:rsidR="0064157E" w:rsidRPr="00455B18" w:rsidRDefault="0064157E" w:rsidP="00D27018">
      <w:pPr>
        <w:rPr>
          <w:rFonts w:ascii="Candara" w:hAnsi="Candara"/>
          <w:sz w:val="23"/>
          <w:szCs w:val="23"/>
        </w:rPr>
      </w:pPr>
    </w:p>
    <w:p w14:paraId="5DAB6C7B" w14:textId="77777777" w:rsidR="0064157E" w:rsidRPr="00455B18" w:rsidRDefault="0064157E" w:rsidP="00D27018">
      <w:pPr>
        <w:rPr>
          <w:rFonts w:ascii="Candara" w:hAnsi="Candara"/>
          <w:sz w:val="23"/>
          <w:szCs w:val="23"/>
        </w:rPr>
      </w:pPr>
    </w:p>
    <w:p w14:paraId="02EB378F" w14:textId="77777777" w:rsidR="003D7250" w:rsidRPr="00455B18" w:rsidRDefault="003D7250" w:rsidP="00D27018">
      <w:pPr>
        <w:jc w:val="both"/>
        <w:rPr>
          <w:rFonts w:ascii="Candara" w:hAnsi="Candara"/>
          <w:sz w:val="23"/>
          <w:szCs w:val="23"/>
        </w:rPr>
      </w:pPr>
    </w:p>
    <w:p w14:paraId="6A05A809" w14:textId="77777777" w:rsidR="009A3B6D" w:rsidRPr="00455B18" w:rsidRDefault="009A3B6D" w:rsidP="00D27018">
      <w:pPr>
        <w:pStyle w:val="Heading1"/>
        <w:jc w:val="center"/>
        <w:rPr>
          <w:rFonts w:ascii="Candara" w:hAnsi="Candara"/>
          <w:sz w:val="26"/>
          <w:szCs w:val="26"/>
        </w:rPr>
      </w:pPr>
    </w:p>
    <w:p w14:paraId="5A39BBE3" w14:textId="77777777" w:rsidR="009A3B6D" w:rsidRPr="00455B18" w:rsidRDefault="009A3B6D" w:rsidP="00D27018">
      <w:pPr>
        <w:pStyle w:val="Heading1"/>
        <w:jc w:val="center"/>
        <w:rPr>
          <w:rFonts w:ascii="Candara" w:hAnsi="Candara"/>
          <w:sz w:val="26"/>
          <w:szCs w:val="26"/>
        </w:rPr>
      </w:pPr>
    </w:p>
    <w:p w14:paraId="41C8F396" w14:textId="77777777" w:rsidR="002F3F72" w:rsidRPr="00455B18" w:rsidRDefault="002F3F72" w:rsidP="00D27018">
      <w:pPr>
        <w:tabs>
          <w:tab w:val="left" w:pos="-1260"/>
          <w:tab w:val="left" w:pos="0"/>
          <w:tab w:val="left" w:pos="2160"/>
          <w:tab w:val="left" w:pos="3600"/>
          <w:tab w:val="left" w:pos="5040"/>
          <w:tab w:val="left" w:pos="6480"/>
          <w:tab w:val="left" w:pos="7920"/>
        </w:tabs>
        <w:ind w:left="-1260" w:right="-144" w:firstLine="540"/>
        <w:jc w:val="center"/>
        <w:rPr>
          <w:rFonts w:ascii="Candara" w:hAnsi="Candara"/>
          <w:sz w:val="23"/>
          <w:szCs w:val="23"/>
        </w:rPr>
      </w:pPr>
    </w:p>
    <w:p w14:paraId="28B48386" w14:textId="77777777" w:rsidR="009A3B6D" w:rsidRPr="00455B18" w:rsidRDefault="002F3F72" w:rsidP="00D27018">
      <w:pPr>
        <w:pStyle w:val="Heading1"/>
        <w:jc w:val="center"/>
        <w:rPr>
          <w:rFonts w:ascii="Candara" w:hAnsi="Candara" w:cs="Arial"/>
          <w:b w:val="0"/>
          <w:sz w:val="26"/>
          <w:szCs w:val="26"/>
        </w:rPr>
      </w:pPr>
      <w:r w:rsidRPr="00455B18">
        <w:rPr>
          <w:rFonts w:ascii="Candara" w:hAnsi="Candara" w:cs="Arial"/>
          <w:b w:val="0"/>
          <w:sz w:val="26"/>
          <w:szCs w:val="26"/>
        </w:rPr>
        <w:t>MASSACHUSETTS</w:t>
      </w:r>
    </w:p>
    <w:p w14:paraId="58D6C8AE" w14:textId="77777777" w:rsidR="0064157E" w:rsidRPr="00455B18" w:rsidRDefault="0064157E" w:rsidP="00D27018">
      <w:pPr>
        <w:pStyle w:val="Heading1"/>
        <w:jc w:val="center"/>
        <w:rPr>
          <w:rFonts w:ascii="Candara" w:hAnsi="Candara" w:cs="Arial"/>
          <w:b w:val="0"/>
          <w:sz w:val="26"/>
          <w:szCs w:val="26"/>
        </w:rPr>
      </w:pPr>
      <w:r w:rsidRPr="00455B18">
        <w:rPr>
          <w:rFonts w:ascii="Candara" w:hAnsi="Candara" w:cs="Arial"/>
          <w:b w:val="0"/>
          <w:sz w:val="26"/>
          <w:szCs w:val="26"/>
        </w:rPr>
        <w:t xml:space="preserve">DEPARTMENT OF </w:t>
      </w:r>
      <w:r w:rsidR="002F3F72" w:rsidRPr="00455B18">
        <w:rPr>
          <w:rFonts w:ascii="Candara" w:hAnsi="Candara" w:cs="Arial"/>
          <w:b w:val="0"/>
          <w:sz w:val="26"/>
          <w:szCs w:val="26"/>
        </w:rPr>
        <w:t>ELEMENTARY AND SECONDARY EDUCATION</w:t>
      </w:r>
    </w:p>
    <w:p w14:paraId="72A3D3EC" w14:textId="77777777" w:rsidR="002F3F72" w:rsidRPr="00455B18" w:rsidRDefault="002F3F72" w:rsidP="00D27018">
      <w:pPr>
        <w:jc w:val="center"/>
        <w:rPr>
          <w:rFonts w:ascii="Candara" w:hAnsi="Candara" w:cs="Arial"/>
          <w:sz w:val="26"/>
          <w:szCs w:val="26"/>
        </w:rPr>
      </w:pPr>
    </w:p>
    <w:p w14:paraId="0D0B940D" w14:textId="77777777" w:rsidR="002F3F72" w:rsidRPr="00455B18" w:rsidRDefault="002F3F72" w:rsidP="00D27018">
      <w:pPr>
        <w:jc w:val="center"/>
        <w:rPr>
          <w:rFonts w:ascii="Candara" w:hAnsi="Candara" w:cs="Arial"/>
          <w:sz w:val="26"/>
          <w:szCs w:val="26"/>
        </w:rPr>
      </w:pPr>
    </w:p>
    <w:p w14:paraId="47D3C745" w14:textId="77777777" w:rsidR="002F3F72" w:rsidRPr="00455B18" w:rsidRDefault="002F3F72" w:rsidP="00D27018">
      <w:pPr>
        <w:jc w:val="center"/>
        <w:rPr>
          <w:rFonts w:ascii="Candara" w:hAnsi="Candara" w:cs="Arial"/>
          <w:sz w:val="26"/>
          <w:szCs w:val="26"/>
        </w:rPr>
      </w:pPr>
      <w:r w:rsidRPr="00455B18">
        <w:rPr>
          <w:rFonts w:ascii="Candara" w:hAnsi="Candara" w:cs="Arial"/>
          <w:sz w:val="26"/>
          <w:szCs w:val="26"/>
        </w:rPr>
        <w:t xml:space="preserve">OFFICE FOR </w:t>
      </w:r>
      <w:r w:rsidR="00910604" w:rsidRPr="00455B18">
        <w:rPr>
          <w:rFonts w:ascii="Candara" w:hAnsi="Candara" w:cs="Arial"/>
          <w:sz w:val="26"/>
          <w:szCs w:val="26"/>
        </w:rPr>
        <w:t xml:space="preserve">FOOD AND NUTRITION </w:t>
      </w:r>
      <w:r w:rsidRPr="00455B18">
        <w:rPr>
          <w:rFonts w:ascii="Candara" w:hAnsi="Candara" w:cs="Arial"/>
          <w:sz w:val="26"/>
          <w:szCs w:val="26"/>
        </w:rPr>
        <w:t>PROGRAMS</w:t>
      </w:r>
    </w:p>
    <w:p w14:paraId="0E27B00A" w14:textId="77777777" w:rsidR="0064157E" w:rsidRPr="00455B18" w:rsidRDefault="0064157E" w:rsidP="00D27018">
      <w:pPr>
        <w:pStyle w:val="Heading1"/>
        <w:jc w:val="center"/>
        <w:rPr>
          <w:rFonts w:ascii="Candara" w:hAnsi="Candara" w:cs="Arial"/>
          <w:b w:val="0"/>
          <w:sz w:val="26"/>
          <w:szCs w:val="26"/>
        </w:rPr>
      </w:pPr>
    </w:p>
    <w:p w14:paraId="258B15EC" w14:textId="77777777" w:rsidR="0064157E" w:rsidRPr="00455B18" w:rsidRDefault="0064157E" w:rsidP="00D27018">
      <w:pPr>
        <w:pStyle w:val="Heading1"/>
        <w:jc w:val="center"/>
        <w:rPr>
          <w:rFonts w:ascii="Candara" w:hAnsi="Candara" w:cs="Arial"/>
          <w:b w:val="0"/>
          <w:sz w:val="26"/>
          <w:szCs w:val="26"/>
        </w:rPr>
      </w:pPr>
      <w:r w:rsidRPr="00455B18">
        <w:rPr>
          <w:rFonts w:ascii="Candara" w:hAnsi="Candara" w:cs="Arial"/>
          <w:b w:val="0"/>
          <w:sz w:val="26"/>
          <w:szCs w:val="26"/>
        </w:rPr>
        <w:t>STATE PLAN OF PROGRAM OPERATIONS AND ADMINISTRATION</w:t>
      </w:r>
    </w:p>
    <w:p w14:paraId="0A1A0364" w14:textId="77777777" w:rsidR="0064157E" w:rsidRPr="00455B18" w:rsidRDefault="0064157E" w:rsidP="00D27018">
      <w:pPr>
        <w:pStyle w:val="Heading1"/>
        <w:jc w:val="center"/>
        <w:rPr>
          <w:rFonts w:ascii="Candara" w:hAnsi="Candara" w:cs="Arial"/>
          <w:b w:val="0"/>
          <w:sz w:val="26"/>
          <w:szCs w:val="26"/>
        </w:rPr>
      </w:pPr>
      <w:r w:rsidRPr="00455B18">
        <w:rPr>
          <w:rFonts w:ascii="Candara" w:hAnsi="Candara" w:cs="Arial"/>
          <w:b w:val="0"/>
          <w:sz w:val="26"/>
          <w:szCs w:val="26"/>
        </w:rPr>
        <w:t>OF</w:t>
      </w:r>
    </w:p>
    <w:p w14:paraId="0BC51DFF" w14:textId="77777777" w:rsidR="0064157E" w:rsidRPr="00455B18" w:rsidRDefault="00F654D8" w:rsidP="00D27018">
      <w:pPr>
        <w:pStyle w:val="Heading1"/>
        <w:jc w:val="center"/>
        <w:rPr>
          <w:rFonts w:ascii="Candara" w:hAnsi="Candara" w:cs="Arial"/>
          <w:b w:val="0"/>
          <w:sz w:val="26"/>
          <w:szCs w:val="26"/>
        </w:rPr>
      </w:pPr>
      <w:r w:rsidRPr="00455B18">
        <w:rPr>
          <w:rFonts w:ascii="Candara" w:hAnsi="Candara" w:cs="Arial"/>
          <w:b w:val="0"/>
          <w:sz w:val="26"/>
          <w:szCs w:val="26"/>
        </w:rPr>
        <w:t xml:space="preserve">THE </w:t>
      </w:r>
      <w:r w:rsidR="00910604" w:rsidRPr="00455B18">
        <w:rPr>
          <w:rFonts w:ascii="Candara" w:hAnsi="Candara" w:cs="Arial"/>
          <w:b w:val="0"/>
          <w:sz w:val="26"/>
          <w:szCs w:val="26"/>
        </w:rPr>
        <w:t>EMERGENCY FOOD ASSISTANCE PROGRAM (TEFAP)</w:t>
      </w:r>
    </w:p>
    <w:p w14:paraId="60061E4C" w14:textId="77777777" w:rsidR="00910604" w:rsidRPr="00455B18" w:rsidRDefault="00910604" w:rsidP="00D27018">
      <w:pPr>
        <w:rPr>
          <w:rFonts w:ascii="Candara" w:hAnsi="Candara"/>
        </w:rPr>
      </w:pPr>
    </w:p>
    <w:p w14:paraId="46529448" w14:textId="7C7601CE" w:rsidR="00910604" w:rsidRPr="00970CE5" w:rsidRDefault="00970CE5" w:rsidP="43466132">
      <w:pPr>
        <w:spacing w:line="259" w:lineRule="auto"/>
        <w:jc w:val="center"/>
      </w:pPr>
      <w:r w:rsidRPr="00970CE5">
        <w:rPr>
          <w:rFonts w:ascii="Candara" w:hAnsi="Candara"/>
        </w:rPr>
        <w:t>January 2025</w:t>
      </w:r>
      <w:r w:rsidR="007E360E" w:rsidRPr="00970CE5">
        <w:tab/>
      </w:r>
    </w:p>
    <w:p w14:paraId="44EAFD9C" w14:textId="77777777" w:rsidR="0064157E" w:rsidRPr="00455B18" w:rsidRDefault="009A3B6D" w:rsidP="00D27018">
      <w:pPr>
        <w:tabs>
          <w:tab w:val="left" w:pos="-1260"/>
          <w:tab w:val="left" w:pos="0"/>
          <w:tab w:val="left" w:pos="2160"/>
          <w:tab w:val="left" w:pos="3600"/>
          <w:tab w:val="left" w:pos="5040"/>
          <w:tab w:val="left" w:pos="6480"/>
          <w:tab w:val="left" w:pos="7920"/>
        </w:tabs>
        <w:ind w:left="-1260" w:right="-144" w:firstLine="540"/>
        <w:rPr>
          <w:rFonts w:ascii="Candara" w:hAnsi="Candara"/>
          <w:sz w:val="23"/>
          <w:szCs w:val="23"/>
        </w:rPr>
      </w:pPr>
      <w:r w:rsidRPr="00455B18">
        <w:rPr>
          <w:rFonts w:ascii="Candara" w:hAnsi="Candara"/>
          <w:sz w:val="23"/>
          <w:szCs w:val="23"/>
        </w:rPr>
        <w:br w:type="page"/>
      </w:r>
    </w:p>
    <w:p w14:paraId="4B94D5A5" w14:textId="77777777" w:rsidR="0064157E" w:rsidRPr="00455B18" w:rsidRDefault="0064157E" w:rsidP="00D27018">
      <w:pPr>
        <w:tabs>
          <w:tab w:val="left" w:pos="-1260"/>
          <w:tab w:val="left" w:pos="0"/>
          <w:tab w:val="left" w:pos="2160"/>
          <w:tab w:val="left" w:pos="3600"/>
          <w:tab w:val="left" w:pos="5040"/>
          <w:tab w:val="left" w:pos="6480"/>
          <w:tab w:val="left" w:pos="7920"/>
        </w:tabs>
        <w:ind w:left="-1260" w:right="-144" w:firstLine="540"/>
        <w:rPr>
          <w:rFonts w:ascii="Candara" w:hAnsi="Candara"/>
          <w:sz w:val="23"/>
          <w:szCs w:val="23"/>
        </w:rPr>
      </w:pPr>
    </w:p>
    <w:p w14:paraId="3DEEC669" w14:textId="77777777" w:rsidR="00B80B07" w:rsidRDefault="00B80B07" w:rsidP="00D27018">
      <w:pPr>
        <w:pStyle w:val="Heading5"/>
        <w:spacing w:before="0" w:after="0"/>
        <w:jc w:val="both"/>
        <w:rPr>
          <w:rFonts w:ascii="Candara" w:hAnsi="Candara"/>
          <w:b/>
          <w:sz w:val="23"/>
          <w:szCs w:val="23"/>
        </w:rPr>
      </w:pPr>
    </w:p>
    <w:p w14:paraId="3656B9AB" w14:textId="77777777" w:rsidR="00B80B07" w:rsidRDefault="00B80B07" w:rsidP="00D27018">
      <w:pPr>
        <w:pStyle w:val="Heading5"/>
        <w:spacing w:before="0" w:after="0"/>
        <w:jc w:val="both"/>
        <w:rPr>
          <w:rFonts w:ascii="Candara" w:hAnsi="Candara"/>
          <w:b/>
          <w:sz w:val="23"/>
          <w:szCs w:val="23"/>
        </w:rPr>
      </w:pPr>
    </w:p>
    <w:p w14:paraId="3218800D" w14:textId="22A75C67" w:rsidR="0064157E" w:rsidRDefault="009A3B6D" w:rsidP="00507E88">
      <w:pPr>
        <w:pStyle w:val="Heading5"/>
        <w:spacing w:before="0" w:after="0"/>
        <w:jc w:val="center"/>
        <w:rPr>
          <w:rFonts w:ascii="Candara" w:hAnsi="Candara"/>
          <w:b/>
          <w:sz w:val="23"/>
          <w:szCs w:val="23"/>
        </w:rPr>
      </w:pPr>
      <w:r w:rsidRPr="00455B18">
        <w:rPr>
          <w:rFonts w:ascii="Candara" w:hAnsi="Candara"/>
          <w:b/>
          <w:sz w:val="23"/>
          <w:szCs w:val="23"/>
        </w:rPr>
        <w:t>TABLE</w:t>
      </w:r>
      <w:r w:rsidR="0064157E" w:rsidRPr="00455B18">
        <w:rPr>
          <w:rFonts w:ascii="Candara" w:hAnsi="Candara"/>
          <w:b/>
          <w:sz w:val="23"/>
          <w:szCs w:val="23"/>
        </w:rPr>
        <w:t xml:space="preserve"> OF CONTENTS</w:t>
      </w:r>
    </w:p>
    <w:p w14:paraId="113E73CE" w14:textId="77777777" w:rsidR="00507E88" w:rsidRPr="00507E88" w:rsidRDefault="00507E88" w:rsidP="00507E88"/>
    <w:p w14:paraId="49F6F87B" w14:textId="77777777" w:rsidR="00507E88" w:rsidRPr="00507E88" w:rsidRDefault="00507E88" w:rsidP="00507E88"/>
    <w:p w14:paraId="45FB0818" w14:textId="77777777" w:rsidR="00340080" w:rsidRPr="00455B18" w:rsidRDefault="00340080"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B714235"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 xml:space="preserve">                        </w:t>
      </w:r>
    </w:p>
    <w:p w14:paraId="6A4A357E" w14:textId="32514FFE"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I</w:t>
      </w:r>
      <w:r w:rsidR="009A3B6D" w:rsidRPr="00455B18">
        <w:rPr>
          <w:rFonts w:ascii="Candara" w:hAnsi="Candara"/>
          <w:sz w:val="23"/>
          <w:szCs w:val="23"/>
        </w:rPr>
        <w:t xml:space="preserve">. </w:t>
      </w:r>
      <w:r w:rsidR="00910604" w:rsidRPr="00455B18">
        <w:rPr>
          <w:rFonts w:ascii="Candara" w:hAnsi="Candara"/>
          <w:sz w:val="23"/>
          <w:szCs w:val="23"/>
        </w:rPr>
        <w:t>Program Administration</w:t>
      </w:r>
      <w:r w:rsidR="00735787">
        <w:rPr>
          <w:rFonts w:ascii="Candara" w:hAnsi="Candara"/>
          <w:sz w:val="23"/>
          <w:szCs w:val="23"/>
        </w:rPr>
        <w:t xml:space="preserve"> &amp; State Agency</w:t>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455B18">
        <w:rPr>
          <w:rFonts w:ascii="Candara" w:hAnsi="Candara"/>
          <w:sz w:val="23"/>
          <w:szCs w:val="23"/>
        </w:rPr>
        <w:t>3</w:t>
      </w:r>
    </w:p>
    <w:p w14:paraId="049F31CB" w14:textId="77777777" w:rsidR="002F3F72" w:rsidRPr="00455B18" w:rsidRDefault="002F3F72"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B018FFE" w14:textId="10A65539"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II</w:t>
      </w:r>
      <w:r w:rsidR="009A3B6D" w:rsidRPr="00455B18">
        <w:rPr>
          <w:rFonts w:ascii="Candara" w:hAnsi="Candara"/>
          <w:sz w:val="23"/>
          <w:szCs w:val="23"/>
        </w:rPr>
        <w:t xml:space="preserve">. </w:t>
      </w:r>
      <w:r w:rsidR="00507E88" w:rsidRPr="00970CE5">
        <w:rPr>
          <w:rFonts w:ascii="Candara" w:hAnsi="Candara"/>
          <w:sz w:val="23"/>
          <w:szCs w:val="23"/>
        </w:rPr>
        <w:t xml:space="preserve">USDA Foods </w:t>
      </w:r>
      <w:r w:rsidR="00910604" w:rsidRPr="00970CE5">
        <w:rPr>
          <w:rFonts w:ascii="Candara" w:hAnsi="Candara"/>
          <w:sz w:val="23"/>
          <w:szCs w:val="23"/>
        </w:rPr>
        <w:t>Distribution</w:t>
      </w:r>
      <w:r w:rsidR="00896ABA" w:rsidRPr="00455B18">
        <w:rPr>
          <w:rFonts w:ascii="Candara" w:hAnsi="Candara"/>
          <w:sz w:val="23"/>
          <w:szCs w:val="23"/>
        </w:rPr>
        <w:t xml:space="preserve"> </w:t>
      </w:r>
      <w:r w:rsidR="00896ABA" w:rsidRPr="00455B18">
        <w:rPr>
          <w:rFonts w:ascii="Candara" w:hAnsi="Candara"/>
          <w:sz w:val="23"/>
          <w:szCs w:val="23"/>
        </w:rPr>
        <w:tab/>
      </w:r>
      <w:r w:rsidR="00970CE5">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455B18">
        <w:rPr>
          <w:rFonts w:ascii="Candara" w:hAnsi="Candara"/>
          <w:sz w:val="23"/>
          <w:szCs w:val="23"/>
        </w:rPr>
        <w:t>4</w:t>
      </w:r>
    </w:p>
    <w:p w14:paraId="29D6B04F"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 xml:space="preserve"> </w:t>
      </w:r>
      <w:r w:rsidR="00896ABA" w:rsidRPr="00455B18">
        <w:rPr>
          <w:rFonts w:ascii="Candara" w:hAnsi="Candara"/>
          <w:sz w:val="23"/>
          <w:szCs w:val="23"/>
        </w:rPr>
        <w:tab/>
      </w:r>
    </w:p>
    <w:p w14:paraId="6E857BAB" w14:textId="16BAFEB3" w:rsidR="0064157E" w:rsidRPr="00455B18" w:rsidRDefault="00735787"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III</w:t>
      </w:r>
      <w:r w:rsidR="009A3B6D" w:rsidRPr="00455B18">
        <w:rPr>
          <w:rFonts w:ascii="Candara" w:hAnsi="Candara"/>
          <w:sz w:val="23"/>
          <w:szCs w:val="23"/>
        </w:rPr>
        <w:t xml:space="preserve">. </w:t>
      </w:r>
      <w:r w:rsidR="00910604" w:rsidRPr="00455B18">
        <w:rPr>
          <w:rFonts w:ascii="Candara" w:hAnsi="Candara"/>
          <w:sz w:val="23"/>
          <w:szCs w:val="23"/>
        </w:rPr>
        <w:t>Program Eligibility</w:t>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401753" w:rsidRPr="00455B18">
        <w:rPr>
          <w:rFonts w:ascii="Candara" w:hAnsi="Candara"/>
          <w:sz w:val="23"/>
          <w:szCs w:val="23"/>
        </w:rPr>
        <w:tab/>
      </w:r>
      <w:r w:rsidR="00507E88">
        <w:rPr>
          <w:rFonts w:ascii="Candara" w:hAnsi="Candara"/>
          <w:sz w:val="23"/>
          <w:szCs w:val="23"/>
        </w:rPr>
        <w:t>6</w:t>
      </w:r>
    </w:p>
    <w:p w14:paraId="53128261" w14:textId="77777777" w:rsidR="0064157E" w:rsidRPr="00455B18" w:rsidRDefault="00896ABA"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ab/>
      </w:r>
    </w:p>
    <w:p w14:paraId="047A89EE" w14:textId="68103C84" w:rsidR="00340080" w:rsidRPr="00455B18" w:rsidRDefault="00735787"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I</w:t>
      </w:r>
      <w:r w:rsidR="00401753" w:rsidRPr="00455B18">
        <w:rPr>
          <w:rFonts w:ascii="Candara" w:hAnsi="Candara"/>
          <w:sz w:val="23"/>
          <w:szCs w:val="23"/>
        </w:rPr>
        <w:t xml:space="preserve">V.  </w:t>
      </w:r>
      <w:r w:rsidR="00910604" w:rsidRPr="00455B18">
        <w:rPr>
          <w:rFonts w:ascii="Candara" w:hAnsi="Candara"/>
          <w:sz w:val="23"/>
          <w:szCs w:val="23"/>
        </w:rPr>
        <w:t>Record Keeping</w:t>
      </w:r>
      <w:r w:rsidR="00401753" w:rsidRPr="00455B18">
        <w:rPr>
          <w:rFonts w:ascii="Candara" w:hAnsi="Candara"/>
          <w:sz w:val="23"/>
          <w:szCs w:val="23"/>
        </w:rPr>
        <w:tab/>
      </w:r>
      <w:r w:rsidR="00401753" w:rsidRPr="00455B18">
        <w:rPr>
          <w:rFonts w:ascii="Candara" w:hAnsi="Candara"/>
          <w:sz w:val="23"/>
          <w:szCs w:val="23"/>
        </w:rPr>
        <w:tab/>
      </w:r>
      <w:r w:rsidR="00401753" w:rsidRPr="00455B18">
        <w:rPr>
          <w:rFonts w:ascii="Candara" w:hAnsi="Candara"/>
          <w:sz w:val="23"/>
          <w:szCs w:val="23"/>
        </w:rPr>
        <w:tab/>
      </w:r>
      <w:r w:rsidR="00507E88">
        <w:rPr>
          <w:rFonts w:ascii="Candara" w:hAnsi="Candara"/>
          <w:sz w:val="23"/>
          <w:szCs w:val="23"/>
        </w:rPr>
        <w:tab/>
      </w:r>
      <w:r>
        <w:rPr>
          <w:rFonts w:ascii="Candara" w:hAnsi="Candara"/>
          <w:sz w:val="23"/>
          <w:szCs w:val="23"/>
        </w:rPr>
        <w:t>6</w:t>
      </w:r>
    </w:p>
    <w:p w14:paraId="62486C05" w14:textId="0BC46616" w:rsidR="00340080" w:rsidRPr="00455B18" w:rsidRDefault="00507E88"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ab/>
      </w:r>
    </w:p>
    <w:p w14:paraId="755E8EA5" w14:textId="7476976A" w:rsidR="00507E88" w:rsidRPr="00507E88" w:rsidRDefault="00507E88"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bCs/>
          <w:sz w:val="23"/>
          <w:szCs w:val="23"/>
        </w:rPr>
      </w:pPr>
      <w:r w:rsidRPr="00507E88">
        <w:rPr>
          <w:rFonts w:ascii="Candara" w:hAnsi="Candara"/>
          <w:bCs/>
          <w:sz w:val="23"/>
          <w:szCs w:val="23"/>
        </w:rPr>
        <w:t>V.  Confidential Applicant and Participant Information</w:t>
      </w:r>
      <w:r w:rsidRPr="00507E88">
        <w:rPr>
          <w:rFonts w:ascii="Candara" w:hAnsi="Candara"/>
          <w:bCs/>
          <w:sz w:val="23"/>
          <w:szCs w:val="23"/>
        </w:rPr>
        <w:tab/>
      </w:r>
      <w:r w:rsidRPr="00507E88">
        <w:rPr>
          <w:rFonts w:ascii="Candara" w:hAnsi="Candara"/>
          <w:bCs/>
          <w:sz w:val="23"/>
          <w:szCs w:val="23"/>
        </w:rPr>
        <w:tab/>
        <w:t>7</w:t>
      </w:r>
    </w:p>
    <w:p w14:paraId="039B96C3" w14:textId="77777777" w:rsidR="00507E88" w:rsidRDefault="00507E88"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799458EC" w14:textId="3D4E221D" w:rsidR="0064157E" w:rsidRPr="00455B18" w:rsidRDefault="00340080"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V</w:t>
      </w:r>
      <w:r w:rsidR="00507E88">
        <w:rPr>
          <w:rFonts w:ascii="Candara" w:hAnsi="Candara"/>
          <w:sz w:val="23"/>
          <w:szCs w:val="23"/>
        </w:rPr>
        <w:t>I</w:t>
      </w:r>
      <w:r w:rsidRPr="00455B18">
        <w:rPr>
          <w:rFonts w:ascii="Candara" w:hAnsi="Candara"/>
          <w:sz w:val="23"/>
          <w:szCs w:val="23"/>
        </w:rPr>
        <w:t xml:space="preserve">. </w:t>
      </w:r>
      <w:r w:rsidR="00910604" w:rsidRPr="00455B18">
        <w:rPr>
          <w:rFonts w:ascii="Candara" w:hAnsi="Candara"/>
          <w:sz w:val="23"/>
          <w:szCs w:val="23"/>
        </w:rPr>
        <w:t>Monitoring Procedures</w:t>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sidR="00735787">
        <w:rPr>
          <w:rFonts w:ascii="Candara" w:hAnsi="Candara"/>
          <w:sz w:val="23"/>
          <w:szCs w:val="23"/>
        </w:rPr>
        <w:t>8</w:t>
      </w:r>
    </w:p>
    <w:p w14:paraId="4101652C"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731C5DFE" w14:textId="1DBEFF89" w:rsidR="00340080" w:rsidRPr="00455B18" w:rsidRDefault="00003642"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VII</w:t>
      </w:r>
      <w:r w:rsidR="00910604" w:rsidRPr="00455B18">
        <w:rPr>
          <w:rFonts w:ascii="Candara" w:hAnsi="Candara"/>
          <w:sz w:val="23"/>
          <w:szCs w:val="23"/>
        </w:rPr>
        <w:t>. Volunteer Workers</w:t>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735787">
        <w:rPr>
          <w:rFonts w:ascii="Candara" w:hAnsi="Candara"/>
          <w:sz w:val="23"/>
          <w:szCs w:val="23"/>
        </w:rPr>
        <w:t>9</w:t>
      </w:r>
    </w:p>
    <w:p w14:paraId="4B99056E" w14:textId="77777777" w:rsidR="00340080" w:rsidRPr="00455B18" w:rsidRDefault="00340080"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41E56FD5" w14:textId="0285CFAD" w:rsidR="00340080" w:rsidRPr="00455B18" w:rsidRDefault="00735787"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VII</w:t>
      </w:r>
      <w:r w:rsidR="00340080" w:rsidRPr="00455B18">
        <w:rPr>
          <w:rFonts w:ascii="Candara" w:hAnsi="Candara"/>
          <w:sz w:val="23"/>
          <w:szCs w:val="23"/>
        </w:rPr>
        <w:t xml:space="preserve">. </w:t>
      </w:r>
      <w:r w:rsidR="005E3C87" w:rsidRPr="00455B18">
        <w:rPr>
          <w:rFonts w:ascii="Candara" w:hAnsi="Candara"/>
          <w:sz w:val="23"/>
          <w:szCs w:val="23"/>
        </w:rPr>
        <w:t xml:space="preserve">  </w:t>
      </w:r>
      <w:r w:rsidR="00910604" w:rsidRPr="00455B18">
        <w:rPr>
          <w:rFonts w:ascii="Candara" w:hAnsi="Candara"/>
          <w:sz w:val="23"/>
          <w:szCs w:val="23"/>
        </w:rPr>
        <w:t>Matching Funds</w:t>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Pr>
          <w:rFonts w:ascii="Candara" w:hAnsi="Candara"/>
          <w:sz w:val="23"/>
          <w:szCs w:val="23"/>
        </w:rPr>
        <w:t>9</w:t>
      </w:r>
    </w:p>
    <w:p w14:paraId="1299C43A" w14:textId="77777777" w:rsidR="003A6BA4" w:rsidRPr="00455B18" w:rsidRDefault="003A6BA4"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4DDBEF00"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0AD2919" w14:textId="77777777" w:rsidR="0064157E" w:rsidRPr="00455B18" w:rsidRDefault="0064157E" w:rsidP="00D27018">
      <w:pPr>
        <w:pStyle w:val="Style1"/>
        <w:rPr>
          <w:rFonts w:ascii="Candara" w:hAnsi="Candara"/>
          <w:sz w:val="23"/>
          <w:szCs w:val="23"/>
        </w:rPr>
      </w:pPr>
      <w:r w:rsidRPr="00455B18">
        <w:rPr>
          <w:rFonts w:ascii="Candara" w:hAnsi="Candara"/>
          <w:sz w:val="23"/>
          <w:szCs w:val="23"/>
        </w:rPr>
        <w:t xml:space="preserve">          </w:t>
      </w:r>
      <w:r w:rsidRPr="00455B18">
        <w:rPr>
          <w:rFonts w:ascii="Candara" w:hAnsi="Candara"/>
          <w:sz w:val="23"/>
          <w:szCs w:val="23"/>
        </w:rPr>
        <w:tab/>
      </w:r>
      <w:r w:rsidRPr="00455B18">
        <w:rPr>
          <w:rFonts w:ascii="Candara" w:hAnsi="Candara"/>
          <w:sz w:val="23"/>
          <w:szCs w:val="23"/>
        </w:rPr>
        <w:tab/>
        <w:t xml:space="preserve">           </w:t>
      </w:r>
    </w:p>
    <w:p w14:paraId="3461D779" w14:textId="77777777" w:rsidR="0064157E" w:rsidRPr="00455B18" w:rsidRDefault="0064157E" w:rsidP="00D27018">
      <w:pPr>
        <w:pStyle w:val="Style1"/>
        <w:rPr>
          <w:rFonts w:ascii="Candara" w:hAnsi="Candara"/>
          <w:sz w:val="23"/>
          <w:szCs w:val="23"/>
        </w:rPr>
      </w:pPr>
    </w:p>
    <w:p w14:paraId="207CCF61" w14:textId="77777777" w:rsidR="00900F1C" w:rsidRPr="00455B18" w:rsidRDefault="0064157E" w:rsidP="00D27018">
      <w:pPr>
        <w:pStyle w:val="List"/>
        <w:ind w:left="0" w:firstLine="0"/>
        <w:jc w:val="both"/>
        <w:rPr>
          <w:rFonts w:ascii="Candara" w:hAnsi="Candara"/>
          <w:sz w:val="23"/>
          <w:szCs w:val="23"/>
        </w:rPr>
      </w:pPr>
      <w:r w:rsidRPr="00455B18">
        <w:rPr>
          <w:rFonts w:ascii="Candara" w:hAnsi="Candara"/>
          <w:sz w:val="23"/>
          <w:szCs w:val="23"/>
        </w:rPr>
        <w:t xml:space="preserve">     </w:t>
      </w:r>
    </w:p>
    <w:p w14:paraId="3CF2D8B6"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FB78278"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1FC39945"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562CB0E"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4CE0A41"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62EBF3C5"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6D98A12B"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2946DB82"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5997CC1D"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110FFD37"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6B699379"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FE9F23F" w14:textId="77777777" w:rsidR="00A2130B" w:rsidRPr="00455B18" w:rsidRDefault="00A2130B"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1F72F646" w14:textId="77777777" w:rsidR="002F3F72" w:rsidRPr="00455B18" w:rsidRDefault="002F3F72"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8CE6F91" w14:textId="77777777" w:rsidR="00EB0A95" w:rsidRPr="00455B18" w:rsidRDefault="00EB0A95" w:rsidP="00D27018">
      <w:pPr>
        <w:rPr>
          <w:rFonts w:ascii="Candara" w:hAnsi="Candara"/>
          <w:sz w:val="23"/>
          <w:szCs w:val="23"/>
        </w:rPr>
      </w:pPr>
    </w:p>
    <w:p w14:paraId="61CDCEAD" w14:textId="77777777" w:rsidR="00EB0A95" w:rsidRPr="00455B18" w:rsidRDefault="00EB0A95" w:rsidP="00D27018">
      <w:pPr>
        <w:rPr>
          <w:rFonts w:ascii="Candara" w:hAnsi="Candara"/>
          <w:sz w:val="23"/>
          <w:szCs w:val="23"/>
        </w:rPr>
      </w:pPr>
    </w:p>
    <w:p w14:paraId="6BB9E253" w14:textId="77777777" w:rsidR="00DD1175" w:rsidRPr="00455B18" w:rsidRDefault="00DD1175" w:rsidP="00D27018">
      <w:pPr>
        <w:widowControl/>
        <w:rPr>
          <w:rFonts w:ascii="Candara" w:hAnsi="Candara"/>
          <w:b/>
          <w:sz w:val="26"/>
          <w:szCs w:val="26"/>
        </w:rPr>
      </w:pPr>
      <w:r w:rsidRPr="00455B18">
        <w:rPr>
          <w:rFonts w:ascii="Candara" w:hAnsi="Candara"/>
          <w:b/>
          <w:sz w:val="26"/>
          <w:szCs w:val="26"/>
        </w:rPr>
        <w:br w:type="page"/>
      </w:r>
    </w:p>
    <w:p w14:paraId="23DE523C" w14:textId="77777777" w:rsidR="00F1269F" w:rsidRPr="00455B18" w:rsidRDefault="00F1269F" w:rsidP="00D27018">
      <w:pPr>
        <w:rPr>
          <w:rFonts w:ascii="Candara" w:hAnsi="Candara"/>
          <w:b/>
          <w:sz w:val="26"/>
          <w:szCs w:val="26"/>
        </w:rPr>
      </w:pPr>
    </w:p>
    <w:p w14:paraId="437F7BC4" w14:textId="77777777" w:rsidR="0064157E" w:rsidRPr="00455B18" w:rsidRDefault="002F3F72" w:rsidP="00D27018">
      <w:pPr>
        <w:rPr>
          <w:rFonts w:ascii="Candara" w:hAnsi="Candara"/>
          <w:b/>
          <w:sz w:val="26"/>
          <w:szCs w:val="26"/>
        </w:rPr>
      </w:pPr>
      <w:r w:rsidRPr="00455B18">
        <w:rPr>
          <w:rFonts w:ascii="Candara" w:hAnsi="Candara"/>
          <w:b/>
          <w:sz w:val="26"/>
          <w:szCs w:val="26"/>
        </w:rPr>
        <w:t>MASSACHUSETTS DEPARTMENT OF ELEMENTARY AND SECONDARY EDUCATION</w:t>
      </w:r>
    </w:p>
    <w:p w14:paraId="52E56223" w14:textId="77777777" w:rsidR="0064157E" w:rsidRPr="00455B18" w:rsidRDefault="0064157E" w:rsidP="00D27018">
      <w:pPr>
        <w:rPr>
          <w:rFonts w:ascii="Candara" w:hAnsi="Candara"/>
          <w:sz w:val="23"/>
          <w:szCs w:val="23"/>
        </w:rPr>
      </w:pPr>
    </w:p>
    <w:p w14:paraId="48CD8B2F" w14:textId="77777777" w:rsidR="0064157E" w:rsidRPr="00455B18" w:rsidRDefault="0064157E" w:rsidP="00D27018">
      <w:pPr>
        <w:jc w:val="center"/>
        <w:rPr>
          <w:rFonts w:ascii="Candara" w:hAnsi="Candara"/>
          <w:b/>
          <w:sz w:val="23"/>
          <w:szCs w:val="23"/>
        </w:rPr>
      </w:pPr>
      <w:r w:rsidRPr="00455B18">
        <w:rPr>
          <w:rFonts w:ascii="Candara" w:hAnsi="Candara"/>
          <w:b/>
          <w:sz w:val="23"/>
          <w:szCs w:val="23"/>
        </w:rPr>
        <w:t xml:space="preserve">State Plan of Program of Operations and Administration of </w:t>
      </w:r>
      <w:r w:rsidR="00910604" w:rsidRPr="00455B18">
        <w:rPr>
          <w:rFonts w:ascii="Candara" w:hAnsi="Candara"/>
          <w:b/>
          <w:sz w:val="23"/>
          <w:szCs w:val="23"/>
        </w:rPr>
        <w:t>The Emergency Food Assistance Program (TEFAP)</w:t>
      </w:r>
    </w:p>
    <w:p w14:paraId="07547A01" w14:textId="77777777" w:rsidR="00F654D8" w:rsidRPr="00455B18" w:rsidRDefault="00F654D8" w:rsidP="00D27018">
      <w:pPr>
        <w:jc w:val="center"/>
        <w:rPr>
          <w:rFonts w:ascii="Candara" w:hAnsi="Candara"/>
          <w:sz w:val="23"/>
          <w:szCs w:val="23"/>
        </w:rPr>
      </w:pPr>
    </w:p>
    <w:p w14:paraId="78F86A81" w14:textId="6BDECDE1" w:rsidR="00907673" w:rsidRPr="00907673" w:rsidRDefault="0064157E" w:rsidP="00907673">
      <w:pPr>
        <w:rPr>
          <w:rFonts w:ascii="Candara" w:hAnsi="Candara"/>
          <w:sz w:val="23"/>
          <w:szCs w:val="23"/>
        </w:rPr>
      </w:pPr>
      <w:r w:rsidRPr="00455B18">
        <w:rPr>
          <w:rFonts w:ascii="Candara" w:hAnsi="Candara"/>
          <w:sz w:val="23"/>
          <w:szCs w:val="23"/>
        </w:rPr>
        <w:t xml:space="preserve">This document represents our plan for the </w:t>
      </w:r>
      <w:r w:rsidR="00910604" w:rsidRPr="00455B18">
        <w:rPr>
          <w:rFonts w:ascii="Candara" w:hAnsi="Candara"/>
          <w:sz w:val="23"/>
          <w:szCs w:val="23"/>
        </w:rPr>
        <w:t xml:space="preserve">operation and </w:t>
      </w:r>
      <w:r w:rsidRPr="00455B18">
        <w:rPr>
          <w:rFonts w:ascii="Candara" w:hAnsi="Candara"/>
          <w:sz w:val="23"/>
          <w:szCs w:val="23"/>
        </w:rPr>
        <w:t xml:space="preserve">administration of </w:t>
      </w:r>
      <w:r w:rsidR="00910604" w:rsidRPr="00455B18">
        <w:rPr>
          <w:rFonts w:ascii="Candara" w:hAnsi="Candara"/>
          <w:sz w:val="23"/>
          <w:szCs w:val="23"/>
        </w:rPr>
        <w:t>The Emergency Food Assistance Program (TEFAP)</w:t>
      </w:r>
      <w:r w:rsidRPr="00455B18">
        <w:rPr>
          <w:rFonts w:ascii="Candara" w:hAnsi="Candara"/>
          <w:sz w:val="23"/>
          <w:szCs w:val="23"/>
        </w:rPr>
        <w:t xml:space="preserve"> in</w:t>
      </w:r>
      <w:r w:rsidR="00EB0A95" w:rsidRPr="00455B18">
        <w:rPr>
          <w:rFonts w:ascii="Candara" w:hAnsi="Candara"/>
          <w:sz w:val="23"/>
          <w:szCs w:val="23"/>
        </w:rPr>
        <w:t xml:space="preserve"> the </w:t>
      </w:r>
      <w:r w:rsidR="006C62FE" w:rsidRPr="00455B18">
        <w:rPr>
          <w:rFonts w:ascii="Candara" w:hAnsi="Candara"/>
          <w:sz w:val="23"/>
          <w:szCs w:val="23"/>
        </w:rPr>
        <w:t>Commonwealth</w:t>
      </w:r>
      <w:r w:rsidR="00EB0A95" w:rsidRPr="00455B18">
        <w:rPr>
          <w:rFonts w:ascii="Candara" w:hAnsi="Candara"/>
          <w:sz w:val="23"/>
          <w:szCs w:val="23"/>
        </w:rPr>
        <w:t xml:space="preserve"> of</w:t>
      </w:r>
      <w:r w:rsidRPr="00455B18">
        <w:rPr>
          <w:rFonts w:ascii="Candara" w:hAnsi="Candara"/>
          <w:sz w:val="23"/>
          <w:szCs w:val="23"/>
        </w:rPr>
        <w:t xml:space="preserve"> </w:t>
      </w:r>
      <w:r w:rsidR="006C62FE" w:rsidRPr="00455B18">
        <w:rPr>
          <w:rFonts w:ascii="Candara" w:hAnsi="Candara"/>
          <w:sz w:val="23"/>
          <w:szCs w:val="23"/>
        </w:rPr>
        <w:t>Massachusetts</w:t>
      </w:r>
      <w:r w:rsidRPr="00455B18">
        <w:rPr>
          <w:rFonts w:ascii="Candara" w:hAnsi="Candara"/>
          <w:sz w:val="23"/>
          <w:szCs w:val="23"/>
        </w:rPr>
        <w:t xml:space="preserve">. </w:t>
      </w:r>
      <w:r w:rsidR="002F3F72" w:rsidRPr="00455B18">
        <w:rPr>
          <w:rFonts w:ascii="Candara" w:hAnsi="Candara"/>
          <w:sz w:val="23"/>
          <w:szCs w:val="23"/>
        </w:rPr>
        <w:t>B</w:t>
      </w:r>
      <w:r w:rsidRPr="00455B18">
        <w:rPr>
          <w:rFonts w:ascii="Candara" w:hAnsi="Candara"/>
          <w:sz w:val="23"/>
          <w:szCs w:val="23"/>
        </w:rPr>
        <w:t>y agreement with the U</w:t>
      </w:r>
      <w:r w:rsidR="009179CB" w:rsidRPr="00455B18">
        <w:rPr>
          <w:rFonts w:ascii="Candara" w:hAnsi="Candara"/>
          <w:sz w:val="23"/>
          <w:szCs w:val="23"/>
        </w:rPr>
        <w:t xml:space="preserve">nited </w:t>
      </w:r>
      <w:r w:rsidRPr="00455B18">
        <w:rPr>
          <w:rFonts w:ascii="Candara" w:hAnsi="Candara"/>
          <w:sz w:val="23"/>
          <w:szCs w:val="23"/>
        </w:rPr>
        <w:t>S</w:t>
      </w:r>
      <w:r w:rsidR="009179CB" w:rsidRPr="00455B18">
        <w:rPr>
          <w:rFonts w:ascii="Candara" w:hAnsi="Candara"/>
          <w:sz w:val="23"/>
          <w:szCs w:val="23"/>
        </w:rPr>
        <w:t>tates</w:t>
      </w:r>
      <w:r w:rsidRPr="00455B18">
        <w:rPr>
          <w:rFonts w:ascii="Candara" w:hAnsi="Candara"/>
          <w:sz w:val="23"/>
          <w:szCs w:val="23"/>
        </w:rPr>
        <w:t xml:space="preserve"> Department of Agriculture, the </w:t>
      </w:r>
      <w:r w:rsidR="006C62FE" w:rsidRPr="00455B18">
        <w:rPr>
          <w:rFonts w:ascii="Candara" w:hAnsi="Candara"/>
          <w:sz w:val="23"/>
          <w:szCs w:val="23"/>
        </w:rPr>
        <w:t>Massachusetts Department of Elementary and Secondary Education</w:t>
      </w:r>
      <w:r w:rsidRPr="00455B18">
        <w:rPr>
          <w:rFonts w:ascii="Candara" w:hAnsi="Candara"/>
          <w:sz w:val="23"/>
          <w:szCs w:val="23"/>
        </w:rPr>
        <w:t xml:space="preserve"> is the distributing agency in </w:t>
      </w:r>
      <w:r w:rsidR="00EB0A95" w:rsidRPr="00455B18">
        <w:rPr>
          <w:rFonts w:ascii="Candara" w:hAnsi="Candara"/>
          <w:sz w:val="23"/>
          <w:szCs w:val="23"/>
        </w:rPr>
        <w:t>Ma</w:t>
      </w:r>
      <w:r w:rsidR="002F3F72" w:rsidRPr="00455B18">
        <w:rPr>
          <w:rFonts w:ascii="Candara" w:hAnsi="Candara"/>
          <w:sz w:val="23"/>
          <w:szCs w:val="23"/>
        </w:rPr>
        <w:t>ssachusetts</w:t>
      </w:r>
      <w:r w:rsidRPr="00455B18">
        <w:rPr>
          <w:rFonts w:ascii="Candara" w:hAnsi="Candara"/>
          <w:sz w:val="23"/>
          <w:szCs w:val="23"/>
        </w:rPr>
        <w:t xml:space="preserve"> for USDA </w:t>
      </w:r>
      <w:r w:rsidRPr="000242F9">
        <w:rPr>
          <w:rFonts w:ascii="Candara" w:hAnsi="Candara"/>
          <w:sz w:val="23"/>
          <w:szCs w:val="23"/>
        </w:rPr>
        <w:t>Foods.</w:t>
      </w:r>
      <w:r w:rsidR="00907673" w:rsidRPr="000242F9">
        <w:rPr>
          <w:rFonts w:asciiTheme="minorHAnsi" w:hAnsiTheme="minorHAnsi" w:cstheme="minorHAnsi"/>
          <w:szCs w:val="24"/>
        </w:rPr>
        <w:t xml:space="preserve"> </w:t>
      </w:r>
      <w:r w:rsidR="00907673" w:rsidRPr="000242F9">
        <w:rPr>
          <w:rFonts w:ascii="Candara" w:hAnsi="Candara"/>
          <w:sz w:val="23"/>
          <w:szCs w:val="23"/>
        </w:rPr>
        <w:t xml:space="preserve">A </w:t>
      </w:r>
      <w:r w:rsidR="00B12A9B">
        <w:rPr>
          <w:rFonts w:ascii="Candara" w:hAnsi="Candara"/>
          <w:sz w:val="23"/>
          <w:szCs w:val="23"/>
        </w:rPr>
        <w:t xml:space="preserve">copy of this plan and a </w:t>
      </w:r>
      <w:r w:rsidR="00907673" w:rsidRPr="000242F9">
        <w:rPr>
          <w:rFonts w:ascii="Candara" w:hAnsi="Candara"/>
          <w:sz w:val="23"/>
          <w:szCs w:val="23"/>
        </w:rPr>
        <w:t>list of local agencies that participate in the program are available on the DESE website (</w:t>
      </w:r>
      <w:hyperlink r:id="rId11" w:history="1">
        <w:r w:rsidR="00907673" w:rsidRPr="000242F9">
          <w:rPr>
            <w:rStyle w:val="Hyperlink"/>
            <w:rFonts w:ascii="Candara" w:hAnsi="Candara"/>
            <w:sz w:val="23"/>
            <w:szCs w:val="23"/>
          </w:rPr>
          <w:t>Food Distribution - Office for Food and Nutrition Programs</w:t>
        </w:r>
      </w:hyperlink>
      <w:r w:rsidR="00907673" w:rsidRPr="000242F9">
        <w:rPr>
          <w:rFonts w:ascii="Candara" w:hAnsi="Candara"/>
          <w:sz w:val="23"/>
          <w:szCs w:val="23"/>
        </w:rPr>
        <w:t>).</w:t>
      </w:r>
      <w:r w:rsidR="00907673" w:rsidRPr="00907673">
        <w:rPr>
          <w:rFonts w:ascii="Candara" w:hAnsi="Candara"/>
          <w:sz w:val="23"/>
          <w:szCs w:val="23"/>
        </w:rPr>
        <w:t xml:space="preserve"> </w:t>
      </w:r>
    </w:p>
    <w:p w14:paraId="1C849E59" w14:textId="6D1AE081" w:rsidR="0064157E" w:rsidRPr="00455B18" w:rsidRDefault="0064157E" w:rsidP="00D27018">
      <w:pPr>
        <w:rPr>
          <w:rFonts w:ascii="Candara" w:hAnsi="Candara"/>
          <w:sz w:val="23"/>
          <w:szCs w:val="23"/>
        </w:rPr>
      </w:pPr>
    </w:p>
    <w:p w14:paraId="3498EE86" w14:textId="77777777" w:rsidR="0064157E" w:rsidRPr="00455B18" w:rsidRDefault="00E77D67" w:rsidP="00D27018">
      <w:pPr>
        <w:numPr>
          <w:ilvl w:val="0"/>
          <w:numId w:val="14"/>
        </w:numPr>
        <w:tabs>
          <w:tab w:val="clear" w:pos="1080"/>
          <w:tab w:val="num" w:pos="360"/>
        </w:tabs>
        <w:ind w:hanging="1080"/>
        <w:rPr>
          <w:rFonts w:ascii="Candara" w:hAnsi="Candara"/>
          <w:b/>
          <w:caps/>
          <w:sz w:val="23"/>
          <w:szCs w:val="23"/>
        </w:rPr>
      </w:pPr>
      <w:r w:rsidRPr="00455B18">
        <w:rPr>
          <w:rFonts w:ascii="Candara" w:hAnsi="Candara"/>
          <w:b/>
          <w:caps/>
          <w:sz w:val="23"/>
          <w:szCs w:val="23"/>
        </w:rPr>
        <w:t>Program Administration</w:t>
      </w:r>
    </w:p>
    <w:p w14:paraId="6537F28F" w14:textId="77777777" w:rsidR="00455B18" w:rsidRDefault="00455B18" w:rsidP="00D27018">
      <w:pPr>
        <w:rPr>
          <w:rFonts w:ascii="Candara" w:eastAsiaTheme="minorHAnsi" w:hAnsi="Candara" w:cstheme="minorBidi"/>
          <w:snapToGrid/>
          <w:sz w:val="22"/>
          <w:szCs w:val="22"/>
          <w:u w:val="single"/>
        </w:rPr>
      </w:pPr>
    </w:p>
    <w:p w14:paraId="3D33F114" w14:textId="77777777" w:rsidR="00E77D67" w:rsidRPr="00455B18" w:rsidRDefault="00E77D67" w:rsidP="00D27018">
      <w:pPr>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A. Designated State Agency:</w:t>
      </w:r>
    </w:p>
    <w:p w14:paraId="290650AE"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Massachusetts Department of Elementary and Secondary Education</w:t>
      </w:r>
    </w:p>
    <w:p w14:paraId="04EB553E"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Office of Food and Nutrition Programs</w:t>
      </w:r>
    </w:p>
    <w:p w14:paraId="42E127A8" w14:textId="598FF794" w:rsidR="00E77D67" w:rsidRPr="00455B18" w:rsidRDefault="000242F9"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135 Santilli Highway</w:t>
      </w:r>
    </w:p>
    <w:p w14:paraId="42342484" w14:textId="5A000588" w:rsidR="00E77D67" w:rsidRPr="00455B18" w:rsidRDefault="000242F9"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Everett</w:t>
      </w:r>
      <w:r w:rsidR="00E77D67" w:rsidRPr="00455B18">
        <w:rPr>
          <w:rFonts w:ascii="Candara" w:eastAsiaTheme="minorHAnsi" w:hAnsi="Candara" w:cstheme="minorBidi"/>
          <w:snapToGrid/>
          <w:sz w:val="22"/>
          <w:szCs w:val="22"/>
        </w:rPr>
        <w:t>, MA 0214</w:t>
      </w:r>
      <w:r>
        <w:rPr>
          <w:rFonts w:ascii="Candara" w:eastAsiaTheme="minorHAnsi" w:hAnsi="Candara" w:cstheme="minorBidi"/>
          <w:snapToGrid/>
          <w:sz w:val="22"/>
          <w:szCs w:val="22"/>
        </w:rPr>
        <w:t>9</w:t>
      </w:r>
    </w:p>
    <w:p w14:paraId="0A7EB1DC"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Phone: 781-338-6480 </w:t>
      </w:r>
    </w:p>
    <w:p w14:paraId="35405930"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Fax: 781-338-3399</w:t>
      </w:r>
    </w:p>
    <w:p w14:paraId="6DFB9E20" w14:textId="77777777" w:rsidR="00E77D67" w:rsidRPr="00455B18" w:rsidRDefault="00E77D67" w:rsidP="00D27018">
      <w:pPr>
        <w:widowControl/>
        <w:rPr>
          <w:rFonts w:ascii="Candara" w:eastAsiaTheme="minorHAnsi" w:hAnsi="Candara" w:cstheme="minorBidi"/>
          <w:snapToGrid/>
          <w:sz w:val="22"/>
          <w:szCs w:val="22"/>
        </w:rPr>
      </w:pPr>
    </w:p>
    <w:p w14:paraId="13D089D7" w14:textId="77777777" w:rsidR="00E77D67" w:rsidRPr="00455B18" w:rsidRDefault="00722CB0"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B</w:t>
      </w:r>
      <w:r w:rsidR="00E77D67" w:rsidRPr="00455B18">
        <w:rPr>
          <w:rFonts w:ascii="Candara" w:eastAsiaTheme="minorHAnsi" w:hAnsi="Candara" w:cstheme="minorBidi"/>
          <w:snapToGrid/>
          <w:sz w:val="22"/>
          <w:szCs w:val="22"/>
          <w:u w:val="single"/>
        </w:rPr>
        <w:t>. Program Administration</w:t>
      </w:r>
      <w:r w:rsidR="00E77D67" w:rsidRPr="00455B18">
        <w:rPr>
          <w:rFonts w:ascii="Candara" w:eastAsiaTheme="minorHAnsi" w:hAnsi="Candara" w:cstheme="minorBidi"/>
          <w:snapToGrid/>
          <w:sz w:val="22"/>
          <w:szCs w:val="22"/>
        </w:rPr>
        <w:t xml:space="preserve"> 7 CFR 251.2</w:t>
      </w:r>
    </w:p>
    <w:p w14:paraId="78DF91E3" w14:textId="3B71D574" w:rsidR="001973F9" w:rsidRDefault="00E77D67"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The Department of Elementary and Secondary Education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administer The Emergency Food Assistance Program (TEFAP).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operate TEFAP as provided in the final rule of 7CFR, Parts 250 and 251.  </w:t>
      </w:r>
      <w:proofErr w:type="gramStart"/>
      <w:r w:rsidRPr="00455B18">
        <w:rPr>
          <w:rFonts w:ascii="Candara" w:eastAsiaTheme="minorHAnsi" w:hAnsi="Candara" w:cstheme="minorBidi"/>
          <w:snapToGrid/>
          <w:sz w:val="22"/>
          <w:szCs w:val="22"/>
        </w:rPr>
        <w:t>In order to</w:t>
      </w:r>
      <w:proofErr w:type="gramEnd"/>
      <w:r w:rsidRPr="00455B18">
        <w:rPr>
          <w:rFonts w:ascii="Candara" w:eastAsiaTheme="minorHAnsi" w:hAnsi="Candara" w:cstheme="minorBidi"/>
          <w:snapToGrid/>
          <w:sz w:val="22"/>
          <w:szCs w:val="22"/>
        </w:rPr>
        <w:t xml:space="preserve"> carry out the provisions of the final rule,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place food orders with the United States Department of Agriculture</w:t>
      </w:r>
      <w:r w:rsidR="009179CB" w:rsidRPr="00455B18">
        <w:rPr>
          <w:rFonts w:ascii="Candara" w:eastAsiaTheme="minorHAnsi" w:hAnsi="Candara" w:cstheme="minorBidi"/>
          <w:snapToGrid/>
          <w:sz w:val="22"/>
          <w:szCs w:val="22"/>
        </w:rPr>
        <w:t xml:space="preserve"> USDA</w:t>
      </w:r>
      <w:r w:rsidRPr="00455B18">
        <w:rPr>
          <w:rFonts w:ascii="Candara" w:eastAsiaTheme="minorHAnsi" w:hAnsi="Candara" w:cstheme="minorBidi"/>
          <w:snapToGrid/>
          <w:sz w:val="22"/>
          <w:szCs w:val="22"/>
        </w:rPr>
        <w:t xml:space="preserve">.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organize and coordinate a network of emergency feeding organizations eligible to receive and distribute donated food for use in accordance with 7 CFR, Parts 250 and 251.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contract for the receipt, storage and shipment </w:t>
      </w:r>
      <w:r w:rsidRPr="0007265F">
        <w:rPr>
          <w:rFonts w:ascii="Candara" w:eastAsiaTheme="minorHAnsi" w:hAnsi="Candara" w:cstheme="minorBidi"/>
          <w:snapToGrid/>
          <w:sz w:val="22"/>
          <w:szCs w:val="22"/>
        </w:rPr>
        <w:t>of USDA</w:t>
      </w:r>
      <w:r w:rsidR="00735787" w:rsidRPr="0007265F">
        <w:rPr>
          <w:rFonts w:ascii="Candara" w:eastAsiaTheme="minorHAnsi" w:hAnsi="Candara" w:cstheme="minorBidi"/>
          <w:snapToGrid/>
          <w:sz w:val="22"/>
          <w:szCs w:val="22"/>
        </w:rPr>
        <w:t xml:space="preserve"> Foods</w:t>
      </w:r>
      <w:r w:rsidRPr="0007265F">
        <w:rPr>
          <w:rFonts w:ascii="Candara" w:eastAsiaTheme="minorHAnsi" w:hAnsi="Candara" w:cstheme="minorBidi"/>
          <w:snapToGrid/>
          <w:sz w:val="22"/>
          <w:szCs w:val="22"/>
        </w:rPr>
        <w:t xml:space="preserve"> to eligible recipient</w:t>
      </w:r>
      <w:r w:rsidRPr="00455B18">
        <w:rPr>
          <w:rFonts w:ascii="Candara" w:eastAsiaTheme="minorHAnsi" w:hAnsi="Candara" w:cstheme="minorBidi"/>
          <w:snapToGrid/>
          <w:sz w:val="22"/>
          <w:szCs w:val="22"/>
        </w:rPr>
        <w:t xml:space="preserve"> agencies.</w:t>
      </w:r>
      <w:r w:rsidR="00CB1E5F">
        <w:rPr>
          <w:rFonts w:ascii="Candara" w:eastAsiaTheme="minorHAnsi" w:hAnsi="Candara" w:cstheme="minorBidi"/>
          <w:snapToGrid/>
          <w:sz w:val="22"/>
          <w:szCs w:val="22"/>
        </w:rPr>
        <w:t xml:space="preserve"> </w:t>
      </w:r>
    </w:p>
    <w:p w14:paraId="70DF9E56" w14:textId="77777777" w:rsidR="001973F9" w:rsidRDefault="001973F9" w:rsidP="00D27018">
      <w:pPr>
        <w:widowControl/>
        <w:rPr>
          <w:rFonts w:ascii="Candara" w:eastAsiaTheme="minorHAnsi" w:hAnsi="Candara" w:cstheme="minorBidi"/>
          <w:snapToGrid/>
          <w:sz w:val="22"/>
          <w:szCs w:val="22"/>
        </w:rPr>
      </w:pPr>
    </w:p>
    <w:p w14:paraId="4B1A72CB" w14:textId="35384C45" w:rsidR="00E77D67" w:rsidRPr="00455B18" w:rsidRDefault="00CB1E5F" w:rsidP="00D27018">
      <w:pPr>
        <w:widowControl/>
        <w:rPr>
          <w:rFonts w:ascii="Candara" w:eastAsiaTheme="minorHAnsi" w:hAnsi="Candara" w:cstheme="minorBidi"/>
          <w:snapToGrid/>
          <w:sz w:val="22"/>
          <w:szCs w:val="22"/>
        </w:rPr>
      </w:pPr>
      <w:r w:rsidRPr="00D27018">
        <w:rPr>
          <w:rFonts w:ascii="Candara" w:eastAsiaTheme="minorHAnsi" w:hAnsi="Candara" w:cstheme="minorBidi"/>
          <w:snapToGrid/>
          <w:sz w:val="22"/>
          <w:szCs w:val="22"/>
        </w:rPr>
        <w:t xml:space="preserve">DESE will collaborate with the food banks to </w:t>
      </w:r>
      <w:r w:rsidRPr="0007265F">
        <w:rPr>
          <w:rFonts w:ascii="Candara" w:eastAsiaTheme="minorHAnsi" w:hAnsi="Candara" w:cstheme="minorBidi"/>
          <w:snapToGrid/>
          <w:sz w:val="22"/>
          <w:szCs w:val="22"/>
        </w:rPr>
        <w:t xml:space="preserve">determine </w:t>
      </w:r>
      <w:r w:rsidR="00907673" w:rsidRPr="0007265F">
        <w:rPr>
          <w:rFonts w:ascii="Candara" w:eastAsiaTheme="minorHAnsi" w:hAnsi="Candara" w:cstheme="minorBidi"/>
          <w:snapToGrid/>
          <w:sz w:val="22"/>
          <w:szCs w:val="22"/>
        </w:rPr>
        <w:t xml:space="preserve">USDA Foods </w:t>
      </w:r>
      <w:r w:rsidRPr="0007265F">
        <w:rPr>
          <w:rFonts w:ascii="Candara" w:eastAsiaTheme="minorHAnsi" w:hAnsi="Candara" w:cstheme="minorBidi"/>
          <w:snapToGrid/>
          <w:sz w:val="22"/>
          <w:szCs w:val="22"/>
        </w:rPr>
        <w:t>preferences using</w:t>
      </w:r>
      <w:r w:rsidRPr="00D27018">
        <w:rPr>
          <w:rFonts w:ascii="Candara" w:eastAsiaTheme="minorHAnsi" w:hAnsi="Candara" w:cstheme="minorBidi"/>
          <w:snapToGrid/>
          <w:sz w:val="22"/>
          <w:szCs w:val="22"/>
        </w:rPr>
        <w:t xml:space="preserve"> in person and online discussions and tools such as meetings, emails and order preference system (google sheets).</w:t>
      </w:r>
      <w:r w:rsidR="001973F9" w:rsidRPr="00D27018">
        <w:rPr>
          <w:rFonts w:ascii="Candara" w:eastAsiaTheme="minorHAnsi" w:hAnsi="Candara" w:cstheme="minorBidi"/>
          <w:snapToGrid/>
          <w:sz w:val="22"/>
          <w:szCs w:val="22"/>
        </w:rPr>
        <w:t xml:space="preserve"> The in-person discussions typically occur on an annual basis with food bank staff involved with food purchases. Continual communication occurs via email throughout the year.  Google sheets is used for every offer of USDA Foods – a google sheet is set up for entitlement purchases on an annual basis noting products available, costs and delivery date options.</w:t>
      </w:r>
    </w:p>
    <w:p w14:paraId="44E871BC" w14:textId="77777777" w:rsidR="00E77D67" w:rsidRPr="00455B18" w:rsidRDefault="00E77D67" w:rsidP="00D27018">
      <w:pPr>
        <w:widowControl/>
        <w:rPr>
          <w:rFonts w:ascii="Candara" w:eastAsiaTheme="minorHAnsi" w:hAnsi="Candara" w:cstheme="minorBidi"/>
          <w:snapToGrid/>
          <w:sz w:val="22"/>
          <w:szCs w:val="22"/>
        </w:rPr>
      </w:pPr>
    </w:p>
    <w:p w14:paraId="370FB810" w14:textId="77777777" w:rsidR="00606945" w:rsidRPr="00455B18" w:rsidRDefault="00722CB0" w:rsidP="00D27018">
      <w:pPr>
        <w:ind w:firstLine="720"/>
        <w:rPr>
          <w:rFonts w:ascii="Candara" w:hAnsi="Candara"/>
          <w:szCs w:val="24"/>
        </w:rPr>
      </w:pPr>
      <w:r w:rsidRPr="00455B18">
        <w:rPr>
          <w:rFonts w:ascii="Candara" w:eastAsiaTheme="minorHAnsi" w:hAnsi="Candara" w:cstheme="minorBidi"/>
          <w:snapToGrid/>
          <w:sz w:val="22"/>
          <w:szCs w:val="22"/>
          <w:u w:val="single"/>
        </w:rPr>
        <w:t>i</w:t>
      </w:r>
      <w:r w:rsidR="00E77D67" w:rsidRPr="00455B18">
        <w:rPr>
          <w:rFonts w:ascii="Candara" w:eastAsiaTheme="minorHAnsi" w:hAnsi="Candara" w:cstheme="minorBidi"/>
          <w:snapToGrid/>
          <w:sz w:val="22"/>
          <w:szCs w:val="22"/>
          <w:u w:val="single"/>
        </w:rPr>
        <w:t>. Contracts/Agreements</w:t>
      </w:r>
      <w:r w:rsidR="00E77D67" w:rsidRPr="00455B18">
        <w:rPr>
          <w:rFonts w:ascii="Candara" w:eastAsiaTheme="minorHAnsi" w:hAnsi="Candara" w:cstheme="minorBidi"/>
          <w:snapToGrid/>
          <w:sz w:val="22"/>
          <w:szCs w:val="22"/>
        </w:rPr>
        <w:t xml:space="preserve"> 7CFR 251.2 </w:t>
      </w:r>
    </w:p>
    <w:p w14:paraId="144A5D23" w14:textId="77777777" w:rsidR="00606945" w:rsidRPr="00455B18" w:rsidRDefault="00606945" w:rsidP="00D27018">
      <w:pPr>
        <w:widowControl/>
        <w:ind w:left="720"/>
        <w:rPr>
          <w:rFonts w:ascii="Candara" w:eastAsiaTheme="minorHAnsi" w:hAnsi="Candara" w:cstheme="minorBidi"/>
          <w:snapToGrid/>
          <w:sz w:val="22"/>
          <w:szCs w:val="22"/>
        </w:rPr>
      </w:pPr>
    </w:p>
    <w:p w14:paraId="506DE06A" w14:textId="00FD1BA8" w:rsidR="00E77D67" w:rsidRPr="0030728C" w:rsidRDefault="00CB1E5F" w:rsidP="26D3B3E6">
      <w:pPr>
        <w:widowControl/>
        <w:ind w:left="720"/>
        <w:rPr>
          <w:rFonts w:ascii="Candara" w:eastAsiaTheme="minorEastAsia" w:hAnsi="Candara" w:cstheme="minorBidi"/>
          <w:strike/>
          <w:snapToGrid/>
          <w:color w:val="FF0000"/>
          <w:sz w:val="22"/>
          <w:szCs w:val="22"/>
        </w:rPr>
      </w:pPr>
      <w:r w:rsidRPr="26D3B3E6">
        <w:rPr>
          <w:rFonts w:ascii="Candara" w:eastAsiaTheme="minorEastAsia" w:hAnsi="Candara" w:cstheme="minorBidi"/>
          <w:snapToGrid/>
          <w:sz w:val="22"/>
          <w:szCs w:val="22"/>
        </w:rPr>
        <w:t>DESE</w:t>
      </w:r>
      <w:r w:rsidR="00E77D67" w:rsidRPr="26D3B3E6">
        <w:rPr>
          <w:rFonts w:ascii="Candara" w:eastAsiaTheme="minorEastAsia" w:hAnsi="Candara" w:cstheme="minorBidi"/>
          <w:snapToGrid/>
          <w:sz w:val="22"/>
          <w:szCs w:val="22"/>
        </w:rPr>
        <w:t xml:space="preserve"> will contract with four private non-profit food banks: The Greater Boston Food Bank, Merrimack Valley Food Bank, Worcester County Food Bank and the Food Bank of Western Massachusetts (The Food Banks). These contracts will be considered permanent, with amendments to be made as necessary</w:t>
      </w:r>
      <w:r w:rsidR="00262DD9" w:rsidRPr="26D3B3E6">
        <w:rPr>
          <w:rFonts w:ascii="Candara" w:eastAsiaTheme="minorEastAsia" w:hAnsi="Candara" w:cstheme="minorBidi"/>
          <w:snapToGrid/>
          <w:sz w:val="22"/>
          <w:szCs w:val="22"/>
        </w:rPr>
        <w:t xml:space="preserve">. </w:t>
      </w:r>
      <w:r w:rsidR="00E77D67" w:rsidRPr="26D3B3E6">
        <w:rPr>
          <w:rFonts w:ascii="Candara" w:eastAsiaTheme="minorEastAsia" w:hAnsi="Candara" w:cstheme="minorBidi"/>
          <w:snapToGrid/>
          <w:sz w:val="22"/>
          <w:szCs w:val="22"/>
        </w:rPr>
        <w:t xml:space="preserve"> </w:t>
      </w:r>
    </w:p>
    <w:p w14:paraId="738610EB" w14:textId="77777777" w:rsidR="00E77D67" w:rsidRPr="00455B18" w:rsidRDefault="00E77D67" w:rsidP="00D27018">
      <w:pPr>
        <w:widowControl/>
        <w:ind w:left="720"/>
        <w:rPr>
          <w:rFonts w:ascii="Candara" w:eastAsiaTheme="minorHAnsi" w:hAnsi="Candara" w:cstheme="minorBidi"/>
          <w:snapToGrid/>
          <w:sz w:val="22"/>
          <w:szCs w:val="22"/>
        </w:rPr>
      </w:pPr>
    </w:p>
    <w:p w14:paraId="2DE1A412"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lastRenderedPageBreak/>
        <w:t>As required by 7 CFR 251.2, each food bank that receives and distributes TEFAP donated foods and/or administrative funds must enter into an agreement with all eligible sub recipient agencies which consist of food pantries, soup kitchens, and emergency shelters. The Food Banks will maintain signed agreements with each eligible recipient agency that receives TEFAP / USDA foods.  Agreements must adhere to the provisions of 7 CFR 250 and 251 governing the TEFAP program.</w:t>
      </w:r>
    </w:p>
    <w:p w14:paraId="637805D2" w14:textId="77777777" w:rsidR="00E77D67" w:rsidRPr="00455B18" w:rsidRDefault="00E77D67" w:rsidP="00D27018">
      <w:pPr>
        <w:widowControl/>
        <w:ind w:left="720"/>
        <w:rPr>
          <w:rFonts w:ascii="Candara" w:eastAsiaTheme="minorHAnsi" w:hAnsi="Candara" w:cstheme="minorBidi"/>
          <w:snapToGrid/>
          <w:sz w:val="22"/>
          <w:szCs w:val="22"/>
        </w:rPr>
      </w:pPr>
    </w:p>
    <w:p w14:paraId="4BAA6B09" w14:textId="673C4F7B"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All eligible recipient agencies must provide to </w:t>
      </w:r>
      <w:r w:rsidR="00CB1E5F">
        <w:rPr>
          <w:rFonts w:ascii="Candara" w:eastAsiaTheme="minorHAnsi" w:hAnsi="Candara" w:cstheme="minorBidi"/>
          <w:snapToGrid/>
          <w:sz w:val="22"/>
          <w:szCs w:val="22"/>
        </w:rPr>
        <w:t>DESE</w:t>
      </w:r>
      <w:r w:rsidR="00AF5894">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on a monthly basis</w:t>
      </w:r>
      <w:r w:rsidR="00AF5894">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reports that document the receipt, distribution, disposal</w:t>
      </w:r>
      <w:r w:rsidR="001F538F">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and inventory of TEFAP / U</w:t>
      </w:r>
      <w:r w:rsidR="00D23425">
        <w:rPr>
          <w:rFonts w:ascii="Candara" w:eastAsiaTheme="minorHAnsi" w:hAnsi="Candara" w:cstheme="minorBidi"/>
          <w:snapToGrid/>
          <w:sz w:val="22"/>
          <w:szCs w:val="22"/>
        </w:rPr>
        <w:t>S</w:t>
      </w:r>
      <w:r w:rsidRPr="00455B18">
        <w:rPr>
          <w:rFonts w:ascii="Candara" w:eastAsiaTheme="minorHAnsi" w:hAnsi="Candara" w:cstheme="minorBidi"/>
          <w:snapToGrid/>
          <w:sz w:val="22"/>
          <w:szCs w:val="22"/>
        </w:rPr>
        <w:t>DA foods.</w:t>
      </w:r>
    </w:p>
    <w:p w14:paraId="463F29E8" w14:textId="77777777" w:rsidR="00E77D67" w:rsidRPr="00455B18" w:rsidRDefault="00E77D67" w:rsidP="00D27018">
      <w:pPr>
        <w:widowControl/>
        <w:ind w:left="720"/>
        <w:rPr>
          <w:rFonts w:ascii="Candara" w:eastAsiaTheme="minorHAnsi" w:hAnsi="Candara" w:cstheme="minorBidi"/>
          <w:snapToGrid/>
          <w:sz w:val="22"/>
          <w:szCs w:val="22"/>
        </w:rPr>
      </w:pPr>
    </w:p>
    <w:p w14:paraId="698E661F" w14:textId="77777777" w:rsidR="00E77D67" w:rsidRPr="00455B18" w:rsidRDefault="00722CB0"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ii</w:t>
      </w:r>
      <w:r w:rsidR="00E77D67" w:rsidRPr="00455B18">
        <w:rPr>
          <w:rFonts w:ascii="Candara" w:eastAsiaTheme="minorHAnsi" w:hAnsi="Candara" w:cstheme="minorBidi"/>
          <w:snapToGrid/>
          <w:sz w:val="22"/>
          <w:szCs w:val="22"/>
          <w:u w:val="single"/>
        </w:rPr>
        <w:t>. Payment of Funds for Administrative Costs</w:t>
      </w:r>
      <w:r w:rsidR="00E77D67" w:rsidRPr="00455B18">
        <w:rPr>
          <w:rFonts w:ascii="Candara" w:eastAsiaTheme="minorHAnsi" w:hAnsi="Candara" w:cstheme="minorBidi"/>
          <w:snapToGrid/>
          <w:sz w:val="22"/>
          <w:szCs w:val="22"/>
        </w:rPr>
        <w:t xml:space="preserve"> 7 CFR 251.8</w:t>
      </w:r>
      <w:r w:rsidR="00272919" w:rsidRPr="00455B18">
        <w:rPr>
          <w:rFonts w:ascii="Candara" w:eastAsiaTheme="minorHAnsi" w:hAnsi="Candara" w:cstheme="minorBidi"/>
          <w:snapToGrid/>
          <w:sz w:val="22"/>
          <w:szCs w:val="22"/>
        </w:rPr>
        <w:t xml:space="preserve">  </w:t>
      </w:r>
    </w:p>
    <w:p w14:paraId="671AFD24" w14:textId="77777777" w:rsidR="00E77D67" w:rsidRPr="00455B18" w:rsidRDefault="00CB1E5F"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E77D67" w:rsidRPr="00455B18">
        <w:rPr>
          <w:rFonts w:ascii="Candara" w:eastAsiaTheme="minorHAnsi" w:hAnsi="Candara" w:cstheme="minorBidi"/>
          <w:snapToGrid/>
          <w:sz w:val="22"/>
          <w:szCs w:val="22"/>
        </w:rPr>
        <w:t xml:space="preserve"> will reimburse eligible recipient food banks for shipping, storage and other related costs incurred in the distribution of TEFAP / USDA foods up to the level of available federal administrative funds. The actual reimbursement is contingent upon the availability of federal funds.</w:t>
      </w:r>
    </w:p>
    <w:p w14:paraId="3B7B4B86" w14:textId="77777777" w:rsidR="00E77D67" w:rsidRPr="00455B18" w:rsidRDefault="00E77D67" w:rsidP="00D27018">
      <w:pPr>
        <w:widowControl/>
        <w:ind w:left="720"/>
        <w:rPr>
          <w:rFonts w:ascii="Candara" w:eastAsiaTheme="minorHAnsi" w:hAnsi="Candara" w:cstheme="minorBidi"/>
          <w:snapToGrid/>
          <w:sz w:val="22"/>
          <w:szCs w:val="22"/>
        </w:rPr>
      </w:pPr>
    </w:p>
    <w:p w14:paraId="26E9B76D" w14:textId="77777777" w:rsidR="00E77D67" w:rsidRPr="00455B18" w:rsidRDefault="00CB1E5F"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E77D67" w:rsidRPr="00455B18">
        <w:rPr>
          <w:rFonts w:ascii="Candara" w:eastAsiaTheme="minorHAnsi" w:hAnsi="Candara" w:cstheme="minorBidi"/>
          <w:snapToGrid/>
          <w:sz w:val="22"/>
          <w:szCs w:val="22"/>
        </w:rPr>
        <w:t xml:space="preserve"> will provide, to eligible recipient agencies, which have </w:t>
      </w:r>
      <w:proofErr w:type="gramStart"/>
      <w:r w:rsidR="00E77D67" w:rsidRPr="00455B18">
        <w:rPr>
          <w:rFonts w:ascii="Candara" w:eastAsiaTheme="minorHAnsi" w:hAnsi="Candara" w:cstheme="minorBidi"/>
          <w:snapToGrid/>
          <w:sz w:val="22"/>
          <w:szCs w:val="22"/>
        </w:rPr>
        <w:t>entered into</w:t>
      </w:r>
      <w:proofErr w:type="gramEnd"/>
      <w:r w:rsidR="00E77D67" w:rsidRPr="00455B18">
        <w:rPr>
          <w:rFonts w:ascii="Candara" w:eastAsiaTheme="minorHAnsi" w:hAnsi="Candara" w:cstheme="minorBidi"/>
          <w:snapToGrid/>
          <w:sz w:val="22"/>
          <w:szCs w:val="22"/>
        </w:rPr>
        <w:t xml:space="preserve"> a contract with </w:t>
      </w:r>
      <w:r>
        <w:rPr>
          <w:rFonts w:ascii="Candara" w:eastAsiaTheme="minorHAnsi" w:hAnsi="Candara" w:cstheme="minorBidi"/>
          <w:snapToGrid/>
          <w:sz w:val="22"/>
          <w:szCs w:val="22"/>
        </w:rPr>
        <w:t>DESE</w:t>
      </w:r>
      <w:r w:rsidR="00E77D67" w:rsidRPr="00455B18">
        <w:rPr>
          <w:rFonts w:ascii="Candara" w:eastAsiaTheme="minorHAnsi" w:hAnsi="Candara" w:cstheme="minorBidi"/>
          <w:snapToGrid/>
          <w:sz w:val="22"/>
          <w:szCs w:val="22"/>
        </w:rPr>
        <w:t>, not less than 40% of the Federal Emergency Food Assistance Program administrative funds allocated to the State as required by 7 CFR 251.8 (4). It is anticipated that the total administrative funds allocated to the state will be passed through less any costs incurred by the state in administering the TEFAP program.  TEFAP administrative funds are allocated to the food banks in Massachusetts. Monies are distributed based on each food banks service area population of low-income and unemployed persons as compared to the statewide statistics.</w:t>
      </w:r>
    </w:p>
    <w:p w14:paraId="3A0FF5F2" w14:textId="77777777" w:rsidR="00E77D67" w:rsidRPr="00455B18" w:rsidRDefault="00E77D67" w:rsidP="00D27018">
      <w:pPr>
        <w:widowControl/>
        <w:ind w:left="720"/>
        <w:rPr>
          <w:rFonts w:ascii="Candara" w:eastAsiaTheme="minorHAnsi" w:hAnsi="Candara" w:cstheme="minorBidi"/>
          <w:snapToGrid/>
          <w:sz w:val="22"/>
          <w:szCs w:val="22"/>
        </w:rPr>
      </w:pPr>
    </w:p>
    <w:p w14:paraId="5103591D"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Each food bank’s share of funds will be based on:</w:t>
      </w:r>
    </w:p>
    <w:p w14:paraId="4B21CEAA" w14:textId="77777777" w:rsidR="00E77D67" w:rsidRPr="00455B18" w:rsidRDefault="00E77D67" w:rsidP="00D27018">
      <w:pPr>
        <w:widowControl/>
        <w:ind w:left="1440"/>
        <w:rPr>
          <w:rFonts w:ascii="Candara" w:eastAsiaTheme="minorHAnsi" w:hAnsi="Candara" w:cstheme="minorBidi"/>
          <w:snapToGrid/>
          <w:sz w:val="22"/>
          <w:szCs w:val="22"/>
        </w:rPr>
      </w:pPr>
      <w:r w:rsidRPr="00455B18">
        <w:rPr>
          <w:rFonts w:ascii="Candara" w:eastAsiaTheme="minorHAnsi" w:hAnsi="Candara" w:cstheme="minorBidi"/>
          <w:snapToGrid/>
          <w:sz w:val="22"/>
          <w:szCs w:val="22"/>
        </w:rPr>
        <w:t>(a) 60% on the number of persons in households within the service area having incomes below the poverty level, and</w:t>
      </w:r>
    </w:p>
    <w:p w14:paraId="05F81CAB" w14:textId="77777777" w:rsidR="00E77D67" w:rsidRPr="00455B18" w:rsidRDefault="00E77D67" w:rsidP="00D27018">
      <w:pPr>
        <w:widowControl/>
        <w:ind w:left="1440"/>
        <w:rPr>
          <w:rFonts w:ascii="Candara" w:eastAsiaTheme="minorHAnsi" w:hAnsi="Candara" w:cstheme="minorBidi"/>
          <w:snapToGrid/>
          <w:sz w:val="22"/>
          <w:szCs w:val="22"/>
        </w:rPr>
      </w:pPr>
      <w:r w:rsidRPr="00455B18">
        <w:rPr>
          <w:rFonts w:ascii="Candara" w:eastAsiaTheme="minorHAnsi" w:hAnsi="Candara" w:cstheme="minorBidi"/>
          <w:snapToGrid/>
          <w:sz w:val="22"/>
          <w:szCs w:val="22"/>
        </w:rPr>
        <w:t>(b) 40</w:t>
      </w:r>
      <w:r w:rsidR="00722CB0" w:rsidRPr="00455B18">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on the number of unemployed within the service area</w:t>
      </w:r>
    </w:p>
    <w:p w14:paraId="272659CA"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These numbers are examined and updated on an annual basis following the federal fiscal year calendar.</w:t>
      </w:r>
    </w:p>
    <w:p w14:paraId="5630AD66" w14:textId="77777777" w:rsidR="00E77D67" w:rsidRPr="00455B18" w:rsidRDefault="00E77D67" w:rsidP="00D27018">
      <w:pPr>
        <w:widowControl/>
        <w:ind w:left="720"/>
        <w:rPr>
          <w:rFonts w:ascii="Candara" w:eastAsiaTheme="minorHAnsi" w:hAnsi="Candara" w:cstheme="minorBidi"/>
          <w:snapToGrid/>
          <w:sz w:val="22"/>
          <w:szCs w:val="22"/>
        </w:rPr>
      </w:pPr>
    </w:p>
    <w:p w14:paraId="1E78FC68" w14:textId="384D7E89" w:rsidR="00722CB0" w:rsidRPr="00455B18" w:rsidRDefault="0057533C" w:rsidP="00D27018">
      <w:pPr>
        <w:pStyle w:val="ListParagraph"/>
        <w:numPr>
          <w:ilvl w:val="0"/>
          <w:numId w:val="14"/>
        </w:numPr>
        <w:tabs>
          <w:tab w:val="clear" w:pos="1080"/>
          <w:tab w:val="num" w:pos="720"/>
        </w:tabs>
        <w:ind w:hanging="1080"/>
        <w:rPr>
          <w:rFonts w:ascii="Candara" w:hAnsi="Candara"/>
          <w:b/>
          <w:sz w:val="23"/>
          <w:szCs w:val="23"/>
        </w:rPr>
      </w:pPr>
      <w:r w:rsidRPr="00612816">
        <w:rPr>
          <w:rFonts w:ascii="Candara" w:hAnsi="Candara"/>
          <w:b/>
          <w:sz w:val="23"/>
          <w:szCs w:val="23"/>
        </w:rPr>
        <w:t xml:space="preserve">USDA Foods </w:t>
      </w:r>
      <w:r w:rsidR="00722CB0" w:rsidRPr="00612816">
        <w:rPr>
          <w:rFonts w:ascii="Candara" w:hAnsi="Candara"/>
          <w:b/>
          <w:sz w:val="23"/>
          <w:szCs w:val="23"/>
        </w:rPr>
        <w:t>Distribution</w:t>
      </w:r>
      <w:r w:rsidR="00722CB0" w:rsidRPr="00455B18">
        <w:rPr>
          <w:rFonts w:ascii="Candara" w:hAnsi="Candara"/>
          <w:b/>
          <w:sz w:val="23"/>
          <w:szCs w:val="23"/>
        </w:rPr>
        <w:t xml:space="preserve"> </w:t>
      </w:r>
    </w:p>
    <w:p w14:paraId="61829076" w14:textId="77777777" w:rsidR="00210525" w:rsidRPr="00455B18" w:rsidRDefault="00210525" w:rsidP="00D27018">
      <w:pPr>
        <w:ind w:left="360"/>
        <w:rPr>
          <w:rFonts w:ascii="Candara" w:hAnsi="Candara"/>
          <w:b/>
          <w:sz w:val="23"/>
          <w:szCs w:val="23"/>
        </w:rPr>
      </w:pPr>
    </w:p>
    <w:p w14:paraId="45934301" w14:textId="5CEBDE9D" w:rsidR="00722CB0" w:rsidRPr="00455B18" w:rsidRDefault="00CB1E5F" w:rsidP="00D27018">
      <w:pPr>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722CB0" w:rsidRPr="00455B18">
        <w:rPr>
          <w:rFonts w:ascii="Candara" w:eastAsiaTheme="minorHAnsi" w:hAnsi="Candara" w:cstheme="minorBidi"/>
          <w:snapToGrid/>
          <w:sz w:val="22"/>
          <w:szCs w:val="22"/>
        </w:rPr>
        <w:t xml:space="preserve"> does not expect to meet </w:t>
      </w:r>
      <w:proofErr w:type="gramStart"/>
      <w:r w:rsidR="00722CB0" w:rsidRPr="00455B18">
        <w:rPr>
          <w:rFonts w:ascii="Candara" w:eastAsiaTheme="minorHAnsi" w:hAnsi="Candara" w:cstheme="minorBidi"/>
          <w:snapToGrid/>
          <w:sz w:val="22"/>
          <w:szCs w:val="22"/>
        </w:rPr>
        <w:t>all of</w:t>
      </w:r>
      <w:proofErr w:type="gramEnd"/>
      <w:r w:rsidR="00722CB0" w:rsidRPr="00455B18">
        <w:rPr>
          <w:rFonts w:ascii="Candara" w:eastAsiaTheme="minorHAnsi" w:hAnsi="Candara" w:cstheme="minorBidi"/>
          <w:snapToGrid/>
          <w:sz w:val="22"/>
          <w:szCs w:val="22"/>
        </w:rPr>
        <w:t xml:space="preserve"> the eligible recipient agencies’ requests for TE</w:t>
      </w:r>
      <w:r w:rsidR="00722CB0" w:rsidRPr="00612816">
        <w:rPr>
          <w:rFonts w:ascii="Candara" w:eastAsiaTheme="minorHAnsi" w:hAnsi="Candara" w:cstheme="minorBidi"/>
          <w:snapToGrid/>
          <w:sz w:val="22"/>
          <w:szCs w:val="22"/>
        </w:rPr>
        <w:t xml:space="preserve">FAP </w:t>
      </w:r>
      <w:r w:rsidR="0057533C" w:rsidRPr="00612816">
        <w:rPr>
          <w:rFonts w:ascii="Candara" w:eastAsiaTheme="minorHAnsi" w:hAnsi="Candara" w:cstheme="minorBidi"/>
          <w:snapToGrid/>
          <w:sz w:val="22"/>
          <w:szCs w:val="22"/>
        </w:rPr>
        <w:t>USDA Foods</w:t>
      </w:r>
      <w:r w:rsidR="00722CB0" w:rsidRPr="00612816">
        <w:rPr>
          <w:rFonts w:ascii="Candara" w:eastAsiaTheme="minorHAnsi" w:hAnsi="Candara" w:cstheme="minorBidi"/>
          <w:snapToGrid/>
          <w:sz w:val="22"/>
          <w:szCs w:val="22"/>
        </w:rPr>
        <w:t>.</w:t>
      </w:r>
      <w:r w:rsidR="00722CB0" w:rsidRPr="00455B18">
        <w:rPr>
          <w:rFonts w:ascii="Candara" w:eastAsiaTheme="minorHAnsi" w:hAnsi="Candara" w:cstheme="minorBidi"/>
          <w:snapToGrid/>
          <w:sz w:val="22"/>
          <w:szCs w:val="22"/>
        </w:rPr>
        <w:t xml:space="preserve"> Therefore, the </w:t>
      </w:r>
      <w:proofErr w:type="gramStart"/>
      <w:r w:rsidR="00722CB0" w:rsidRPr="00455B18">
        <w:rPr>
          <w:rFonts w:ascii="Candara" w:eastAsiaTheme="minorHAnsi" w:hAnsi="Candara" w:cstheme="minorBidi"/>
          <w:snapToGrid/>
          <w:sz w:val="22"/>
          <w:szCs w:val="22"/>
        </w:rPr>
        <w:t>first priority</w:t>
      </w:r>
      <w:proofErr w:type="gramEnd"/>
      <w:r w:rsidR="00722CB0" w:rsidRPr="00455B18">
        <w:rPr>
          <w:rFonts w:ascii="Candara" w:eastAsiaTheme="minorHAnsi" w:hAnsi="Candara" w:cstheme="minorBidi"/>
          <w:snapToGrid/>
          <w:sz w:val="22"/>
          <w:szCs w:val="22"/>
        </w:rPr>
        <w:t xml:space="preserve"> will be given to emergency feeding organizations that provide nutrition assistance to relieve situations of distress, e.g. food banks, food pantries</w:t>
      </w:r>
      <w:r w:rsidR="00310AFF" w:rsidRPr="00455B18">
        <w:rPr>
          <w:rFonts w:ascii="Candara" w:eastAsiaTheme="minorHAnsi" w:hAnsi="Candara" w:cstheme="minorBidi"/>
          <w:snapToGrid/>
          <w:sz w:val="22"/>
          <w:szCs w:val="22"/>
        </w:rPr>
        <w:t xml:space="preserve"> and</w:t>
      </w:r>
      <w:r w:rsidR="00722CB0" w:rsidRPr="00455B18">
        <w:rPr>
          <w:rFonts w:ascii="Candara" w:eastAsiaTheme="minorHAnsi" w:hAnsi="Candara" w:cstheme="minorBidi"/>
          <w:snapToGrid/>
          <w:sz w:val="22"/>
          <w:szCs w:val="22"/>
        </w:rPr>
        <w:t xml:space="preserve"> soup kitchens</w:t>
      </w:r>
      <w:r w:rsidR="00310AFF" w:rsidRPr="00455B18">
        <w:rPr>
          <w:rFonts w:ascii="Candara" w:eastAsiaTheme="minorHAnsi" w:hAnsi="Candara" w:cstheme="minorBidi"/>
          <w:snapToGrid/>
          <w:sz w:val="22"/>
          <w:szCs w:val="22"/>
        </w:rPr>
        <w:t>.</w:t>
      </w:r>
      <w:r w:rsidR="00722CB0" w:rsidRPr="00455B18">
        <w:rPr>
          <w:rFonts w:ascii="Candara" w:eastAsiaTheme="minorHAnsi" w:hAnsi="Candara" w:cstheme="minorBidi"/>
          <w:snapToGrid/>
          <w:sz w:val="22"/>
          <w:szCs w:val="22"/>
        </w:rPr>
        <w:t xml:space="preserve"> 7 CFR 251.4(h)(i).</w:t>
      </w:r>
    </w:p>
    <w:p w14:paraId="2BA226A1" w14:textId="77777777" w:rsidR="00722CB0" w:rsidRDefault="00722CB0" w:rsidP="00D27018">
      <w:pPr>
        <w:widowControl/>
        <w:rPr>
          <w:rFonts w:ascii="Candara" w:eastAsiaTheme="minorHAnsi" w:hAnsi="Candara" w:cstheme="minorBidi"/>
          <w:snapToGrid/>
          <w:sz w:val="22"/>
          <w:szCs w:val="22"/>
        </w:rPr>
      </w:pPr>
    </w:p>
    <w:p w14:paraId="210611ED"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 xml:space="preserve">Distribution Priorities </w:t>
      </w:r>
    </w:p>
    <w:p w14:paraId="5E08770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Food Banks must allocate and distribute USDA Foods by the following priorities: </w:t>
      </w:r>
    </w:p>
    <w:p w14:paraId="0A6959E7"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 xml:space="preserve"> </w:t>
      </w:r>
    </w:p>
    <w:p w14:paraId="262F8A26"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Priority 1</w:t>
      </w:r>
      <w:r w:rsidRPr="00A431D1">
        <w:rPr>
          <w:rFonts w:ascii="Candara" w:eastAsiaTheme="minorHAnsi" w:hAnsi="Candara" w:cstheme="minorBidi"/>
          <w:snapToGrid/>
          <w:sz w:val="22"/>
          <w:szCs w:val="22"/>
        </w:rPr>
        <w:t xml:space="preserve"> – To recipient agencies (RAs) that provide emergency food assistance (i.e., hunger relief agencies, soup kitchens, and like agencies; food pantries; alternate and additional CEs; and shelters for children or battered women) </w:t>
      </w:r>
    </w:p>
    <w:p w14:paraId="100C5B58"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5B5929C4"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lastRenderedPageBreak/>
        <w:t>Priority 2</w:t>
      </w:r>
      <w:r w:rsidRPr="00A431D1">
        <w:rPr>
          <w:rFonts w:ascii="Candara" w:eastAsiaTheme="minorHAnsi" w:hAnsi="Candara" w:cstheme="minorBidi"/>
          <w:snapToGrid/>
          <w:sz w:val="22"/>
          <w:szCs w:val="22"/>
        </w:rPr>
        <w:t xml:space="preserve"> – To RAs that provide non-emergency, prepared meals to eligible persons (i.e., group treatment centers and other group living arrangements). Priority 2 is for USDA Foods that remain only after Priority 1 needs are met. </w:t>
      </w:r>
    </w:p>
    <w:p w14:paraId="12F40E8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4F8F5D75"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Priority 3</w:t>
      </w:r>
      <w:r w:rsidRPr="00A431D1">
        <w:rPr>
          <w:rFonts w:ascii="Candara" w:eastAsiaTheme="minorHAnsi" w:hAnsi="Candara" w:cstheme="minorBidi"/>
          <w:snapToGrid/>
          <w:sz w:val="22"/>
          <w:szCs w:val="22"/>
        </w:rPr>
        <w:t xml:space="preserve"> — To RAs that provide non-emergency, prepared meals</w:t>
      </w:r>
      <w:r w:rsidRPr="00A431D1">
        <w:rPr>
          <w:rFonts w:ascii="Candara" w:eastAsiaTheme="minorHAnsi" w:hAnsi="Candara" w:cstheme="minorBidi"/>
          <w:b/>
          <w:snapToGrid/>
          <w:sz w:val="22"/>
          <w:szCs w:val="22"/>
        </w:rPr>
        <w:t xml:space="preserve"> </w:t>
      </w:r>
      <w:r w:rsidRPr="00A431D1">
        <w:rPr>
          <w:rFonts w:ascii="Candara" w:eastAsiaTheme="minorHAnsi" w:hAnsi="Candara" w:cstheme="minorBidi"/>
          <w:snapToGrid/>
          <w:sz w:val="22"/>
          <w:szCs w:val="22"/>
        </w:rPr>
        <w:t xml:space="preserve">to groups that include both eligible and non-eligible persons. However, the groups must be predominantly eligible. Priority 3 is for USDA Foods that remain after Priority 2 needs are met. </w:t>
      </w:r>
    </w:p>
    <w:p w14:paraId="608DEACE"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07D45E5F" w14:textId="40CED24A" w:rsidR="00A431D1" w:rsidRPr="00A431D1" w:rsidRDefault="00A431D1" w:rsidP="00D27018">
      <w:pPr>
        <w:widowControl/>
        <w:rPr>
          <w:rFonts w:ascii="Candara" w:eastAsiaTheme="minorHAnsi" w:hAnsi="Candara" w:cstheme="minorBidi"/>
          <w:snapToGrid/>
          <w:sz w:val="22"/>
          <w:szCs w:val="22"/>
        </w:rPr>
      </w:pPr>
      <w:proofErr w:type="gramStart"/>
      <w:r w:rsidRPr="00A431D1">
        <w:rPr>
          <w:rFonts w:ascii="Candara" w:eastAsiaTheme="minorHAnsi" w:hAnsi="Candara" w:cstheme="minorBidi"/>
          <w:snapToGrid/>
          <w:sz w:val="22"/>
          <w:szCs w:val="22"/>
        </w:rPr>
        <w:t>In order for</w:t>
      </w:r>
      <w:proofErr w:type="gramEnd"/>
      <w:r w:rsidRPr="00A431D1">
        <w:rPr>
          <w:rFonts w:ascii="Candara" w:eastAsiaTheme="minorHAnsi" w:hAnsi="Candara" w:cstheme="minorBidi"/>
          <w:snapToGrid/>
          <w:sz w:val="22"/>
          <w:szCs w:val="22"/>
        </w:rPr>
        <w:t xml:space="preserve"> RAs to receive USDA Foods under Priority 3, they must demonstrate to the Food Bank that they serve predominantly eligible </w:t>
      </w:r>
      <w:r w:rsidR="00E978EE" w:rsidRPr="00A431D1">
        <w:rPr>
          <w:rFonts w:ascii="Candara" w:eastAsiaTheme="minorHAnsi" w:hAnsi="Candara" w:cstheme="minorBidi"/>
          <w:snapToGrid/>
          <w:sz w:val="22"/>
          <w:szCs w:val="22"/>
        </w:rPr>
        <w:t>people</w:t>
      </w:r>
      <w:r w:rsidRPr="00A431D1">
        <w:rPr>
          <w:rFonts w:ascii="Candara" w:eastAsiaTheme="minorHAnsi" w:hAnsi="Candara" w:cstheme="minorBidi"/>
          <w:snapToGrid/>
          <w:sz w:val="22"/>
          <w:szCs w:val="22"/>
        </w:rPr>
        <w:t xml:space="preserve">. RAs may demonstrate they serve predominantly eligible persons by providing documentation which verifies the socioeconomic conditions of the area in which the RA is located or from which it draws its clientele. Such documentation includes (but is not limited to) poverty, unemployment, vagrancy, or welfare program usage rates. </w:t>
      </w:r>
    </w:p>
    <w:p w14:paraId="2BAC6FC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00C8ECED" w14:textId="229A3A6D"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Priority 3 gives Food Banks flexibility in their efforts to reach a greater number of eligible persons. However, Food Banks must continue to periodically assess the food assistance needs of the residents of their service areas and, as feasible and necessary, to develop partnerships with recipient agencies that serve only eligible persons. Additionally, Food Banks must continue to assess the needs of specific groups or categories of eligible persons, such as the people living </w:t>
      </w:r>
      <w:r w:rsidRPr="00E978EE">
        <w:rPr>
          <w:rFonts w:ascii="Candara" w:eastAsiaTheme="minorHAnsi" w:hAnsi="Candara" w:cstheme="minorBidi"/>
          <w:snapToGrid/>
          <w:sz w:val="22"/>
          <w:szCs w:val="22"/>
        </w:rPr>
        <w:t>in rural</w:t>
      </w:r>
      <w:r w:rsidR="0057533C" w:rsidRPr="00E978EE">
        <w:rPr>
          <w:rFonts w:ascii="Candara" w:eastAsiaTheme="minorHAnsi" w:hAnsi="Candara" w:cstheme="minorBidi"/>
          <w:snapToGrid/>
          <w:sz w:val="22"/>
          <w:szCs w:val="22"/>
        </w:rPr>
        <w:t>, remote, Tribal,</w:t>
      </w:r>
      <w:r w:rsidRPr="00A431D1">
        <w:rPr>
          <w:rFonts w:ascii="Candara" w:eastAsiaTheme="minorHAnsi" w:hAnsi="Candara" w:cstheme="minorBidi"/>
          <w:snapToGrid/>
          <w:sz w:val="22"/>
          <w:szCs w:val="22"/>
        </w:rPr>
        <w:t xml:space="preserve"> or difficult-to-serve areas.</w:t>
      </w:r>
    </w:p>
    <w:p w14:paraId="156A6281"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1A89D15B"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The requirement for Food Banks to develop outlets for USDA Foods conforms to the program’s primary goal of distributing to eligible people and, over time, may reduce the amount of USDA Foods distributed to Priorities 2 and 3. DESE will continue to monitor the distribution of USDA Foods to ensure that Food Banks adhere to priorities. If supported by review findings or other information, DESE will request corrective action as appropriate. </w:t>
      </w:r>
    </w:p>
    <w:p w14:paraId="20876B0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520CF8E1"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Meeting the priority system.</w:t>
      </w:r>
      <w:r w:rsidRPr="00A431D1">
        <w:rPr>
          <w:rFonts w:ascii="Candara" w:eastAsiaTheme="minorHAnsi" w:hAnsi="Candara" w:cstheme="minorBidi"/>
          <w:snapToGrid/>
          <w:sz w:val="22"/>
          <w:szCs w:val="22"/>
        </w:rPr>
        <w:t xml:space="preserve"> DESE recognizes that some food banks’ inventory tracking system causes difficulty in meeting the priority system. Food banks have </w:t>
      </w:r>
      <w:proofErr w:type="gramStart"/>
      <w:r w:rsidRPr="00A431D1">
        <w:rPr>
          <w:rFonts w:ascii="Candara" w:eastAsiaTheme="minorHAnsi" w:hAnsi="Candara" w:cstheme="minorBidi"/>
          <w:snapToGrid/>
          <w:sz w:val="22"/>
          <w:szCs w:val="22"/>
        </w:rPr>
        <w:t>a number of</w:t>
      </w:r>
      <w:proofErr w:type="gramEnd"/>
      <w:r w:rsidRPr="00A431D1">
        <w:rPr>
          <w:rFonts w:ascii="Candara" w:eastAsiaTheme="minorHAnsi" w:hAnsi="Candara" w:cstheme="minorBidi"/>
          <w:snapToGrid/>
          <w:sz w:val="22"/>
          <w:szCs w:val="22"/>
        </w:rPr>
        <w:t xml:space="preserve"> options. For instance, they may choose to manually adjust the tracking system to meet the priority system. As an alternative, food banks may choose to serve TEFAP USDA Foods to only Priority 1 agencies. In all cases, each food bank must comply with DESE and USDA regulations for the priority system. </w:t>
      </w:r>
    </w:p>
    <w:p w14:paraId="10146664"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1D60A412"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Ninety Days to Meet Priority 1 Needs.</w:t>
      </w:r>
      <w:r w:rsidRPr="00A431D1">
        <w:rPr>
          <w:rFonts w:ascii="Candara" w:eastAsiaTheme="minorHAnsi" w:hAnsi="Candara" w:cstheme="minorBidi"/>
          <w:snapToGrid/>
          <w:sz w:val="22"/>
          <w:szCs w:val="22"/>
        </w:rPr>
        <w:t xml:space="preserve"> Except as provided below, during the 90 days following the receipt of a shipment of USDA Foods, a food bank must distribute the USDA Foods to Priority 1 RAs only. Following the 90-day period, a food bank may distribute remaining USDA Foods to Priority 2 RAs; and, if USDA Foods remain after Priority 2 RAs’ needs have been met, the food bank may then distribute USDA Foods to Priority 3 RAs.  </w:t>
      </w:r>
    </w:p>
    <w:p w14:paraId="17AD93B2" w14:textId="77777777" w:rsidR="00A431D1" w:rsidRPr="00A431D1" w:rsidRDefault="00A431D1" w:rsidP="00D27018">
      <w:pPr>
        <w:widowControl/>
        <w:rPr>
          <w:rFonts w:ascii="Candara" w:eastAsiaTheme="minorHAnsi" w:hAnsi="Candara" w:cstheme="minorBidi"/>
          <w:snapToGrid/>
          <w:sz w:val="22"/>
          <w:szCs w:val="22"/>
        </w:rPr>
      </w:pPr>
    </w:p>
    <w:p w14:paraId="020124CE" w14:textId="030B48A6"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i/>
          <w:snapToGrid/>
          <w:sz w:val="22"/>
          <w:szCs w:val="22"/>
        </w:rPr>
        <w:t xml:space="preserve">Exception:  A food bank that documents that all Priority 1 RAs’ needs have been met (as requested or as actually needed based on available data) may distribute USDA Foods to Priority 2 RAs prior to expiration of the 90-day period described above. If the food </w:t>
      </w:r>
      <w:r w:rsidR="00507E88" w:rsidRPr="00A431D1">
        <w:rPr>
          <w:rFonts w:ascii="Candara" w:eastAsiaTheme="minorHAnsi" w:hAnsi="Candara" w:cstheme="minorBidi"/>
          <w:i/>
          <w:snapToGrid/>
          <w:sz w:val="22"/>
          <w:szCs w:val="22"/>
        </w:rPr>
        <w:t>bank,</w:t>
      </w:r>
      <w:r w:rsidRPr="00A431D1">
        <w:rPr>
          <w:rFonts w:ascii="Candara" w:eastAsiaTheme="minorHAnsi" w:hAnsi="Candara" w:cstheme="minorBidi"/>
          <w:i/>
          <w:snapToGrid/>
          <w:sz w:val="22"/>
          <w:szCs w:val="22"/>
        </w:rPr>
        <w:t xml:space="preserve"> then documents that all Priority 2 RAs’ needs have been met, the food bank may distribute remaining USDA Foods to Priority 3 RAs prior to expiration of the 90-day period described above. </w:t>
      </w:r>
    </w:p>
    <w:p w14:paraId="0DE4B5B7" w14:textId="77777777" w:rsidR="00A431D1" w:rsidRPr="00A431D1" w:rsidRDefault="00A431D1" w:rsidP="33DD7390">
      <w:pPr>
        <w:widowControl/>
        <w:rPr>
          <w:rFonts w:ascii="Candara" w:eastAsiaTheme="minorEastAsia" w:hAnsi="Candara" w:cstheme="minorBidi"/>
          <w:snapToGrid/>
          <w:sz w:val="22"/>
          <w:szCs w:val="22"/>
        </w:rPr>
      </w:pPr>
      <w:r w:rsidRPr="33DD7390">
        <w:rPr>
          <w:rFonts w:ascii="Candara" w:eastAsiaTheme="minorEastAsia" w:hAnsi="Candara" w:cstheme="minorBidi"/>
          <w:b/>
          <w:bCs/>
          <w:snapToGrid/>
          <w:sz w:val="22"/>
          <w:szCs w:val="22"/>
        </w:rPr>
        <w:t xml:space="preserve"> </w:t>
      </w:r>
    </w:p>
    <w:p w14:paraId="4BB82100" w14:textId="60768A0B" w:rsidR="00722CB0" w:rsidRPr="00455B18" w:rsidRDefault="00722CB0"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If after </w:t>
      </w:r>
      <w:r w:rsidR="00A431D1">
        <w:rPr>
          <w:rFonts w:ascii="Candara" w:eastAsiaTheme="minorHAnsi" w:hAnsi="Candara" w:cstheme="minorBidi"/>
          <w:snapToGrid/>
          <w:sz w:val="22"/>
          <w:szCs w:val="22"/>
        </w:rPr>
        <w:t>9</w:t>
      </w:r>
      <w:r w:rsidR="00A431D1" w:rsidRPr="00455B18">
        <w:rPr>
          <w:rFonts w:ascii="Candara" w:eastAsiaTheme="minorHAnsi" w:hAnsi="Candara" w:cstheme="minorBidi"/>
          <w:snapToGrid/>
          <w:sz w:val="22"/>
          <w:szCs w:val="22"/>
        </w:rPr>
        <w:t xml:space="preserve">0 </w:t>
      </w:r>
      <w:r w:rsidRPr="00455B18">
        <w:rPr>
          <w:rFonts w:ascii="Candara" w:eastAsiaTheme="minorHAnsi" w:hAnsi="Candara" w:cstheme="minorBidi"/>
          <w:snapToGrid/>
          <w:sz w:val="22"/>
          <w:szCs w:val="22"/>
        </w:rPr>
        <w:t xml:space="preserve">days </w:t>
      </w:r>
      <w:r w:rsidRPr="00E978EE">
        <w:rPr>
          <w:rFonts w:ascii="Candara" w:eastAsiaTheme="minorHAnsi" w:hAnsi="Candara" w:cstheme="minorBidi"/>
          <w:snapToGrid/>
          <w:sz w:val="22"/>
          <w:szCs w:val="22"/>
        </w:rPr>
        <w:t xml:space="preserve">TEFAP </w:t>
      </w:r>
      <w:r w:rsidR="00735787" w:rsidRPr="00E978EE">
        <w:rPr>
          <w:rFonts w:ascii="Candara" w:eastAsiaTheme="minorHAnsi" w:hAnsi="Candara" w:cstheme="minorBidi"/>
          <w:snapToGrid/>
          <w:sz w:val="22"/>
          <w:szCs w:val="22"/>
        </w:rPr>
        <w:t xml:space="preserve">USDA Foods </w:t>
      </w:r>
      <w:r w:rsidRPr="00E978EE">
        <w:rPr>
          <w:rFonts w:ascii="Candara" w:eastAsiaTheme="minorHAnsi" w:hAnsi="Candara" w:cstheme="minorBidi"/>
          <w:snapToGrid/>
          <w:sz w:val="22"/>
          <w:szCs w:val="22"/>
        </w:rPr>
        <w:t>have been distributed in sufficient quantities to meet the needs of all emergency feeding organizations,</w:t>
      </w:r>
      <w:r w:rsidR="00735787" w:rsidRPr="00E978EE">
        <w:rPr>
          <w:rFonts w:ascii="Candara" w:eastAsiaTheme="minorHAnsi" w:hAnsi="Candara" w:cstheme="minorBidi"/>
          <w:snapToGrid/>
          <w:sz w:val="22"/>
          <w:szCs w:val="22"/>
        </w:rPr>
        <w:t xml:space="preserve"> USDA Foods</w:t>
      </w:r>
      <w:r w:rsidRPr="00E978EE">
        <w:rPr>
          <w:rFonts w:ascii="Candara" w:eastAsiaTheme="minorHAnsi" w:hAnsi="Candara" w:cstheme="minorBidi"/>
          <w:snapToGrid/>
          <w:sz w:val="22"/>
          <w:szCs w:val="22"/>
        </w:rPr>
        <w:t xml:space="preserve"> will then be made</w:t>
      </w:r>
      <w:r w:rsidRPr="00455B18">
        <w:rPr>
          <w:rFonts w:ascii="Candara" w:eastAsiaTheme="minorHAnsi" w:hAnsi="Candara" w:cstheme="minorBidi"/>
          <w:snapToGrid/>
          <w:sz w:val="22"/>
          <w:szCs w:val="22"/>
        </w:rPr>
        <w:t xml:space="preserve"> available to the second </w:t>
      </w:r>
      <w:r w:rsidRPr="00455B18">
        <w:rPr>
          <w:rFonts w:ascii="Candara" w:eastAsiaTheme="minorHAnsi" w:hAnsi="Candara" w:cstheme="minorBidi"/>
          <w:snapToGrid/>
          <w:sz w:val="22"/>
          <w:szCs w:val="22"/>
        </w:rPr>
        <w:lastRenderedPageBreak/>
        <w:t>priority of eligible recipient agencies, e.g. other public or private non-profit organizations that serve need people but do not relieve situations of emergency and distress 7 CFR 251.4(h)(ii).</w:t>
      </w:r>
    </w:p>
    <w:p w14:paraId="66204FF1" w14:textId="77777777" w:rsidR="00210525" w:rsidRPr="00455B18" w:rsidRDefault="00210525" w:rsidP="00D27018">
      <w:pPr>
        <w:widowControl/>
        <w:rPr>
          <w:rFonts w:ascii="Candara" w:eastAsiaTheme="minorHAnsi" w:hAnsi="Candara" w:cstheme="minorBidi"/>
          <w:snapToGrid/>
          <w:sz w:val="22"/>
          <w:szCs w:val="22"/>
        </w:rPr>
      </w:pPr>
    </w:p>
    <w:p w14:paraId="0619DE46" w14:textId="77777777" w:rsidR="00210525"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 xml:space="preserve">III. Program </w:t>
      </w:r>
      <w:r w:rsidR="00C957BB" w:rsidRPr="00455B18">
        <w:rPr>
          <w:rFonts w:ascii="Candara" w:eastAsiaTheme="minorHAnsi" w:hAnsi="Candara" w:cstheme="minorBidi"/>
          <w:b/>
          <w:snapToGrid/>
          <w:sz w:val="22"/>
          <w:szCs w:val="22"/>
          <w:u w:val="single"/>
        </w:rPr>
        <w:t>Eligibility</w:t>
      </w:r>
      <w:r w:rsidR="00C957BB" w:rsidRPr="00455B18">
        <w:rPr>
          <w:rFonts w:ascii="Candara" w:eastAsiaTheme="minorHAnsi" w:hAnsi="Candara" w:cstheme="minorBidi"/>
          <w:snapToGrid/>
          <w:sz w:val="22"/>
          <w:szCs w:val="22"/>
        </w:rPr>
        <w:t xml:space="preserve"> 7</w:t>
      </w:r>
      <w:r w:rsidRPr="00455B18">
        <w:rPr>
          <w:rFonts w:ascii="Candara" w:eastAsiaTheme="minorHAnsi" w:hAnsi="Candara" w:cstheme="minorBidi"/>
          <w:snapToGrid/>
          <w:sz w:val="22"/>
          <w:szCs w:val="22"/>
        </w:rPr>
        <w:t xml:space="preserve"> CFR 251.5</w:t>
      </w:r>
    </w:p>
    <w:p w14:paraId="2DBF0D7D" w14:textId="77777777" w:rsidR="00455B18" w:rsidRPr="00455B18" w:rsidRDefault="00455B18" w:rsidP="00D27018">
      <w:pPr>
        <w:widowControl/>
        <w:rPr>
          <w:rFonts w:ascii="Candara" w:eastAsiaTheme="minorHAnsi" w:hAnsi="Candara" w:cstheme="minorBidi"/>
          <w:snapToGrid/>
          <w:sz w:val="22"/>
          <w:szCs w:val="22"/>
        </w:rPr>
      </w:pPr>
    </w:p>
    <w:p w14:paraId="3DAC3648" w14:textId="77777777" w:rsidR="00210525" w:rsidRPr="00455B18" w:rsidRDefault="00210525" w:rsidP="00D27018">
      <w:pPr>
        <w:widowControl/>
        <w:rPr>
          <w:rFonts w:ascii="Candara" w:eastAsiaTheme="minorHAnsi" w:hAnsi="Candara" w:cstheme="minorBidi"/>
          <w:snapToGrid/>
          <w:sz w:val="22"/>
          <w:szCs w:val="22"/>
        </w:rPr>
      </w:pPr>
      <w:r w:rsidRPr="33DD7390">
        <w:rPr>
          <w:rFonts w:ascii="Candara" w:eastAsiaTheme="minorEastAsia" w:hAnsi="Candara" w:cstheme="minorBidi"/>
          <w:snapToGrid/>
          <w:sz w:val="22"/>
          <w:szCs w:val="22"/>
        </w:rPr>
        <w:t>TEFAP / USDA foods may be used in two ways: they may be used to prepare meals which are served to a group, or TEFAP / USDA foods may also be given to participants who take them home for use by the household (household distribution).</w:t>
      </w:r>
    </w:p>
    <w:p w14:paraId="70869596" w14:textId="65BA7048" w:rsidR="33DD7390" w:rsidRDefault="33DD7390" w:rsidP="33DD7390">
      <w:pPr>
        <w:widowControl/>
        <w:rPr>
          <w:szCs w:val="24"/>
        </w:rPr>
      </w:pPr>
    </w:p>
    <w:p w14:paraId="559E18F1"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A. Eligibility for Prepared Meals</w:t>
      </w:r>
      <w:r w:rsidRPr="00455B18">
        <w:rPr>
          <w:rFonts w:ascii="Candara" w:eastAsiaTheme="minorHAnsi" w:hAnsi="Candara" w:cstheme="minorBidi"/>
          <w:snapToGrid/>
          <w:sz w:val="22"/>
          <w:szCs w:val="22"/>
        </w:rPr>
        <w:t xml:space="preserve"> 7 CFR 251.5 (a)</w:t>
      </w:r>
    </w:p>
    <w:p w14:paraId="7D62DA29"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Organizations providing prepared meals must demonstrate that they serve predominantly needy persons. Those seeking prepared meals at an approved TEFAP site are presumed to be needy. Sites do not have to maintain records of the name of participants to whom they serve meals.</w:t>
      </w:r>
      <w:r w:rsidRPr="00455B18">
        <w:rPr>
          <w:rFonts w:ascii="Candara" w:eastAsiaTheme="minorHAnsi" w:hAnsi="Candara" w:cstheme="minorBidi"/>
          <w:snapToGrid/>
          <w:sz w:val="22"/>
          <w:szCs w:val="22"/>
        </w:rPr>
        <w:tab/>
      </w:r>
    </w:p>
    <w:p w14:paraId="6B62F1B3" w14:textId="77777777" w:rsidR="00210525" w:rsidRPr="00455B18" w:rsidRDefault="00210525" w:rsidP="00D27018">
      <w:pPr>
        <w:widowControl/>
        <w:rPr>
          <w:rFonts w:ascii="Candara" w:eastAsiaTheme="minorHAnsi" w:hAnsi="Candara" w:cstheme="minorBidi"/>
          <w:snapToGrid/>
          <w:sz w:val="22"/>
          <w:szCs w:val="22"/>
        </w:rPr>
      </w:pPr>
    </w:p>
    <w:p w14:paraId="7DEA2964"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B. Eligibility for Household Distribution</w:t>
      </w:r>
      <w:r w:rsidRPr="00455B18">
        <w:rPr>
          <w:rFonts w:ascii="Candara" w:eastAsiaTheme="minorHAnsi" w:hAnsi="Candara" w:cstheme="minorBidi"/>
          <w:snapToGrid/>
          <w:sz w:val="22"/>
          <w:szCs w:val="22"/>
        </w:rPr>
        <w:t xml:space="preserve"> 7 CFR 251.5 (b)</w:t>
      </w:r>
    </w:p>
    <w:p w14:paraId="1429E32D" w14:textId="77777777" w:rsidR="00210525" w:rsidRPr="00BF4249"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In accordance with federal regulations 7 CFR 251.5(b) and 251.10(a)(3),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has established eligibility criteria which must be met </w:t>
      </w:r>
      <w:proofErr w:type="gramStart"/>
      <w:r w:rsidRPr="00455B18">
        <w:rPr>
          <w:rFonts w:ascii="Candara" w:eastAsiaTheme="minorHAnsi" w:hAnsi="Candara" w:cstheme="minorBidi"/>
          <w:snapToGrid/>
          <w:sz w:val="22"/>
          <w:szCs w:val="22"/>
        </w:rPr>
        <w:t>in order for</w:t>
      </w:r>
      <w:proofErr w:type="gramEnd"/>
      <w:r w:rsidRPr="00455B18">
        <w:rPr>
          <w:rFonts w:ascii="Candara" w:eastAsiaTheme="minorHAnsi" w:hAnsi="Candara" w:cstheme="minorBidi"/>
          <w:snapToGrid/>
          <w:sz w:val="22"/>
          <w:szCs w:val="22"/>
        </w:rPr>
        <w:t xml:space="preserve"> a household to qualify to receive USDA foods. For purposes of this program, household is defined </w:t>
      </w:r>
      <w:r w:rsidRPr="00BF4249">
        <w:rPr>
          <w:rFonts w:ascii="Candara" w:eastAsiaTheme="minorHAnsi" w:hAnsi="Candara" w:cstheme="minorBidi"/>
          <w:snapToGrid/>
          <w:sz w:val="22"/>
          <w:szCs w:val="22"/>
        </w:rPr>
        <w:t>as all individuals living together under one roof regardless of their relationship to one another.</w:t>
      </w:r>
    </w:p>
    <w:p w14:paraId="2B73BB8F" w14:textId="559722DF" w:rsidR="00210525" w:rsidRPr="00BF4249" w:rsidRDefault="00210525" w:rsidP="00D27018">
      <w:pPr>
        <w:widowControl/>
        <w:numPr>
          <w:ilvl w:val="0"/>
          <w:numId w:val="23"/>
        </w:numPr>
        <w:ind w:left="360"/>
        <w:contextualSpacing/>
        <w:rPr>
          <w:rFonts w:ascii="Candara" w:eastAsiaTheme="minorHAnsi" w:hAnsi="Candara" w:cstheme="minorBidi"/>
          <w:snapToGrid/>
          <w:sz w:val="22"/>
          <w:szCs w:val="22"/>
        </w:rPr>
      </w:pPr>
      <w:r w:rsidRPr="00BF4249">
        <w:rPr>
          <w:rFonts w:ascii="Candara" w:eastAsiaTheme="minorHAnsi" w:hAnsi="Candara" w:cstheme="minorBidi"/>
          <w:snapToGrid/>
          <w:sz w:val="22"/>
          <w:szCs w:val="22"/>
        </w:rPr>
        <w:t xml:space="preserve">The household must reside in Massachusetts.  </w:t>
      </w:r>
      <w:r w:rsidR="0057533C" w:rsidRPr="00BF4249">
        <w:rPr>
          <w:rFonts w:ascii="Candara" w:eastAsiaTheme="minorHAnsi" w:hAnsi="Candara" w:cstheme="minorBidi"/>
          <w:snapToGrid/>
          <w:sz w:val="22"/>
          <w:szCs w:val="22"/>
        </w:rPr>
        <w:t>Participants will self-declare residency by providing their home zip code.</w:t>
      </w:r>
    </w:p>
    <w:p w14:paraId="3C892513" w14:textId="0527536D" w:rsidR="00210525" w:rsidRPr="00BF4249" w:rsidRDefault="00210525" w:rsidP="33DD7390">
      <w:pPr>
        <w:widowControl/>
        <w:numPr>
          <w:ilvl w:val="0"/>
          <w:numId w:val="23"/>
        </w:numPr>
        <w:ind w:left="360"/>
        <w:contextualSpacing/>
        <w:rPr>
          <w:rFonts w:ascii="Candara" w:eastAsiaTheme="minorEastAsia" w:hAnsi="Candara" w:cstheme="minorBidi"/>
          <w:snapToGrid/>
          <w:sz w:val="22"/>
          <w:szCs w:val="22"/>
        </w:rPr>
      </w:pPr>
      <w:proofErr w:type="gramStart"/>
      <w:r w:rsidRPr="00BF4249">
        <w:rPr>
          <w:rFonts w:ascii="Candara" w:eastAsiaTheme="minorEastAsia" w:hAnsi="Candara" w:cstheme="minorBidi"/>
          <w:snapToGrid/>
          <w:sz w:val="22"/>
          <w:szCs w:val="22"/>
        </w:rPr>
        <w:t>In order to</w:t>
      </w:r>
      <w:proofErr w:type="gramEnd"/>
      <w:r w:rsidRPr="00BF4249">
        <w:rPr>
          <w:rFonts w:ascii="Candara" w:eastAsiaTheme="minorEastAsia" w:hAnsi="Candara" w:cstheme="minorBidi"/>
          <w:snapToGrid/>
          <w:sz w:val="22"/>
          <w:szCs w:val="22"/>
        </w:rPr>
        <w:t xml:space="preserve"> be eligible to receive household TEFAP</w:t>
      </w:r>
      <w:r w:rsidR="00735787" w:rsidRPr="00BF4249">
        <w:rPr>
          <w:rFonts w:ascii="Candara" w:eastAsiaTheme="minorEastAsia" w:hAnsi="Candara" w:cstheme="minorBidi"/>
          <w:snapToGrid/>
          <w:sz w:val="22"/>
          <w:szCs w:val="22"/>
        </w:rPr>
        <w:t xml:space="preserve"> USDA Foods</w:t>
      </w:r>
      <w:r w:rsidRPr="00BF4249">
        <w:rPr>
          <w:rFonts w:ascii="Candara" w:eastAsiaTheme="minorEastAsia" w:hAnsi="Candara" w:cstheme="minorBidi"/>
          <w:snapToGrid/>
          <w:sz w:val="22"/>
          <w:szCs w:val="22"/>
        </w:rPr>
        <w:t>, the total household income for all household members must be at or below 250% of federal poverty guidelines.</w:t>
      </w:r>
    </w:p>
    <w:p w14:paraId="42974701" w14:textId="5A194CC9" w:rsidR="00210525" w:rsidRPr="00455B18" w:rsidRDefault="00210525" w:rsidP="33DD7390">
      <w:pPr>
        <w:widowControl/>
        <w:numPr>
          <w:ilvl w:val="0"/>
          <w:numId w:val="23"/>
        </w:numPr>
        <w:ind w:left="360"/>
        <w:contextualSpacing/>
        <w:rPr>
          <w:rFonts w:ascii="Candara" w:eastAsiaTheme="minorEastAsia" w:hAnsi="Candara" w:cstheme="minorBidi"/>
          <w:snapToGrid/>
          <w:sz w:val="22"/>
          <w:szCs w:val="22"/>
        </w:rPr>
      </w:pPr>
      <w:r w:rsidRPr="00BF4249">
        <w:rPr>
          <w:rFonts w:ascii="Candara" w:eastAsiaTheme="minorEastAsia" w:hAnsi="Candara" w:cstheme="minorBidi"/>
          <w:snapToGrid/>
          <w:sz w:val="22"/>
          <w:szCs w:val="22"/>
        </w:rPr>
        <w:t>Applicants who participate in one or more of the following programs are automatically eligible – Free and Reduced-Price Lunch, Food Stamps/SNAP, AFDC, TANF, WIC, Welfare, Medicaid</w:t>
      </w:r>
      <w:r w:rsidRPr="33DD7390">
        <w:rPr>
          <w:rFonts w:ascii="Candara" w:eastAsiaTheme="minorEastAsia" w:hAnsi="Candara" w:cstheme="minorBidi"/>
          <w:snapToGrid/>
          <w:sz w:val="22"/>
          <w:szCs w:val="22"/>
        </w:rPr>
        <w:t>, Supplemental Security Income, Head Start, Fuel Assistance or Veteran’s Aid.</w:t>
      </w:r>
    </w:p>
    <w:p w14:paraId="02F2C34E" w14:textId="77777777" w:rsidR="00272919" w:rsidRPr="00455B18" w:rsidRDefault="00272919" w:rsidP="00D27018">
      <w:pPr>
        <w:widowControl/>
        <w:ind w:left="360"/>
        <w:rPr>
          <w:rFonts w:ascii="Candara" w:eastAsiaTheme="minorHAnsi" w:hAnsi="Candara" w:cstheme="minorBidi"/>
          <w:b/>
          <w:snapToGrid/>
          <w:sz w:val="22"/>
          <w:szCs w:val="22"/>
          <w:u w:val="single"/>
        </w:rPr>
      </w:pPr>
    </w:p>
    <w:p w14:paraId="5BC07247"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IV. Record Keeping</w:t>
      </w:r>
      <w:r w:rsidRPr="00455B18">
        <w:rPr>
          <w:rFonts w:ascii="Candara" w:eastAsiaTheme="minorHAnsi" w:hAnsi="Candara" w:cstheme="minorBidi"/>
          <w:snapToGrid/>
          <w:sz w:val="22"/>
          <w:szCs w:val="22"/>
        </w:rPr>
        <w:t xml:space="preserve"> 7 CFR 251.10 </w:t>
      </w:r>
    </w:p>
    <w:p w14:paraId="680A4E5D" w14:textId="77777777" w:rsidR="00A833B3" w:rsidRPr="00455B18" w:rsidRDefault="00A833B3" w:rsidP="00D27018">
      <w:pPr>
        <w:widowControl/>
        <w:rPr>
          <w:rFonts w:ascii="Candara" w:eastAsiaTheme="minorHAnsi" w:hAnsi="Candara" w:cstheme="minorBidi"/>
          <w:snapToGrid/>
          <w:sz w:val="22"/>
          <w:szCs w:val="22"/>
        </w:rPr>
      </w:pPr>
    </w:p>
    <w:p w14:paraId="770E1155" w14:textId="6CD21623" w:rsidR="00210525" w:rsidRPr="005D612E" w:rsidRDefault="00210525" w:rsidP="26D3B3E6">
      <w:pPr>
        <w:widowControl/>
        <w:rPr>
          <w:rFonts w:ascii="Candara" w:eastAsiaTheme="minorEastAsia" w:hAnsi="Candara" w:cstheme="minorBidi"/>
          <w:snapToGrid/>
          <w:sz w:val="22"/>
          <w:szCs w:val="22"/>
        </w:rPr>
      </w:pPr>
      <w:r w:rsidRPr="26D3B3E6">
        <w:rPr>
          <w:rFonts w:ascii="Candara" w:eastAsiaTheme="minorEastAsia" w:hAnsi="Candara" w:cstheme="minorBidi"/>
          <w:snapToGrid/>
          <w:sz w:val="22"/>
          <w:szCs w:val="22"/>
        </w:rPr>
        <w:t xml:space="preserve">Federal regulations do not require that an applicant household provide independent verification of income. </w:t>
      </w:r>
      <w:r w:rsidR="00C957BB" w:rsidRPr="26D3B3E6">
        <w:rPr>
          <w:rFonts w:ascii="Candara" w:eastAsiaTheme="minorEastAsia" w:hAnsi="Candara" w:cstheme="minorBidi"/>
          <w:snapToGrid/>
          <w:sz w:val="22"/>
          <w:szCs w:val="22"/>
        </w:rPr>
        <w:t>Therefore,</w:t>
      </w:r>
      <w:r w:rsidRPr="26D3B3E6">
        <w:rPr>
          <w:rFonts w:ascii="Candara" w:eastAsiaTheme="minorEastAsia" w:hAnsi="Candara" w:cstheme="minorBidi"/>
          <w:snapToGrid/>
          <w:sz w:val="22"/>
          <w:szCs w:val="22"/>
        </w:rPr>
        <w:t xml:space="preserve"> </w:t>
      </w:r>
      <w:r w:rsidR="00CB1E5F" w:rsidRPr="26D3B3E6">
        <w:rPr>
          <w:rFonts w:ascii="Candara" w:eastAsiaTheme="minorEastAsia" w:hAnsi="Candara" w:cstheme="minorBidi"/>
          <w:snapToGrid/>
          <w:sz w:val="22"/>
          <w:szCs w:val="22"/>
        </w:rPr>
        <w:t>DESE</w:t>
      </w:r>
      <w:r w:rsidRPr="26D3B3E6">
        <w:rPr>
          <w:rFonts w:ascii="Candara" w:eastAsiaTheme="minorEastAsia" w:hAnsi="Candara" w:cstheme="minorBidi"/>
          <w:snapToGrid/>
          <w:sz w:val="22"/>
          <w:szCs w:val="22"/>
        </w:rPr>
        <w:t xml:space="preserve"> does not impose stricter eligibility standards. However, in compliance with 7 CFR 251.10(a)(3), eligible </w:t>
      </w:r>
      <w:r w:rsidRPr="005D612E">
        <w:rPr>
          <w:rFonts w:ascii="Candara" w:eastAsiaTheme="minorEastAsia" w:hAnsi="Candara" w:cstheme="minorBidi"/>
          <w:snapToGrid/>
          <w:sz w:val="22"/>
          <w:szCs w:val="22"/>
        </w:rPr>
        <w:t xml:space="preserve">recipient agencies must collect </w:t>
      </w:r>
      <w:r w:rsidR="005D4817" w:rsidRPr="005D612E">
        <w:rPr>
          <w:rFonts w:ascii="Candara" w:eastAsiaTheme="minorEastAsia" w:hAnsi="Candara" w:cstheme="minorBidi"/>
          <w:snapToGrid/>
          <w:sz w:val="22"/>
          <w:szCs w:val="22"/>
        </w:rPr>
        <w:t xml:space="preserve">participant attestation </w:t>
      </w:r>
      <w:r w:rsidRPr="005D612E">
        <w:rPr>
          <w:rFonts w:ascii="Candara" w:eastAsiaTheme="minorEastAsia" w:hAnsi="Candara" w:cstheme="minorBidi"/>
          <w:snapToGrid/>
          <w:sz w:val="22"/>
          <w:szCs w:val="22"/>
        </w:rPr>
        <w:t xml:space="preserve">to determine household eligibility to receive TEFAP </w:t>
      </w:r>
      <w:r w:rsidR="00E160DA" w:rsidRPr="005D612E">
        <w:rPr>
          <w:rFonts w:ascii="Candara" w:eastAsiaTheme="minorEastAsia" w:hAnsi="Candara" w:cstheme="minorBidi"/>
          <w:snapToGrid/>
          <w:sz w:val="22"/>
          <w:szCs w:val="22"/>
        </w:rPr>
        <w:t xml:space="preserve">foods </w:t>
      </w:r>
      <w:r w:rsidR="00E57A36" w:rsidRPr="005D612E">
        <w:rPr>
          <w:rFonts w:ascii="Candara" w:eastAsiaTheme="minorEastAsia" w:hAnsi="Candara" w:cstheme="minorBidi"/>
          <w:snapToGrid/>
          <w:sz w:val="22"/>
          <w:szCs w:val="22"/>
        </w:rPr>
        <w:t>annually or whenever Federal income guidelines change</w:t>
      </w:r>
      <w:r w:rsidR="00B1749B" w:rsidRPr="005D612E">
        <w:rPr>
          <w:rFonts w:ascii="Candara" w:eastAsiaTheme="minorEastAsia" w:hAnsi="Candara" w:cstheme="minorBidi"/>
          <w:snapToGrid/>
          <w:sz w:val="22"/>
          <w:szCs w:val="22"/>
        </w:rPr>
        <w:t xml:space="preserve"> </w:t>
      </w:r>
      <w:r w:rsidR="00CE00E9" w:rsidRPr="005D612E">
        <w:rPr>
          <w:rFonts w:ascii="Candara" w:eastAsiaTheme="minorEastAsia" w:hAnsi="Candara" w:cstheme="minorBidi"/>
          <w:snapToGrid/>
          <w:sz w:val="22"/>
          <w:szCs w:val="22"/>
        </w:rPr>
        <w:t>as notified by DESE</w:t>
      </w:r>
      <w:r w:rsidR="00E57A36" w:rsidRPr="005D612E">
        <w:rPr>
          <w:rFonts w:ascii="Candara" w:eastAsiaTheme="minorEastAsia" w:hAnsi="Candara" w:cstheme="minorBidi"/>
          <w:snapToGrid/>
          <w:sz w:val="22"/>
          <w:szCs w:val="22"/>
        </w:rPr>
        <w:t>.</w:t>
      </w:r>
    </w:p>
    <w:p w14:paraId="19219836" w14:textId="77777777" w:rsidR="00210525" w:rsidRPr="005D612E" w:rsidRDefault="00210525" w:rsidP="00D27018">
      <w:pPr>
        <w:widowControl/>
        <w:rPr>
          <w:rFonts w:ascii="Candara" w:eastAsiaTheme="minorHAnsi" w:hAnsi="Candara" w:cstheme="minorBidi"/>
          <w:snapToGrid/>
          <w:sz w:val="22"/>
          <w:szCs w:val="22"/>
        </w:rPr>
      </w:pPr>
    </w:p>
    <w:p w14:paraId="1D3ABAB9" w14:textId="77777777" w:rsidR="00210525" w:rsidRPr="00455B18" w:rsidRDefault="00210525" w:rsidP="33DD7390">
      <w:pPr>
        <w:widowControl/>
        <w:rPr>
          <w:rFonts w:ascii="Candara" w:eastAsiaTheme="minorEastAsia" w:hAnsi="Candara" w:cstheme="minorBidi"/>
          <w:snapToGrid/>
          <w:sz w:val="22"/>
          <w:szCs w:val="22"/>
        </w:rPr>
      </w:pPr>
      <w:r w:rsidRPr="33DD7390">
        <w:rPr>
          <w:rFonts w:ascii="Candara" w:eastAsiaTheme="minorEastAsia" w:hAnsi="Candara" w:cstheme="minorBidi"/>
          <w:snapToGrid/>
          <w:sz w:val="22"/>
          <w:szCs w:val="22"/>
        </w:rPr>
        <w:t>ERAs may develop a self-declaratory form for use in collecting household information. Such forms must collect the following information for each household applicant: applicant name, address, number of persons in the household, type of eligibility provided.</w:t>
      </w:r>
    </w:p>
    <w:p w14:paraId="296FEF7D" w14:textId="77777777" w:rsidR="00210525" w:rsidRPr="00455B18" w:rsidRDefault="00210525" w:rsidP="00D27018">
      <w:pPr>
        <w:widowControl/>
        <w:rPr>
          <w:rFonts w:ascii="Candara" w:eastAsiaTheme="minorHAnsi" w:hAnsi="Candara" w:cstheme="minorBidi"/>
          <w:snapToGrid/>
          <w:sz w:val="22"/>
          <w:szCs w:val="22"/>
        </w:rPr>
      </w:pPr>
    </w:p>
    <w:p w14:paraId="016598E6" w14:textId="6802BCB2"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Eligible recipient </w:t>
      </w:r>
      <w:r w:rsidRPr="0013743E">
        <w:rPr>
          <w:rFonts w:ascii="Candara" w:eastAsiaTheme="minorHAnsi" w:hAnsi="Candara" w:cstheme="minorBidi"/>
          <w:snapToGrid/>
          <w:sz w:val="22"/>
          <w:szCs w:val="22"/>
        </w:rPr>
        <w:t xml:space="preserve">sites that conduct household </w:t>
      </w:r>
      <w:r w:rsidR="002D7C2D" w:rsidRPr="0013743E">
        <w:rPr>
          <w:rFonts w:ascii="Candara" w:eastAsiaTheme="minorHAnsi" w:hAnsi="Candara" w:cstheme="minorBidi"/>
          <w:snapToGrid/>
          <w:sz w:val="22"/>
          <w:szCs w:val="22"/>
        </w:rPr>
        <w:t>distributions</w:t>
      </w:r>
      <w:r w:rsidRPr="0013743E">
        <w:rPr>
          <w:rFonts w:ascii="Candara" w:eastAsiaTheme="minorHAnsi" w:hAnsi="Candara" w:cstheme="minorBidi"/>
          <w:snapToGrid/>
          <w:sz w:val="22"/>
          <w:szCs w:val="22"/>
        </w:rPr>
        <w:t xml:space="preserve"> must keep a record, for each day on which they distribute</w:t>
      </w:r>
      <w:r w:rsidR="00735787" w:rsidRPr="0013743E">
        <w:rPr>
          <w:rFonts w:ascii="Candara" w:eastAsiaTheme="minorHAnsi" w:hAnsi="Candara" w:cstheme="minorBidi"/>
          <w:snapToGrid/>
          <w:sz w:val="22"/>
          <w:szCs w:val="22"/>
        </w:rPr>
        <w:t xml:space="preserve"> USDA Food</w:t>
      </w:r>
      <w:r w:rsidR="0013743E" w:rsidRPr="0013743E">
        <w:rPr>
          <w:rFonts w:ascii="Candara" w:eastAsiaTheme="minorHAnsi" w:hAnsi="Candara" w:cstheme="minorBidi"/>
          <w:snapToGrid/>
          <w:sz w:val="22"/>
          <w:szCs w:val="22"/>
        </w:rPr>
        <w:t>s</w:t>
      </w:r>
      <w:r w:rsidRPr="0013743E">
        <w:rPr>
          <w:rFonts w:ascii="Candara" w:eastAsiaTheme="minorHAnsi" w:hAnsi="Candara" w:cstheme="minorBidi"/>
          <w:snapToGrid/>
          <w:sz w:val="22"/>
          <w:szCs w:val="22"/>
        </w:rPr>
        <w:t>, of the names of all households that receive food. Site staff may meet this requirement by writing down the name of the household or placing a mark next to the household’s name on pre-printed form.  Sites may also collect this information in digital format with approval from the SDA.</w:t>
      </w:r>
      <w:r w:rsidR="00735787" w:rsidRPr="0013743E">
        <w:rPr>
          <w:rFonts w:ascii="Candara" w:eastAsiaTheme="minorHAnsi" w:hAnsi="Candara" w:cstheme="minorBidi"/>
          <w:snapToGrid/>
          <w:sz w:val="22"/>
          <w:szCs w:val="22"/>
        </w:rPr>
        <w:t xml:space="preserve"> The information gathered will be reported to FNS by the State Agency.</w:t>
      </w:r>
    </w:p>
    <w:p w14:paraId="7194DBDC" w14:textId="77777777" w:rsidR="00210525" w:rsidRPr="00455B18" w:rsidRDefault="00210525" w:rsidP="00D27018">
      <w:pPr>
        <w:widowControl/>
        <w:rPr>
          <w:rFonts w:ascii="Candara" w:eastAsiaTheme="minorHAnsi" w:hAnsi="Candara" w:cstheme="minorBidi"/>
          <w:snapToGrid/>
          <w:sz w:val="22"/>
          <w:szCs w:val="22"/>
        </w:rPr>
      </w:pPr>
    </w:p>
    <w:p w14:paraId="3026AB0C"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Participants who get food to take home do not have to sign a receipt to document that they have received it. Nor is it necessary to record the specific food, e.g. two cans of beef stew distributed to each individual household.</w:t>
      </w:r>
    </w:p>
    <w:p w14:paraId="192AC335" w14:textId="77777777" w:rsidR="0057533C" w:rsidRPr="0057533C" w:rsidRDefault="0057533C" w:rsidP="0057533C">
      <w:pPr>
        <w:widowControl/>
        <w:rPr>
          <w:rFonts w:ascii="Candara" w:eastAsiaTheme="minorHAnsi" w:hAnsi="Candara" w:cstheme="minorBidi"/>
          <w:snapToGrid/>
          <w:sz w:val="22"/>
          <w:szCs w:val="22"/>
        </w:rPr>
      </w:pPr>
    </w:p>
    <w:p w14:paraId="769D0D3C" w14:textId="5C86DA0D" w:rsidR="00210525" w:rsidRDefault="0057533C" w:rsidP="002211F2">
      <w:pPr>
        <w:widowControl/>
        <w:rPr>
          <w:rFonts w:ascii="Candara" w:eastAsiaTheme="minorHAnsi" w:hAnsi="Candara" w:cstheme="minorBidi"/>
          <w:snapToGrid/>
          <w:sz w:val="22"/>
          <w:szCs w:val="22"/>
        </w:rPr>
      </w:pPr>
      <w:bookmarkStart w:id="0" w:name="_Hlk185599809"/>
      <w:r w:rsidRPr="00455B18">
        <w:rPr>
          <w:rFonts w:ascii="Candara" w:eastAsiaTheme="minorHAnsi" w:hAnsi="Candara" w:cstheme="minorBidi"/>
          <w:b/>
          <w:snapToGrid/>
          <w:sz w:val="22"/>
          <w:szCs w:val="22"/>
          <w:u w:val="single"/>
        </w:rPr>
        <w:t>V</w:t>
      </w:r>
      <w:r w:rsidRPr="0057533C">
        <w:rPr>
          <w:rFonts w:ascii="Candara" w:eastAsiaTheme="minorHAnsi" w:hAnsi="Candara" w:cstheme="minorBidi"/>
          <w:b/>
          <w:snapToGrid/>
          <w:sz w:val="22"/>
          <w:szCs w:val="22"/>
        </w:rPr>
        <w:t xml:space="preserve">.  </w:t>
      </w:r>
      <w:r w:rsidRPr="0057533C">
        <w:rPr>
          <w:rFonts w:ascii="Candara" w:eastAsiaTheme="minorHAnsi" w:hAnsi="Candara" w:cstheme="minorBidi"/>
          <w:b/>
          <w:bCs/>
          <w:snapToGrid/>
          <w:sz w:val="22"/>
          <w:szCs w:val="22"/>
        </w:rPr>
        <w:t>Confidential Applicant and Participant Information</w:t>
      </w:r>
      <w:r w:rsidR="002211F2">
        <w:rPr>
          <w:rFonts w:ascii="Candara" w:eastAsiaTheme="minorHAnsi" w:hAnsi="Candara" w:cstheme="minorBidi"/>
          <w:b/>
          <w:bCs/>
          <w:snapToGrid/>
          <w:sz w:val="22"/>
          <w:szCs w:val="22"/>
        </w:rPr>
        <w:t xml:space="preserve"> </w:t>
      </w:r>
      <w:bookmarkEnd w:id="0"/>
      <w:r w:rsidR="002211F2" w:rsidRPr="002211F2">
        <w:rPr>
          <w:rFonts w:ascii="Candara" w:eastAsiaTheme="minorHAnsi" w:hAnsi="Candara" w:cstheme="minorBidi"/>
          <w:snapToGrid/>
          <w:sz w:val="22"/>
          <w:szCs w:val="22"/>
        </w:rPr>
        <w:t>7 CFR 251.10(c)(1)</w:t>
      </w:r>
    </w:p>
    <w:p w14:paraId="17FC8956" w14:textId="77777777" w:rsidR="002211F2" w:rsidRPr="002211F2" w:rsidRDefault="002211F2" w:rsidP="002211F2">
      <w:pPr>
        <w:widowControl/>
        <w:rPr>
          <w:rFonts w:ascii="Candara" w:eastAsiaTheme="minorHAnsi" w:hAnsi="Candara" w:cstheme="minorBidi"/>
          <w:snapToGrid/>
          <w:sz w:val="22"/>
          <w:szCs w:val="22"/>
        </w:rPr>
      </w:pPr>
    </w:p>
    <w:p w14:paraId="49B707AA" w14:textId="420C9115" w:rsidR="002211F2" w:rsidRPr="002211F2" w:rsidRDefault="002211F2" w:rsidP="002211F2">
      <w:pPr>
        <w:widowControl/>
        <w:rPr>
          <w:rFonts w:ascii="Candara" w:eastAsiaTheme="minorHAnsi" w:hAnsi="Candara" w:cstheme="minorBidi"/>
          <w:snapToGrid/>
          <w:sz w:val="22"/>
          <w:szCs w:val="22"/>
        </w:rPr>
      </w:pPr>
      <w:r>
        <w:rPr>
          <w:rFonts w:ascii="Candara" w:eastAsiaTheme="minorHAnsi" w:hAnsi="Candara" w:cstheme="minorBidi"/>
          <w:snapToGrid/>
          <w:sz w:val="22"/>
          <w:szCs w:val="22"/>
        </w:rPr>
        <w:t>D</w:t>
      </w:r>
      <w:r w:rsidRPr="002211F2">
        <w:rPr>
          <w:rFonts w:ascii="Candara" w:eastAsiaTheme="minorHAnsi" w:hAnsi="Candara" w:cstheme="minorBidi"/>
          <w:snapToGrid/>
          <w:sz w:val="22"/>
          <w:szCs w:val="22"/>
        </w:rPr>
        <w:t>efine</w:t>
      </w:r>
      <w:r>
        <w:rPr>
          <w:rFonts w:ascii="Candara" w:eastAsiaTheme="minorHAnsi" w:hAnsi="Candara" w:cstheme="minorBidi"/>
          <w:snapToGrid/>
          <w:sz w:val="22"/>
          <w:szCs w:val="22"/>
        </w:rPr>
        <w:t>s</w:t>
      </w:r>
      <w:r w:rsidRPr="002211F2">
        <w:rPr>
          <w:rFonts w:ascii="Candara" w:eastAsiaTheme="minorHAnsi" w:hAnsi="Candara" w:cstheme="minorBidi"/>
          <w:snapToGrid/>
          <w:sz w:val="22"/>
          <w:szCs w:val="22"/>
        </w:rPr>
        <w:t xml:space="preserve"> confidential applicant and participant information as any information about an applicant or participant, whether it is obtained from the applicant or participant, another source, or generated </w:t>
      </w:r>
      <w:proofErr w:type="gramStart"/>
      <w:r w:rsidRPr="002211F2">
        <w:rPr>
          <w:rFonts w:ascii="Candara" w:eastAsiaTheme="minorHAnsi" w:hAnsi="Candara" w:cstheme="minorBidi"/>
          <w:snapToGrid/>
          <w:sz w:val="22"/>
          <w:szCs w:val="22"/>
        </w:rPr>
        <w:t>as a result of</w:t>
      </w:r>
      <w:proofErr w:type="gramEnd"/>
      <w:r w:rsidRPr="002211F2">
        <w:rPr>
          <w:rFonts w:ascii="Candara" w:eastAsiaTheme="minorHAnsi" w:hAnsi="Candara" w:cstheme="minorBidi"/>
          <w:snapToGrid/>
          <w:sz w:val="22"/>
          <w:szCs w:val="22"/>
        </w:rPr>
        <w:t xml:space="preserve"> a TEFAP application, certification, or participation, that individually identifies an applicant, participant, and/or their family members. Confidential applicant and participation information includes information provided during the intake process for TEFAP eligibility purposes (e.g., name, number of persons in the household, household income) in addition to information collected from TEFAP applicants and participants for purposes unrelated to TEFAP eligibility (e.g., date of birth, occupation, education level, household address).</w:t>
      </w:r>
      <w:r>
        <w:rPr>
          <w:rFonts w:ascii="Candara" w:eastAsiaTheme="minorHAnsi" w:hAnsi="Candara" w:cstheme="minorBidi"/>
          <w:snapToGrid/>
          <w:sz w:val="22"/>
          <w:szCs w:val="22"/>
        </w:rPr>
        <w:t xml:space="preserve"> </w:t>
      </w:r>
      <w:r w:rsidRPr="002211F2">
        <w:rPr>
          <w:rFonts w:ascii="Candara" w:eastAsiaTheme="minorHAnsi" w:hAnsi="Candara" w:cstheme="minorBidi"/>
          <w:snapToGrid/>
          <w:sz w:val="22"/>
          <w:szCs w:val="22"/>
        </w:rPr>
        <w:t xml:space="preserve"> Applicant and participant</w:t>
      </w:r>
      <w:r w:rsidRPr="002211F2">
        <w:rPr>
          <w:rFonts w:ascii="Source Sans Pro" w:hAnsi="Source Sans Pro" w:cs="Source Sans Pro"/>
          <w:snapToGrid/>
          <w:color w:val="000000"/>
          <w:sz w:val="23"/>
          <w:szCs w:val="23"/>
        </w:rPr>
        <w:t xml:space="preserve"> </w:t>
      </w:r>
      <w:r w:rsidRPr="002211F2">
        <w:rPr>
          <w:rFonts w:ascii="Candara" w:eastAsiaTheme="minorHAnsi" w:hAnsi="Candara" w:cstheme="minorBidi"/>
          <w:snapToGrid/>
          <w:sz w:val="22"/>
          <w:szCs w:val="22"/>
        </w:rPr>
        <w:t xml:space="preserve">information is confidential regardless of the original source and exclusive of previously applicable confidentiality provided in accordance with other Federal, State, or local law. </w:t>
      </w:r>
    </w:p>
    <w:p w14:paraId="076894B7" w14:textId="77777777" w:rsidR="002211F2" w:rsidRDefault="002211F2" w:rsidP="002211F2">
      <w:pPr>
        <w:widowControl/>
        <w:rPr>
          <w:rFonts w:ascii="Candara" w:eastAsiaTheme="minorHAnsi" w:hAnsi="Candara" w:cstheme="minorBidi"/>
          <w:snapToGrid/>
          <w:sz w:val="22"/>
          <w:szCs w:val="22"/>
        </w:rPr>
      </w:pPr>
    </w:p>
    <w:p w14:paraId="138A9A15" w14:textId="0B09860F" w:rsidR="002211F2" w:rsidRDefault="002211F2" w:rsidP="002211F2">
      <w:pPr>
        <w:widowControl/>
        <w:rPr>
          <w:rFonts w:ascii="Candara" w:eastAsiaTheme="minorHAnsi" w:hAnsi="Candara" w:cstheme="minorBidi"/>
          <w:snapToGrid/>
          <w:sz w:val="22"/>
          <w:szCs w:val="22"/>
        </w:rPr>
      </w:pPr>
      <w:r w:rsidRPr="002211F2">
        <w:rPr>
          <w:rFonts w:ascii="Candara" w:eastAsiaTheme="minorHAnsi" w:hAnsi="Candara" w:cstheme="minorBidi"/>
          <w:snapToGrid/>
          <w:sz w:val="22"/>
          <w:szCs w:val="22"/>
        </w:rPr>
        <w:t>Confidential applicant and participant information does not include anonymous, de-identified information obtained from TEFAP applicants or participants.</w:t>
      </w:r>
    </w:p>
    <w:p w14:paraId="1F6C0BAD" w14:textId="77777777" w:rsidR="002211F2" w:rsidRDefault="002211F2" w:rsidP="002211F2">
      <w:pPr>
        <w:widowControl/>
        <w:rPr>
          <w:rFonts w:ascii="Candara" w:eastAsiaTheme="minorHAnsi" w:hAnsi="Candara" w:cstheme="minorBidi"/>
          <w:snapToGrid/>
          <w:sz w:val="22"/>
          <w:szCs w:val="22"/>
        </w:rPr>
      </w:pPr>
    </w:p>
    <w:p w14:paraId="7E147CB4" w14:textId="77777777" w:rsidR="008E31AE" w:rsidRDefault="008E31AE" w:rsidP="008E31AE">
      <w:pPr>
        <w:widowControl/>
        <w:rPr>
          <w:rFonts w:ascii="Candara" w:eastAsiaTheme="minorHAnsi" w:hAnsi="Candara" w:cstheme="minorBidi"/>
          <w:b/>
          <w:bCs/>
          <w:i/>
          <w:iCs/>
          <w:snapToGrid/>
          <w:sz w:val="22"/>
          <w:szCs w:val="22"/>
        </w:rPr>
      </w:pPr>
      <w:r w:rsidRPr="008E31AE">
        <w:rPr>
          <w:rFonts w:ascii="Candara" w:eastAsiaTheme="minorHAnsi" w:hAnsi="Candara" w:cstheme="minorBidi"/>
          <w:b/>
          <w:bCs/>
          <w:i/>
          <w:iCs/>
          <w:snapToGrid/>
          <w:sz w:val="22"/>
          <w:szCs w:val="22"/>
        </w:rPr>
        <w:t xml:space="preserve">Data sharing agreements </w:t>
      </w:r>
    </w:p>
    <w:p w14:paraId="354ADA68" w14:textId="77777777" w:rsidR="00507E88" w:rsidRPr="008E31AE" w:rsidRDefault="00507E88" w:rsidP="008E31AE">
      <w:pPr>
        <w:widowControl/>
        <w:rPr>
          <w:rFonts w:ascii="Candara" w:eastAsiaTheme="minorHAnsi" w:hAnsi="Candara" w:cstheme="minorBidi"/>
          <w:b/>
          <w:bCs/>
          <w:i/>
          <w:iCs/>
          <w:snapToGrid/>
          <w:sz w:val="22"/>
          <w:szCs w:val="22"/>
        </w:rPr>
      </w:pPr>
    </w:p>
    <w:p w14:paraId="42DD7179" w14:textId="77777777" w:rsidR="00507E88" w:rsidRDefault="002211F2" w:rsidP="008E31AE">
      <w:pPr>
        <w:widowControl/>
        <w:rPr>
          <w:rFonts w:ascii="Candara" w:eastAsiaTheme="minorHAnsi" w:hAnsi="Candara" w:cstheme="minorBidi"/>
          <w:snapToGrid/>
          <w:sz w:val="22"/>
          <w:szCs w:val="22"/>
        </w:rPr>
      </w:pPr>
      <w:r w:rsidRPr="002211F2">
        <w:rPr>
          <w:rFonts w:ascii="Candara" w:eastAsiaTheme="minorHAnsi" w:hAnsi="Candara" w:cstheme="minorBidi"/>
          <w:snapToGrid/>
          <w:sz w:val="22"/>
          <w:szCs w:val="22"/>
        </w:rPr>
        <w:t>TEFAP regulations at 7 CFR 251.10(c)(2) outline that State agencies and ERAs must restrict the use and disclosure of information obtained from TEFAP applicants or participants to persons directly connected with administration or enforcement of TEFAP. This could include State agency staff conducting management evaluations and ERA staff and volunteers who process TEFAP intake forms. With the consent of the participant, State agencies and ERAs may share information obtained from TEFAP applicants and participants with other health and welfare programs for use in determining eligibility in those programs, or for program outreach.</w:t>
      </w:r>
      <w:r w:rsidR="008E31AE">
        <w:rPr>
          <w:rFonts w:ascii="Candara" w:eastAsiaTheme="minorHAnsi" w:hAnsi="Candara" w:cstheme="minorBidi"/>
          <w:snapToGrid/>
          <w:sz w:val="22"/>
          <w:szCs w:val="22"/>
        </w:rPr>
        <w:t xml:space="preserve"> </w:t>
      </w:r>
    </w:p>
    <w:p w14:paraId="5B74BAB5" w14:textId="77777777" w:rsidR="00507E88" w:rsidRDefault="00507E88" w:rsidP="008E31AE">
      <w:pPr>
        <w:widowControl/>
        <w:rPr>
          <w:rFonts w:ascii="Candara" w:eastAsiaTheme="minorHAnsi" w:hAnsi="Candara" w:cstheme="minorBidi"/>
          <w:snapToGrid/>
          <w:sz w:val="22"/>
          <w:szCs w:val="22"/>
        </w:rPr>
      </w:pPr>
    </w:p>
    <w:p w14:paraId="3372BD6D" w14:textId="445712B0" w:rsidR="008E31AE" w:rsidRDefault="008E31AE" w:rsidP="008E31AE">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If State agencies want to share confidential applicant and participant information with other health and welfare programs for use in determining eligibility in those programs, they must sign agreements with those entities receiving the information to ensure that the information is only used for specified purposes and will not be shared further. These data sharing agreements should explicitly reference TEFAP confidentiality regulations at 7 CFR 251.10(c)(1) Page 4 of 5</w:t>
      </w:r>
      <w:r>
        <w:rPr>
          <w:rFonts w:ascii="Candara" w:eastAsiaTheme="minorHAnsi" w:hAnsi="Candara" w:cstheme="minorBidi"/>
          <w:snapToGrid/>
          <w:sz w:val="22"/>
          <w:szCs w:val="22"/>
        </w:rPr>
        <w:t xml:space="preserve"> </w:t>
      </w:r>
      <w:r w:rsidRPr="008E31AE">
        <w:rPr>
          <w:rFonts w:ascii="Candara" w:eastAsiaTheme="minorHAnsi" w:hAnsi="Candara" w:cstheme="minorBidi"/>
          <w:snapToGrid/>
          <w:sz w:val="22"/>
          <w:szCs w:val="22"/>
        </w:rPr>
        <w:t>and (c)(2) and must outline how the other program(s) will protect the confidential applicant and participant information from being further shared. This should encompass both accidental and purposeful disclosure of the information. An agreement must be in place prior to sharing any applicant or participant information with another program.</w:t>
      </w:r>
    </w:p>
    <w:p w14:paraId="5FFD0E04" w14:textId="77777777" w:rsidR="008E31AE" w:rsidRDefault="008E31AE" w:rsidP="008E31AE">
      <w:pPr>
        <w:widowControl/>
        <w:rPr>
          <w:rFonts w:ascii="Candara" w:eastAsiaTheme="minorHAnsi" w:hAnsi="Candara" w:cstheme="minorBidi"/>
          <w:snapToGrid/>
          <w:sz w:val="22"/>
          <w:szCs w:val="22"/>
        </w:rPr>
      </w:pPr>
    </w:p>
    <w:p w14:paraId="4CDE57B5" w14:textId="4F3BD61C" w:rsidR="008E31AE" w:rsidRDefault="008E31AE" w:rsidP="002211F2">
      <w:pPr>
        <w:widowControl/>
        <w:rPr>
          <w:rFonts w:ascii="Candara" w:hAnsi="Candara"/>
          <w:b/>
          <w:bCs/>
          <w:i/>
          <w:iCs/>
          <w:sz w:val="22"/>
          <w:szCs w:val="22"/>
        </w:rPr>
      </w:pPr>
      <w:r w:rsidRPr="008E31AE">
        <w:rPr>
          <w:rFonts w:ascii="Candara" w:hAnsi="Candara"/>
          <w:b/>
          <w:bCs/>
          <w:i/>
          <w:iCs/>
          <w:sz w:val="22"/>
          <w:szCs w:val="22"/>
        </w:rPr>
        <w:t>Obtaining TEFAP applicant and participant consent for information sharing purposes</w:t>
      </w:r>
    </w:p>
    <w:p w14:paraId="6DAFE22C" w14:textId="77777777" w:rsidR="00507E88" w:rsidRPr="008E31AE" w:rsidRDefault="00507E88" w:rsidP="002211F2">
      <w:pPr>
        <w:widowControl/>
        <w:rPr>
          <w:rFonts w:ascii="Candara" w:eastAsiaTheme="minorHAnsi" w:hAnsi="Candara" w:cstheme="minorBidi"/>
          <w:b/>
          <w:bCs/>
          <w:snapToGrid/>
          <w:sz w:val="22"/>
          <w:szCs w:val="22"/>
        </w:rPr>
      </w:pPr>
    </w:p>
    <w:p w14:paraId="24AAA5BA" w14:textId="013E3FE5" w:rsidR="008E31AE" w:rsidRDefault="008E31AE" w:rsidP="002211F2">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 xml:space="preserve">State agencies and ERAs should explicitly obtain consent from TEFAP applicants and participants to share information with other health and welfare programs for program eligibility purposes or for program outreach purposes. Applicant and participant consent can be achieved by incorporating a written consent question or form into the intake or sign-in process at the ERA. The consent question/form must clearly list the other health and welfare programs that will receive the applicant or participant information, the specific applicant and participant information that will be </w:t>
      </w:r>
      <w:r w:rsidR="00507E88" w:rsidRPr="008E31AE">
        <w:rPr>
          <w:rFonts w:ascii="Candara" w:eastAsiaTheme="minorHAnsi" w:hAnsi="Candara" w:cstheme="minorBidi"/>
          <w:snapToGrid/>
          <w:sz w:val="22"/>
          <w:szCs w:val="22"/>
        </w:rPr>
        <w:t>shared and</w:t>
      </w:r>
      <w:r w:rsidRPr="008E31AE">
        <w:rPr>
          <w:rFonts w:ascii="Candara" w:eastAsiaTheme="minorHAnsi" w:hAnsi="Candara" w:cstheme="minorBidi"/>
          <w:snapToGrid/>
          <w:sz w:val="22"/>
          <w:szCs w:val="22"/>
        </w:rPr>
        <w:t xml:space="preserve"> should allow the applicant or participant to easily agree to or opt out of the data sharing. The consent question/form must also clearly indicate that the receipt of USDA Foods is not contingent upon a participant’s or applicant’s consent to share their information.</w:t>
      </w:r>
    </w:p>
    <w:p w14:paraId="77A8A2C0" w14:textId="77777777" w:rsidR="008E31AE" w:rsidRDefault="008E31AE" w:rsidP="002211F2">
      <w:pPr>
        <w:widowControl/>
        <w:rPr>
          <w:rFonts w:ascii="Candara" w:eastAsiaTheme="minorHAnsi" w:hAnsi="Candara" w:cstheme="minorBidi"/>
          <w:snapToGrid/>
          <w:sz w:val="22"/>
          <w:szCs w:val="22"/>
        </w:rPr>
      </w:pPr>
    </w:p>
    <w:p w14:paraId="6B4182A5" w14:textId="77777777" w:rsidR="008E31AE" w:rsidRDefault="008E31AE" w:rsidP="008E31AE">
      <w:pPr>
        <w:widowControl/>
        <w:rPr>
          <w:rFonts w:ascii="Candara" w:eastAsiaTheme="minorHAnsi" w:hAnsi="Candara" w:cstheme="minorBidi"/>
          <w:b/>
          <w:bCs/>
          <w:i/>
          <w:iCs/>
          <w:snapToGrid/>
          <w:sz w:val="22"/>
          <w:szCs w:val="22"/>
        </w:rPr>
      </w:pPr>
      <w:r w:rsidRPr="008E31AE">
        <w:rPr>
          <w:rFonts w:ascii="Candara" w:eastAsiaTheme="minorHAnsi" w:hAnsi="Candara" w:cstheme="minorBidi"/>
          <w:b/>
          <w:bCs/>
          <w:i/>
          <w:iCs/>
          <w:snapToGrid/>
          <w:sz w:val="22"/>
          <w:szCs w:val="22"/>
        </w:rPr>
        <w:t xml:space="preserve">Sign-in Sheets and Electronic Intake Systems </w:t>
      </w:r>
    </w:p>
    <w:p w14:paraId="6F673C2F" w14:textId="77777777" w:rsidR="00507E88" w:rsidRPr="008E31AE" w:rsidRDefault="00507E88" w:rsidP="008E31AE">
      <w:pPr>
        <w:widowControl/>
        <w:rPr>
          <w:rFonts w:ascii="Candara" w:eastAsiaTheme="minorHAnsi" w:hAnsi="Candara" w:cstheme="minorBidi"/>
          <w:b/>
          <w:bCs/>
          <w:snapToGrid/>
          <w:sz w:val="22"/>
          <w:szCs w:val="22"/>
        </w:rPr>
      </w:pPr>
    </w:p>
    <w:p w14:paraId="4B3DEFCC" w14:textId="727927F1" w:rsidR="008E31AE" w:rsidRPr="008E31AE" w:rsidRDefault="008E31AE" w:rsidP="008E31AE">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Confidentiality requirements in TEFAP</w:t>
      </w:r>
      <w:r>
        <w:rPr>
          <w:rFonts w:ascii="Candara" w:eastAsiaTheme="minorHAnsi" w:hAnsi="Candara" w:cstheme="minorBidi"/>
          <w:snapToGrid/>
          <w:sz w:val="22"/>
          <w:szCs w:val="22"/>
        </w:rPr>
        <w:t xml:space="preserve"> are not to </w:t>
      </w:r>
      <w:r w:rsidRPr="008E31AE">
        <w:rPr>
          <w:rFonts w:ascii="Candara" w:eastAsiaTheme="minorHAnsi" w:hAnsi="Candara" w:cstheme="minorBidi"/>
          <w:snapToGrid/>
          <w:sz w:val="22"/>
          <w:szCs w:val="22"/>
        </w:rPr>
        <w:t xml:space="preserve">be costly and time consuming for ERA staff. TEFAP State agencies are encouraged to work with ERAs to devise policies or procedures to allow for the maintenance of one sign-in sheet while upholding TEFAP applicant and participant confidentiality. For example, in accordance with applicable State agency policies and procedures, ERA staff and volunteers overseeing the TEFAP intake process could cover up the name of all previous participants who signed in with an additional sheet of paper, leaving only the blank sign-in rows visible. </w:t>
      </w:r>
    </w:p>
    <w:p w14:paraId="16A90C3B" w14:textId="222548B1" w:rsidR="008E31AE" w:rsidRDefault="008E31AE" w:rsidP="008E31AE">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 xml:space="preserve">TEFAP confidentiality requirements are also not intended to prevent the use of electronic intake platforms. The use of electronic systems in TEFAP, including electronic intake platforms, is permitted </w:t>
      </w:r>
      <w:proofErr w:type="gramStart"/>
      <w:r w:rsidRPr="008E31AE">
        <w:rPr>
          <w:rFonts w:ascii="Candara" w:eastAsiaTheme="minorHAnsi" w:hAnsi="Candara" w:cstheme="minorBidi"/>
          <w:snapToGrid/>
          <w:sz w:val="22"/>
          <w:szCs w:val="22"/>
        </w:rPr>
        <w:t>as long as</w:t>
      </w:r>
      <w:proofErr w:type="gramEnd"/>
      <w:r w:rsidRPr="008E31AE">
        <w:rPr>
          <w:rFonts w:ascii="Candara" w:eastAsiaTheme="minorHAnsi" w:hAnsi="Candara" w:cstheme="minorBidi"/>
          <w:snapToGrid/>
          <w:sz w:val="22"/>
          <w:szCs w:val="22"/>
        </w:rPr>
        <w:t xml:space="preserve"> the systems </w:t>
      </w:r>
      <w:proofErr w:type="gramStart"/>
      <w:r w:rsidRPr="008E31AE">
        <w:rPr>
          <w:rFonts w:ascii="Candara" w:eastAsiaTheme="minorHAnsi" w:hAnsi="Candara" w:cstheme="minorBidi"/>
          <w:snapToGrid/>
          <w:sz w:val="22"/>
          <w:szCs w:val="22"/>
        </w:rPr>
        <w:t>are able to</w:t>
      </w:r>
      <w:proofErr w:type="gramEnd"/>
      <w:r w:rsidRPr="008E31AE">
        <w:rPr>
          <w:rFonts w:ascii="Candara" w:eastAsiaTheme="minorHAnsi" w:hAnsi="Candara" w:cstheme="minorBidi"/>
          <w:snapToGrid/>
          <w:sz w:val="22"/>
          <w:szCs w:val="22"/>
        </w:rPr>
        <w:t xml:space="preserve"> properly ensure the protection of applicant and participant information (both information used for TEFAP eligibility purposes and voluntarily provided information used for other purposes) and other program requirements at 7 CFR 251, such as record keeping.</w:t>
      </w:r>
    </w:p>
    <w:p w14:paraId="1F62B8CD" w14:textId="77777777" w:rsidR="00507E88" w:rsidRDefault="00507E88" w:rsidP="008E31AE">
      <w:pPr>
        <w:widowControl/>
        <w:rPr>
          <w:rFonts w:ascii="Candara" w:eastAsiaTheme="minorHAnsi" w:hAnsi="Candara" w:cstheme="minorBidi"/>
          <w:snapToGrid/>
          <w:sz w:val="22"/>
          <w:szCs w:val="22"/>
        </w:rPr>
      </w:pPr>
    </w:p>
    <w:p w14:paraId="75B7BFFA" w14:textId="77777777" w:rsidR="00507E88" w:rsidRDefault="00507E88" w:rsidP="00507E88">
      <w:pPr>
        <w:widowControl/>
        <w:rPr>
          <w:rFonts w:ascii="Candara" w:eastAsiaTheme="minorHAnsi" w:hAnsi="Candara" w:cstheme="minorBidi"/>
          <w:b/>
          <w:bCs/>
          <w:i/>
          <w:iCs/>
          <w:snapToGrid/>
          <w:sz w:val="22"/>
          <w:szCs w:val="22"/>
        </w:rPr>
      </w:pPr>
      <w:r w:rsidRPr="00507E88">
        <w:rPr>
          <w:rFonts w:ascii="Candara" w:eastAsiaTheme="minorHAnsi" w:hAnsi="Candara" w:cstheme="minorBidi"/>
          <w:b/>
          <w:bCs/>
          <w:i/>
          <w:iCs/>
          <w:snapToGrid/>
          <w:sz w:val="22"/>
          <w:szCs w:val="22"/>
        </w:rPr>
        <w:t xml:space="preserve">The Identity of Persons Making Complaints or Allegations Against Individuals Participating in or Administering the Program </w:t>
      </w:r>
    </w:p>
    <w:p w14:paraId="3B41C6CB" w14:textId="77777777" w:rsidR="00507E88" w:rsidRPr="00507E88" w:rsidRDefault="00507E88" w:rsidP="00507E88">
      <w:pPr>
        <w:widowControl/>
        <w:rPr>
          <w:rFonts w:ascii="Candara" w:eastAsiaTheme="minorHAnsi" w:hAnsi="Candara" w:cstheme="minorBidi"/>
          <w:i/>
          <w:iCs/>
          <w:snapToGrid/>
          <w:sz w:val="22"/>
          <w:szCs w:val="22"/>
        </w:rPr>
      </w:pPr>
    </w:p>
    <w:p w14:paraId="2FB8E2A0" w14:textId="254CC38C" w:rsidR="00507E88" w:rsidRPr="002211F2" w:rsidRDefault="00507E88" w:rsidP="00507E88">
      <w:pPr>
        <w:widowControl/>
        <w:rPr>
          <w:rFonts w:ascii="Candara" w:eastAsiaTheme="minorHAnsi" w:hAnsi="Candara" w:cstheme="minorBidi"/>
          <w:snapToGrid/>
          <w:sz w:val="22"/>
          <w:szCs w:val="22"/>
        </w:rPr>
      </w:pPr>
      <w:r w:rsidRPr="00507E88">
        <w:rPr>
          <w:rFonts w:ascii="Candara" w:eastAsiaTheme="minorHAnsi" w:hAnsi="Candara" w:cstheme="minorBidi"/>
          <w:snapToGrid/>
          <w:sz w:val="22"/>
          <w:szCs w:val="22"/>
        </w:rPr>
        <w:t xml:space="preserve">TEFAP regulations at 7 CFR 251.10(c)(3) require State agencies and ERAs to limit the disclosure of the identity of persons making a complaint or allegation against an individual participating in or administering TEFAP. State agencies and ERAs must protect the confidentiality, and other rights, of any person making allegations or complaints against another individual participating in, or administering TEFAP, except as necessary to </w:t>
      </w:r>
      <w:proofErr w:type="gramStart"/>
      <w:r w:rsidRPr="00507E88">
        <w:rPr>
          <w:rFonts w:ascii="Candara" w:eastAsiaTheme="minorHAnsi" w:hAnsi="Candara" w:cstheme="minorBidi"/>
          <w:snapToGrid/>
          <w:sz w:val="22"/>
          <w:szCs w:val="22"/>
        </w:rPr>
        <w:t>conduct an investigation</w:t>
      </w:r>
      <w:proofErr w:type="gramEnd"/>
      <w:r w:rsidRPr="00507E88">
        <w:rPr>
          <w:rFonts w:ascii="Candara" w:eastAsiaTheme="minorHAnsi" w:hAnsi="Candara" w:cstheme="minorBidi"/>
          <w:snapToGrid/>
          <w:sz w:val="22"/>
          <w:szCs w:val="22"/>
        </w:rPr>
        <w:t>, hearing, or judicial proceeding, as applicable.</w:t>
      </w:r>
    </w:p>
    <w:p w14:paraId="0C13C08D" w14:textId="77777777" w:rsidR="002211F2" w:rsidRPr="00455B18" w:rsidRDefault="002211F2" w:rsidP="0057533C">
      <w:pPr>
        <w:widowControl/>
        <w:rPr>
          <w:rFonts w:ascii="Candara" w:eastAsiaTheme="minorHAnsi" w:hAnsi="Candara" w:cstheme="minorBidi"/>
          <w:snapToGrid/>
          <w:sz w:val="22"/>
          <w:szCs w:val="22"/>
        </w:rPr>
      </w:pPr>
    </w:p>
    <w:p w14:paraId="654373F6" w14:textId="69D9FFFF" w:rsidR="00210525" w:rsidRPr="0048641E" w:rsidRDefault="00210525" w:rsidP="00D27018">
      <w:pPr>
        <w:widowControl/>
        <w:rPr>
          <w:rFonts w:ascii="Candara" w:eastAsiaTheme="minorHAnsi" w:hAnsi="Candara" w:cstheme="minorBidi"/>
          <w:b/>
          <w:bCs/>
          <w:snapToGrid/>
          <w:sz w:val="22"/>
          <w:szCs w:val="22"/>
        </w:rPr>
      </w:pPr>
      <w:r w:rsidRPr="00953A12">
        <w:rPr>
          <w:rFonts w:ascii="Candara" w:eastAsiaTheme="minorHAnsi" w:hAnsi="Candara" w:cstheme="minorBidi"/>
          <w:b/>
          <w:snapToGrid/>
          <w:sz w:val="22"/>
          <w:szCs w:val="22"/>
          <w:u w:val="single"/>
        </w:rPr>
        <w:t>V</w:t>
      </w:r>
      <w:r w:rsidR="0057533C" w:rsidRPr="00953A12">
        <w:rPr>
          <w:rFonts w:ascii="Candara" w:eastAsiaTheme="minorHAnsi" w:hAnsi="Candara" w:cstheme="minorBidi"/>
          <w:b/>
          <w:snapToGrid/>
          <w:sz w:val="22"/>
          <w:szCs w:val="22"/>
          <w:u w:val="single"/>
        </w:rPr>
        <w:t>I</w:t>
      </w:r>
      <w:r w:rsidR="007B79E2" w:rsidRPr="00953A12">
        <w:rPr>
          <w:rFonts w:ascii="Candara" w:eastAsiaTheme="minorHAnsi" w:hAnsi="Candara" w:cstheme="minorBidi"/>
          <w:b/>
          <w:snapToGrid/>
          <w:sz w:val="22"/>
          <w:szCs w:val="22"/>
          <w:u w:val="single"/>
        </w:rPr>
        <w:t>. Monitoring</w:t>
      </w:r>
      <w:r w:rsidRPr="00953A12">
        <w:rPr>
          <w:rFonts w:ascii="Candara" w:eastAsiaTheme="minorHAnsi" w:hAnsi="Candara" w:cstheme="minorBidi"/>
          <w:b/>
          <w:snapToGrid/>
          <w:sz w:val="22"/>
          <w:szCs w:val="22"/>
          <w:u w:val="single"/>
        </w:rPr>
        <w:t xml:space="preserve"> Procedures</w:t>
      </w:r>
      <w:r w:rsidRPr="00953A12">
        <w:rPr>
          <w:rFonts w:ascii="Candara" w:eastAsiaTheme="minorHAnsi" w:hAnsi="Candara" w:cstheme="minorBidi"/>
          <w:snapToGrid/>
          <w:sz w:val="22"/>
          <w:szCs w:val="22"/>
        </w:rPr>
        <w:t xml:space="preserve"> </w:t>
      </w:r>
    </w:p>
    <w:p w14:paraId="54CD245A" w14:textId="77777777" w:rsidR="00A833B3" w:rsidRPr="00455B18" w:rsidRDefault="00A833B3" w:rsidP="00D27018">
      <w:pPr>
        <w:widowControl/>
        <w:rPr>
          <w:rFonts w:ascii="Candara" w:eastAsiaTheme="minorHAnsi" w:hAnsi="Candara" w:cstheme="minorBidi"/>
          <w:snapToGrid/>
          <w:sz w:val="22"/>
          <w:szCs w:val="22"/>
        </w:rPr>
      </w:pPr>
    </w:p>
    <w:p w14:paraId="6CB6DE3B" w14:textId="1B5EE9B3" w:rsidR="00210525" w:rsidRPr="007B79E2" w:rsidRDefault="00210525" w:rsidP="33DD7390">
      <w:pPr>
        <w:widowControl/>
        <w:rPr>
          <w:rFonts w:ascii="Candara" w:eastAsiaTheme="minorEastAsia" w:hAnsi="Candara" w:cstheme="minorBidi"/>
          <w:snapToGrid/>
          <w:sz w:val="22"/>
          <w:szCs w:val="22"/>
        </w:rPr>
      </w:pPr>
      <w:r w:rsidRPr="33DD7390">
        <w:rPr>
          <w:rFonts w:ascii="Candara" w:eastAsiaTheme="minorEastAsia" w:hAnsi="Candara" w:cstheme="minorBidi"/>
          <w:snapToGrid/>
          <w:sz w:val="22"/>
          <w:szCs w:val="22"/>
        </w:rPr>
        <w:t>An annual review will be conducted of one-</w:t>
      </w:r>
      <w:r w:rsidRPr="007B79E2">
        <w:rPr>
          <w:rFonts w:ascii="Candara" w:eastAsiaTheme="minorEastAsia" w:hAnsi="Candara" w:cstheme="minorBidi"/>
          <w:snapToGrid/>
          <w:sz w:val="22"/>
          <w:szCs w:val="22"/>
        </w:rPr>
        <w:t xml:space="preserve">tenth (1/10) of each eligible recipient agency (food bank) that has entered into an agreement with </w:t>
      </w:r>
      <w:r w:rsidR="00CB1E5F" w:rsidRPr="007B79E2">
        <w:rPr>
          <w:rFonts w:ascii="Candara" w:eastAsiaTheme="minorEastAsia" w:hAnsi="Candara" w:cstheme="minorBidi"/>
          <w:snapToGrid/>
          <w:sz w:val="22"/>
          <w:szCs w:val="22"/>
        </w:rPr>
        <w:t>DESE</w:t>
      </w:r>
      <w:r w:rsidRPr="007B79E2">
        <w:rPr>
          <w:rFonts w:ascii="Candara" w:eastAsiaTheme="minorEastAsia" w:hAnsi="Candara" w:cstheme="minorBidi"/>
          <w:snapToGrid/>
          <w:sz w:val="22"/>
          <w:szCs w:val="22"/>
        </w:rPr>
        <w:t xml:space="preserve"> to </w:t>
      </w:r>
      <w:r w:rsidR="00202475" w:rsidRPr="007B79E2">
        <w:rPr>
          <w:rFonts w:ascii="Candara" w:eastAsiaTheme="minorEastAsia" w:hAnsi="Candara" w:cstheme="minorBidi"/>
          <w:snapToGrid/>
          <w:sz w:val="22"/>
          <w:szCs w:val="22"/>
        </w:rPr>
        <w:t>distribute</w:t>
      </w:r>
      <w:r w:rsidRPr="007B79E2">
        <w:rPr>
          <w:rFonts w:ascii="Candara" w:eastAsiaTheme="minorEastAsia" w:hAnsi="Candara" w:cstheme="minorBidi"/>
          <w:snapToGrid/>
          <w:sz w:val="22"/>
          <w:szCs w:val="22"/>
        </w:rPr>
        <w:t xml:space="preserve"> </w:t>
      </w:r>
      <w:bookmarkStart w:id="1" w:name="_Hlk185600681"/>
      <w:r w:rsidRPr="007B79E2">
        <w:rPr>
          <w:rFonts w:ascii="Candara" w:eastAsiaTheme="minorEastAsia" w:hAnsi="Candara" w:cstheme="minorBidi"/>
          <w:snapToGrid/>
          <w:sz w:val="22"/>
          <w:szCs w:val="22"/>
        </w:rPr>
        <w:t>TEFAP</w:t>
      </w:r>
      <w:r w:rsidR="00735787" w:rsidRPr="007B79E2">
        <w:rPr>
          <w:rFonts w:ascii="Candara" w:eastAsiaTheme="minorEastAsia" w:hAnsi="Candara" w:cstheme="minorBidi"/>
          <w:snapToGrid/>
          <w:sz w:val="22"/>
          <w:szCs w:val="22"/>
        </w:rPr>
        <w:t xml:space="preserve"> USDA Foods</w:t>
      </w:r>
      <w:r w:rsidRPr="007B79E2">
        <w:rPr>
          <w:rFonts w:ascii="Candara" w:eastAsiaTheme="minorEastAsia" w:hAnsi="Candara" w:cstheme="minorBidi"/>
          <w:snapToGrid/>
          <w:sz w:val="22"/>
          <w:szCs w:val="22"/>
        </w:rPr>
        <w:t xml:space="preserve"> </w:t>
      </w:r>
      <w:bookmarkEnd w:id="1"/>
      <w:r w:rsidRPr="007B79E2">
        <w:rPr>
          <w:rFonts w:ascii="Candara" w:eastAsiaTheme="minorEastAsia" w:hAnsi="Candara" w:cstheme="minorBidi"/>
          <w:snapToGrid/>
          <w:sz w:val="22"/>
          <w:szCs w:val="22"/>
        </w:rPr>
        <w:t>7 CFR 251.10(e).</w:t>
      </w:r>
    </w:p>
    <w:p w14:paraId="1231BE67" w14:textId="77777777" w:rsidR="00210525" w:rsidRPr="007B79E2" w:rsidRDefault="00210525" w:rsidP="00D27018">
      <w:pPr>
        <w:widowControl/>
        <w:rPr>
          <w:rFonts w:ascii="Candara" w:eastAsiaTheme="minorHAnsi" w:hAnsi="Candara" w:cstheme="minorBidi"/>
          <w:snapToGrid/>
          <w:sz w:val="22"/>
          <w:szCs w:val="22"/>
        </w:rPr>
      </w:pPr>
    </w:p>
    <w:p w14:paraId="32482895" w14:textId="0485342B" w:rsidR="00210525" w:rsidRPr="00455B18" w:rsidRDefault="00210525" w:rsidP="00D27018">
      <w:pPr>
        <w:widowControl/>
        <w:rPr>
          <w:rFonts w:ascii="Candara" w:eastAsiaTheme="minorHAnsi" w:hAnsi="Candara" w:cstheme="minorBidi"/>
          <w:snapToGrid/>
          <w:sz w:val="22"/>
          <w:szCs w:val="22"/>
        </w:rPr>
      </w:pPr>
      <w:r w:rsidRPr="007B79E2">
        <w:rPr>
          <w:rFonts w:ascii="Candara" w:eastAsiaTheme="minorHAnsi" w:hAnsi="Candara" w:cstheme="minorBidi"/>
          <w:snapToGrid/>
          <w:sz w:val="22"/>
          <w:szCs w:val="22"/>
        </w:rPr>
        <w:t>An annual review will be conducted of one-tenth (1/10) or twenty (20)</w:t>
      </w:r>
      <w:r w:rsidR="007B79E2" w:rsidRPr="007B79E2">
        <w:rPr>
          <w:rFonts w:ascii="Candara" w:eastAsiaTheme="minorHAnsi" w:hAnsi="Candara" w:cstheme="minorBidi"/>
          <w:snapToGrid/>
          <w:sz w:val="22"/>
          <w:szCs w:val="22"/>
        </w:rPr>
        <w:t>, whichever</w:t>
      </w:r>
      <w:r w:rsidRPr="007B79E2">
        <w:rPr>
          <w:rFonts w:ascii="Candara" w:eastAsiaTheme="minorHAnsi" w:hAnsi="Candara" w:cstheme="minorBidi"/>
          <w:snapToGrid/>
          <w:sz w:val="22"/>
          <w:szCs w:val="22"/>
        </w:rPr>
        <w:t xml:space="preserve"> is fewer, of all </w:t>
      </w:r>
      <w:r w:rsidR="007B79E2" w:rsidRPr="007B79E2">
        <w:rPr>
          <w:rFonts w:ascii="Candara" w:eastAsiaTheme="minorHAnsi" w:hAnsi="Candara" w:cstheme="minorBidi"/>
          <w:snapToGrid/>
          <w:sz w:val="22"/>
          <w:szCs w:val="22"/>
        </w:rPr>
        <w:t>the eligible</w:t>
      </w:r>
      <w:r w:rsidRPr="007B79E2">
        <w:rPr>
          <w:rFonts w:ascii="Candara" w:eastAsiaTheme="minorHAnsi" w:hAnsi="Candara" w:cstheme="minorBidi"/>
          <w:snapToGrid/>
          <w:sz w:val="22"/>
          <w:szCs w:val="22"/>
        </w:rPr>
        <w:t xml:space="preserve"> recipient agencies which receive </w:t>
      </w:r>
      <w:r w:rsidR="004C4C4E" w:rsidRPr="007B79E2">
        <w:rPr>
          <w:rFonts w:ascii="Candara" w:eastAsiaTheme="minorEastAsia" w:hAnsi="Candara" w:cstheme="minorBidi"/>
          <w:snapToGrid/>
          <w:sz w:val="22"/>
          <w:szCs w:val="22"/>
        </w:rPr>
        <w:t xml:space="preserve">TEFAP USDA Foods </w:t>
      </w:r>
      <w:r w:rsidRPr="007B79E2">
        <w:rPr>
          <w:rFonts w:ascii="Candara" w:eastAsiaTheme="minorHAnsi" w:hAnsi="Candara" w:cstheme="minorBidi"/>
          <w:snapToGrid/>
          <w:sz w:val="22"/>
          <w:szCs w:val="22"/>
        </w:rPr>
        <w:t xml:space="preserve">and/or administrative funds pursuant to an agreement with another eligible recipient agency.  Reviews will be conducted, to the maximum extent feasible, simultaneously with </w:t>
      </w:r>
      <w:r w:rsidR="007B79E2" w:rsidRPr="007B79E2">
        <w:rPr>
          <w:rFonts w:ascii="Candara" w:eastAsiaTheme="minorHAnsi" w:hAnsi="Candara" w:cstheme="minorBidi"/>
          <w:snapToGrid/>
          <w:sz w:val="22"/>
          <w:szCs w:val="22"/>
        </w:rPr>
        <w:t>the actual</w:t>
      </w:r>
      <w:r w:rsidRPr="007B79E2">
        <w:rPr>
          <w:rFonts w:ascii="Candara" w:eastAsiaTheme="minorHAnsi" w:hAnsi="Candara" w:cstheme="minorBidi"/>
          <w:snapToGrid/>
          <w:sz w:val="22"/>
          <w:szCs w:val="22"/>
        </w:rPr>
        <w:t xml:space="preserve"> distribution of </w:t>
      </w:r>
      <w:r w:rsidR="004C4C4E" w:rsidRPr="007B79E2">
        <w:rPr>
          <w:rFonts w:ascii="Candara" w:eastAsiaTheme="minorEastAsia" w:hAnsi="Candara" w:cstheme="minorBidi"/>
          <w:snapToGrid/>
          <w:sz w:val="22"/>
          <w:szCs w:val="22"/>
        </w:rPr>
        <w:t xml:space="preserve">TEFAP USDA Foods </w:t>
      </w:r>
      <w:r w:rsidRPr="007B79E2">
        <w:rPr>
          <w:rFonts w:ascii="Candara" w:eastAsiaTheme="minorHAnsi" w:hAnsi="Candara" w:cstheme="minorBidi"/>
          <w:snapToGrid/>
          <w:sz w:val="22"/>
          <w:szCs w:val="22"/>
        </w:rPr>
        <w:t>and/or meal service, and eligibility determinations, if applicable. 7 CFR 251.10(e)(3)</w:t>
      </w:r>
    </w:p>
    <w:p w14:paraId="36FEB5B0" w14:textId="77777777" w:rsidR="00210525" w:rsidRPr="00455B18" w:rsidRDefault="00210525" w:rsidP="00D27018">
      <w:pPr>
        <w:widowControl/>
        <w:rPr>
          <w:rFonts w:ascii="Candara" w:eastAsiaTheme="minorHAnsi" w:hAnsi="Candara" w:cstheme="minorBidi"/>
          <w:snapToGrid/>
          <w:sz w:val="22"/>
          <w:szCs w:val="22"/>
        </w:rPr>
      </w:pPr>
    </w:p>
    <w:p w14:paraId="0C5D2A5E"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At minimum, recipient agency reviews will include: </w:t>
      </w:r>
    </w:p>
    <w:p w14:paraId="3CDCC606"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eligibility determination</w:t>
      </w:r>
    </w:p>
    <w:p w14:paraId="2E8154F5"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food ordering procedures</w:t>
      </w:r>
    </w:p>
    <w:p w14:paraId="7E579E7B"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storage and warehousing practices</w:t>
      </w:r>
    </w:p>
    <w:p w14:paraId="6C0BBB31"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inventory controls</w:t>
      </w:r>
    </w:p>
    <w:p w14:paraId="6AD0C1F1"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approval of distribution sites</w:t>
      </w:r>
    </w:p>
    <w:p w14:paraId="4B67A90D"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reporting and record keeping procedures</w:t>
      </w:r>
    </w:p>
    <w:p w14:paraId="623DBB0B" w14:textId="6F3C2167" w:rsidR="00210525" w:rsidRPr="007B79E2" w:rsidRDefault="00210525" w:rsidP="00D27018">
      <w:pPr>
        <w:widowControl/>
        <w:numPr>
          <w:ilvl w:val="0"/>
          <w:numId w:val="24"/>
        </w:numPr>
        <w:contextualSpacing/>
        <w:rPr>
          <w:rFonts w:ascii="Candara" w:eastAsiaTheme="minorHAnsi" w:hAnsi="Candara" w:cstheme="minorBidi"/>
          <w:snapToGrid/>
          <w:sz w:val="22"/>
          <w:szCs w:val="22"/>
        </w:rPr>
      </w:pPr>
      <w:r w:rsidRPr="007B79E2">
        <w:rPr>
          <w:rFonts w:ascii="Candara" w:eastAsiaTheme="minorHAnsi" w:hAnsi="Candara" w:cstheme="minorBidi"/>
          <w:snapToGrid/>
          <w:sz w:val="22"/>
          <w:szCs w:val="22"/>
        </w:rPr>
        <w:t>civil rights</w:t>
      </w:r>
    </w:p>
    <w:p w14:paraId="70DA4ECC" w14:textId="4C50E912" w:rsidR="00E160DA" w:rsidRPr="007B79E2" w:rsidRDefault="00D55198" w:rsidP="00D27018">
      <w:pPr>
        <w:widowControl/>
        <w:numPr>
          <w:ilvl w:val="0"/>
          <w:numId w:val="24"/>
        </w:numPr>
        <w:contextualSpacing/>
        <w:rPr>
          <w:rFonts w:ascii="Candara" w:eastAsiaTheme="minorHAnsi" w:hAnsi="Candara" w:cstheme="minorBidi"/>
          <w:snapToGrid/>
          <w:sz w:val="22"/>
          <w:szCs w:val="22"/>
        </w:rPr>
      </w:pPr>
      <w:r w:rsidRPr="007B79E2">
        <w:rPr>
          <w:rFonts w:ascii="Candara" w:eastAsiaTheme="minorHAnsi" w:hAnsi="Candara" w:cstheme="minorBidi"/>
          <w:snapToGrid/>
          <w:sz w:val="22"/>
          <w:szCs w:val="22"/>
        </w:rPr>
        <w:t>501</w:t>
      </w:r>
      <w:r w:rsidR="00587CC2" w:rsidRPr="007B79E2">
        <w:rPr>
          <w:rFonts w:ascii="Candara" w:eastAsiaTheme="minorHAnsi" w:hAnsi="Candara" w:cstheme="minorBidi"/>
          <w:snapToGrid/>
          <w:sz w:val="22"/>
          <w:szCs w:val="22"/>
        </w:rPr>
        <w:t xml:space="preserve"> c 3</w:t>
      </w:r>
      <w:r w:rsidRPr="007B79E2">
        <w:rPr>
          <w:rFonts w:ascii="Candara" w:eastAsiaTheme="minorHAnsi" w:hAnsi="Candara" w:cstheme="minorBidi"/>
          <w:snapToGrid/>
          <w:sz w:val="22"/>
          <w:szCs w:val="22"/>
        </w:rPr>
        <w:t xml:space="preserve"> status compliance</w:t>
      </w:r>
    </w:p>
    <w:p w14:paraId="30D7AA69" w14:textId="77777777" w:rsidR="00210525" w:rsidRPr="007B79E2" w:rsidRDefault="00210525" w:rsidP="00D27018">
      <w:pPr>
        <w:widowControl/>
        <w:rPr>
          <w:rFonts w:ascii="Candara" w:eastAsiaTheme="minorHAnsi" w:hAnsi="Candara" w:cstheme="minorBidi"/>
          <w:snapToGrid/>
          <w:sz w:val="22"/>
          <w:szCs w:val="22"/>
        </w:rPr>
      </w:pPr>
    </w:p>
    <w:p w14:paraId="61890932" w14:textId="77777777" w:rsidR="00953A12" w:rsidRDefault="00953A12" w:rsidP="00D27018">
      <w:pPr>
        <w:widowControl/>
        <w:rPr>
          <w:rFonts w:ascii="Candara" w:eastAsiaTheme="minorHAnsi" w:hAnsi="Candara" w:cstheme="minorBidi"/>
          <w:snapToGrid/>
          <w:sz w:val="22"/>
          <w:szCs w:val="22"/>
          <w:u w:val="single"/>
        </w:rPr>
      </w:pPr>
    </w:p>
    <w:p w14:paraId="0F5CBC81" w14:textId="6B3EC143"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lastRenderedPageBreak/>
        <w:t>Corrective Action</w:t>
      </w:r>
      <w:r w:rsidRPr="00455B18">
        <w:rPr>
          <w:rFonts w:ascii="Candara" w:eastAsiaTheme="minorHAnsi" w:hAnsi="Candara" w:cstheme="minorBidi"/>
          <w:snapToGrid/>
          <w:sz w:val="22"/>
          <w:szCs w:val="22"/>
        </w:rPr>
        <w:t xml:space="preserve"> 7 CFR 251.10(e)(5)</w:t>
      </w:r>
    </w:p>
    <w:p w14:paraId="7196D064" w14:textId="77777777" w:rsidR="00A833B3" w:rsidRPr="00455B18" w:rsidRDefault="00A833B3" w:rsidP="00D27018">
      <w:pPr>
        <w:widowControl/>
        <w:rPr>
          <w:rFonts w:ascii="Candara" w:eastAsiaTheme="minorHAnsi" w:hAnsi="Candara" w:cstheme="minorBidi"/>
          <w:snapToGrid/>
          <w:sz w:val="22"/>
          <w:szCs w:val="22"/>
        </w:rPr>
      </w:pPr>
    </w:p>
    <w:p w14:paraId="2DBE1F01"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If deficiencies are disclosed through the review of an eligible recipient agency, the recipient agency will be provided a written report of the review findings and a plan of corrective action.  At minimum, this report will include:</w:t>
      </w:r>
    </w:p>
    <w:p w14:paraId="7C6E398A" w14:textId="77777777" w:rsidR="00210525" w:rsidRPr="00455B18" w:rsidRDefault="00210525" w:rsidP="00D27018">
      <w:pPr>
        <w:widowControl/>
        <w:numPr>
          <w:ilvl w:val="0"/>
          <w:numId w:val="25"/>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a description of each deficiency found along with contributing factors as observed by the reviewer</w:t>
      </w:r>
    </w:p>
    <w:p w14:paraId="7D47E8BF" w14:textId="77777777" w:rsidR="00210525" w:rsidRPr="00455B18" w:rsidRDefault="00210525" w:rsidP="00D27018">
      <w:pPr>
        <w:widowControl/>
        <w:numPr>
          <w:ilvl w:val="0"/>
          <w:numId w:val="25"/>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requirements for the submission and approval of a corrective action plan</w:t>
      </w:r>
    </w:p>
    <w:p w14:paraId="3805AA92" w14:textId="77777777" w:rsidR="00210525" w:rsidRPr="00455B18" w:rsidRDefault="00210525" w:rsidP="00D27018">
      <w:pPr>
        <w:widowControl/>
        <w:numPr>
          <w:ilvl w:val="0"/>
          <w:numId w:val="25"/>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a timeframe for the submission of corrective action</w:t>
      </w:r>
    </w:p>
    <w:p w14:paraId="4D0BF86D" w14:textId="77777777" w:rsidR="00210525" w:rsidRPr="00455B18" w:rsidRDefault="00CB1E5F" w:rsidP="00D27018">
      <w:pPr>
        <w:widowControl/>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210525" w:rsidRPr="00455B18">
        <w:rPr>
          <w:rFonts w:ascii="Candara" w:eastAsiaTheme="minorHAnsi" w:hAnsi="Candara" w:cstheme="minorBidi"/>
          <w:snapToGrid/>
          <w:sz w:val="22"/>
          <w:szCs w:val="22"/>
        </w:rPr>
        <w:t xml:space="preserve"> will conduct follow-up monitoring visit(s) to ensure that the recipient agency’s corrective action plan has been implemented and that the deficiency/</w:t>
      </w:r>
      <w:proofErr w:type="spellStart"/>
      <w:r w:rsidR="00210525" w:rsidRPr="00455B18">
        <w:rPr>
          <w:rFonts w:ascii="Candara" w:eastAsiaTheme="minorHAnsi" w:hAnsi="Candara" w:cstheme="minorBidi"/>
          <w:snapToGrid/>
          <w:sz w:val="22"/>
          <w:szCs w:val="22"/>
        </w:rPr>
        <w:t>ies</w:t>
      </w:r>
      <w:proofErr w:type="spellEnd"/>
      <w:r w:rsidR="00210525" w:rsidRPr="00455B18">
        <w:rPr>
          <w:rFonts w:ascii="Candara" w:eastAsiaTheme="minorHAnsi" w:hAnsi="Candara" w:cstheme="minorBidi"/>
          <w:snapToGrid/>
          <w:sz w:val="22"/>
          <w:szCs w:val="22"/>
        </w:rPr>
        <w:t xml:space="preserve"> has/have been remedied.</w:t>
      </w:r>
    </w:p>
    <w:p w14:paraId="34FF1C98" w14:textId="77777777" w:rsidR="00210525" w:rsidRPr="00455B18" w:rsidRDefault="00210525" w:rsidP="00D27018">
      <w:pPr>
        <w:widowControl/>
        <w:rPr>
          <w:rFonts w:ascii="Candara" w:eastAsiaTheme="minorHAnsi" w:hAnsi="Candara" w:cstheme="minorBidi"/>
          <w:snapToGrid/>
          <w:sz w:val="22"/>
          <w:szCs w:val="22"/>
        </w:rPr>
      </w:pPr>
    </w:p>
    <w:p w14:paraId="77C5291A" w14:textId="42C8F1BC"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V</w:t>
      </w:r>
      <w:r w:rsidR="0057533C">
        <w:rPr>
          <w:rFonts w:ascii="Candara" w:eastAsiaTheme="minorHAnsi" w:hAnsi="Candara" w:cstheme="minorBidi"/>
          <w:b/>
          <w:snapToGrid/>
          <w:sz w:val="22"/>
          <w:szCs w:val="22"/>
          <w:u w:val="single"/>
        </w:rPr>
        <w:t>I</w:t>
      </w:r>
      <w:r w:rsidRPr="00455B18">
        <w:rPr>
          <w:rFonts w:ascii="Candara" w:eastAsiaTheme="minorHAnsi" w:hAnsi="Candara" w:cstheme="minorBidi"/>
          <w:b/>
          <w:snapToGrid/>
          <w:sz w:val="22"/>
          <w:szCs w:val="22"/>
          <w:u w:val="single"/>
        </w:rPr>
        <w:t>I. Volunteer Workers</w:t>
      </w:r>
      <w:r w:rsidRPr="00455B18">
        <w:rPr>
          <w:rFonts w:ascii="Candara" w:eastAsiaTheme="minorHAnsi" w:hAnsi="Candara" w:cstheme="minorBidi"/>
          <w:snapToGrid/>
          <w:sz w:val="22"/>
          <w:szCs w:val="22"/>
        </w:rPr>
        <w:t xml:space="preserve"> 7 CFR 251.10 (g)</w:t>
      </w:r>
    </w:p>
    <w:p w14:paraId="6D072C0D" w14:textId="77777777" w:rsidR="00A833B3" w:rsidRPr="00455B18" w:rsidRDefault="00A833B3" w:rsidP="00D27018">
      <w:pPr>
        <w:widowControl/>
        <w:rPr>
          <w:rFonts w:ascii="Candara" w:eastAsiaTheme="minorHAnsi" w:hAnsi="Candara" w:cstheme="minorBidi"/>
          <w:snapToGrid/>
          <w:sz w:val="22"/>
          <w:szCs w:val="22"/>
        </w:rPr>
      </w:pPr>
    </w:p>
    <w:p w14:paraId="2C89D237"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Eligible recipient agencies shall, to the extent practicable, use volunteer workers and foods which have been donated by charitable and other types of organizations.</w:t>
      </w:r>
    </w:p>
    <w:p w14:paraId="48A21919" w14:textId="77777777" w:rsidR="00210525" w:rsidRPr="00455B18" w:rsidRDefault="00210525" w:rsidP="00D27018">
      <w:pPr>
        <w:widowControl/>
        <w:rPr>
          <w:rFonts w:ascii="Candara" w:eastAsiaTheme="minorHAnsi" w:hAnsi="Candara" w:cstheme="minorBidi"/>
          <w:snapToGrid/>
          <w:sz w:val="22"/>
          <w:szCs w:val="22"/>
        </w:rPr>
      </w:pPr>
    </w:p>
    <w:p w14:paraId="37B93C28" w14:textId="154E0498"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V</w:t>
      </w:r>
      <w:r w:rsidR="002211F2">
        <w:rPr>
          <w:rFonts w:ascii="Candara" w:eastAsiaTheme="minorHAnsi" w:hAnsi="Candara" w:cstheme="minorBidi"/>
          <w:b/>
          <w:snapToGrid/>
          <w:sz w:val="22"/>
          <w:szCs w:val="22"/>
          <w:u w:val="single"/>
        </w:rPr>
        <w:t>I</w:t>
      </w:r>
      <w:r w:rsidRPr="00455B18">
        <w:rPr>
          <w:rFonts w:ascii="Candara" w:eastAsiaTheme="minorHAnsi" w:hAnsi="Candara" w:cstheme="minorBidi"/>
          <w:b/>
          <w:snapToGrid/>
          <w:sz w:val="22"/>
          <w:szCs w:val="22"/>
          <w:u w:val="single"/>
        </w:rPr>
        <w:t>II. Matching Funds</w:t>
      </w:r>
      <w:r w:rsidRPr="00455B18">
        <w:rPr>
          <w:rFonts w:ascii="Candara" w:eastAsiaTheme="minorHAnsi" w:hAnsi="Candara" w:cstheme="minorBidi"/>
          <w:snapToGrid/>
          <w:sz w:val="22"/>
          <w:szCs w:val="22"/>
        </w:rPr>
        <w:t xml:space="preserve"> 7 CFR 251.9</w:t>
      </w:r>
    </w:p>
    <w:p w14:paraId="6BD18F9B" w14:textId="77777777" w:rsidR="00A833B3" w:rsidRPr="00455B18" w:rsidRDefault="00A833B3" w:rsidP="00D27018">
      <w:pPr>
        <w:widowControl/>
        <w:rPr>
          <w:rFonts w:ascii="Candara" w:eastAsiaTheme="minorHAnsi" w:hAnsi="Candara" w:cstheme="minorBidi"/>
          <w:snapToGrid/>
          <w:sz w:val="22"/>
          <w:szCs w:val="22"/>
        </w:rPr>
      </w:pPr>
    </w:p>
    <w:p w14:paraId="3B423F5E"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The State will provide a cash or in-kind contribution equal to the amount of TEFAP administrative funds received under 7 CFR 251.8 and retained by the SDA for state level costs.</w:t>
      </w:r>
    </w:p>
    <w:p w14:paraId="238601FE" w14:textId="28898C5F" w:rsidR="00210525" w:rsidRDefault="00210525" w:rsidP="00D27018">
      <w:pPr>
        <w:widowControl/>
        <w:rPr>
          <w:rFonts w:ascii="Candara" w:eastAsiaTheme="minorHAnsi" w:hAnsi="Candara" w:cstheme="minorBidi"/>
          <w:snapToGrid/>
          <w:sz w:val="22"/>
          <w:szCs w:val="22"/>
        </w:rPr>
      </w:pPr>
    </w:p>
    <w:p w14:paraId="3FDAD32E" w14:textId="48E46E2B" w:rsidR="00193965" w:rsidRDefault="00193965" w:rsidP="00D27018">
      <w:pPr>
        <w:widowControl/>
        <w:rPr>
          <w:rFonts w:ascii="Candara" w:eastAsiaTheme="minorHAnsi" w:hAnsi="Candara" w:cstheme="minorBidi"/>
          <w:snapToGrid/>
          <w:sz w:val="22"/>
          <w:szCs w:val="22"/>
        </w:rPr>
      </w:pPr>
    </w:p>
    <w:p w14:paraId="7E633505" w14:textId="3EF5F302" w:rsidR="00193965" w:rsidRDefault="00193965" w:rsidP="00D27018">
      <w:pPr>
        <w:widowControl/>
        <w:rPr>
          <w:rFonts w:ascii="Candara" w:eastAsiaTheme="minorHAnsi" w:hAnsi="Candara" w:cstheme="minorBidi"/>
          <w:snapToGrid/>
          <w:sz w:val="22"/>
          <w:szCs w:val="22"/>
        </w:rPr>
      </w:pPr>
    </w:p>
    <w:p w14:paraId="7C7866AB" w14:textId="77777777" w:rsidR="00193965" w:rsidRPr="00455B18" w:rsidRDefault="00193965" w:rsidP="00D27018">
      <w:pPr>
        <w:widowControl/>
        <w:rPr>
          <w:rFonts w:ascii="Candara" w:eastAsiaTheme="minorHAnsi" w:hAnsi="Candara" w:cstheme="minorBidi"/>
          <w:snapToGrid/>
          <w:sz w:val="22"/>
          <w:szCs w:val="22"/>
        </w:rPr>
      </w:pPr>
    </w:p>
    <w:p w14:paraId="0F3CABC7" w14:textId="77777777" w:rsidR="00210525" w:rsidRPr="00455B18" w:rsidRDefault="00000000" w:rsidP="00D27018">
      <w:pPr>
        <w:widowControl/>
        <w:rPr>
          <w:rFonts w:ascii="Candara" w:eastAsiaTheme="minorHAnsi" w:hAnsi="Candara" w:cstheme="minorBidi"/>
          <w:snapToGrid/>
          <w:sz w:val="22"/>
          <w:szCs w:val="22"/>
        </w:rPr>
      </w:pPr>
      <w:r>
        <w:rPr>
          <w:rFonts w:ascii="Candara" w:eastAsiaTheme="minorHAnsi" w:hAnsi="Candara" w:cstheme="minorBidi"/>
          <w:snapToGrid/>
          <w:sz w:val="22"/>
          <w:szCs w:val="22"/>
        </w:rPr>
        <w:pict w14:anchorId="6FF69750">
          <v:rect id="_x0000_i1025" style="width:0;height:1.5pt" o:hralign="center" o:hrstd="t" o:hr="t" fillcolor="#a0a0a0" stroked="f"/>
        </w:pict>
      </w:r>
    </w:p>
    <w:p w14:paraId="7735A9C8" w14:textId="77777777" w:rsidR="00210525" w:rsidRPr="00B90C31" w:rsidRDefault="00210525" w:rsidP="00D27018">
      <w:pPr>
        <w:widowControl/>
        <w:rPr>
          <w:rFonts w:ascii="Candara" w:eastAsiaTheme="minorHAnsi" w:hAnsi="Candara" w:cstheme="minorBidi"/>
          <w:b/>
          <w:bCs/>
          <w:snapToGrid/>
          <w:sz w:val="22"/>
          <w:szCs w:val="22"/>
        </w:rPr>
      </w:pPr>
      <w:r w:rsidRPr="00B90C31">
        <w:rPr>
          <w:rFonts w:ascii="Candara" w:eastAsiaTheme="minorHAnsi" w:hAnsi="Candara" w:cstheme="minorBidi"/>
          <w:b/>
          <w:bCs/>
          <w:snapToGrid/>
          <w:sz w:val="22"/>
          <w:szCs w:val="22"/>
        </w:rPr>
        <w:t>USDA Nondiscrimination Statement</w:t>
      </w:r>
    </w:p>
    <w:p w14:paraId="5B08B5D1" w14:textId="77777777" w:rsidR="00210525" w:rsidRPr="00B90C31" w:rsidRDefault="00210525" w:rsidP="00D27018">
      <w:pPr>
        <w:widowControl/>
        <w:rPr>
          <w:rFonts w:ascii="Candara" w:eastAsiaTheme="minorHAnsi" w:hAnsi="Candara" w:cstheme="minorBidi"/>
          <w:b/>
          <w:bCs/>
          <w:snapToGrid/>
          <w:sz w:val="22"/>
          <w:szCs w:val="22"/>
        </w:rPr>
      </w:pPr>
    </w:p>
    <w:p w14:paraId="28FAB00B" w14:textId="3A6E7DF8" w:rsidR="00F55F07" w:rsidRPr="00B90C31" w:rsidRDefault="001F3C91"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w:t>
      </w:r>
      <w:r w:rsidR="00F55F07" w:rsidRPr="00B90C31">
        <w:rPr>
          <w:rFonts w:ascii="Candara" w:eastAsiaTheme="minorHAnsi" w:hAnsi="Candara" w:cstheme="minorBidi"/>
          <w:snapToGrid/>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Pr="00B90C31">
        <w:rPr>
          <w:rFonts w:ascii="Candara" w:eastAsiaTheme="minorHAnsi" w:hAnsi="Candara" w:cstheme="minorBidi"/>
          <w:snapToGrid/>
          <w:sz w:val="22"/>
          <w:szCs w:val="22"/>
        </w:rPr>
        <w:t xml:space="preserve">” </w:t>
      </w:r>
      <w:r w:rsidR="008A1EA8" w:rsidRPr="00B90C31">
        <w:rPr>
          <w:rFonts w:ascii="Candara" w:eastAsiaTheme="minorHAnsi" w:hAnsi="Candara" w:cstheme="minorBidi"/>
          <w:snapToGrid/>
          <w:sz w:val="22"/>
          <w:szCs w:val="22"/>
        </w:rPr>
        <w:t xml:space="preserve">The current NDS must be printed on all </w:t>
      </w:r>
      <w:r w:rsidR="003A2E13" w:rsidRPr="00B90C31">
        <w:rPr>
          <w:rFonts w:ascii="Candara" w:eastAsiaTheme="minorHAnsi" w:hAnsi="Candara" w:cstheme="minorBidi"/>
          <w:snapToGrid/>
          <w:sz w:val="22"/>
          <w:szCs w:val="22"/>
        </w:rPr>
        <w:t>materials provided by the Food Bank to recipients for public information, education or distribution</w:t>
      </w:r>
    </w:p>
    <w:p w14:paraId="654E8958" w14:textId="77777777" w:rsidR="00F66E41" w:rsidRPr="00B90C31" w:rsidRDefault="00F66E41" w:rsidP="00F55F07">
      <w:pPr>
        <w:widowControl/>
        <w:rPr>
          <w:rFonts w:ascii="Candara" w:eastAsiaTheme="minorHAnsi" w:hAnsi="Candara" w:cstheme="minorBidi"/>
          <w:snapToGrid/>
          <w:sz w:val="22"/>
          <w:szCs w:val="22"/>
        </w:rPr>
      </w:pPr>
    </w:p>
    <w:p w14:paraId="3440529D" w14:textId="10F7DF98"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0498FE8" w14:textId="77777777" w:rsidR="00F66E41" w:rsidRPr="00B90C31" w:rsidRDefault="00F66E41" w:rsidP="00F55F07">
      <w:pPr>
        <w:widowControl/>
        <w:rPr>
          <w:rFonts w:ascii="Candara" w:eastAsiaTheme="minorHAnsi" w:hAnsi="Candara" w:cstheme="minorBidi"/>
          <w:snapToGrid/>
          <w:sz w:val="22"/>
          <w:szCs w:val="22"/>
        </w:rPr>
      </w:pPr>
    </w:p>
    <w:p w14:paraId="22AE28DA" w14:textId="77777777"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To file a program discrimination complaint, a Complainant should complete a Form AD-3027, USDA Program Discrimination Complaint Form which can be obtained online at: </w:t>
      </w:r>
      <w:hyperlink r:id="rId12" w:history="1">
        <w:r w:rsidRPr="00B90C31">
          <w:rPr>
            <w:rStyle w:val="Hyperlink"/>
            <w:rFonts w:ascii="Candara" w:eastAsiaTheme="minorHAnsi" w:hAnsi="Candara" w:cstheme="minorBidi"/>
            <w:snapToGrid/>
            <w:color w:val="auto"/>
            <w:sz w:val="22"/>
            <w:szCs w:val="22"/>
          </w:rPr>
          <w:t>https://www.usda.gov/sites/default/files/documents/USDA-OASCR%20P-Complaint-Form-0508-0002-508-11-28-17Fax2Mail.pdf</w:t>
        </w:r>
      </w:hyperlink>
      <w:r w:rsidRPr="00B90C31">
        <w:rPr>
          <w:rFonts w:ascii="Candara" w:eastAsiaTheme="minorHAnsi" w:hAnsi="Candara" w:cstheme="minorBidi"/>
          <w:snapToGrid/>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E62088B" w14:textId="77777777" w:rsidR="00F55F07" w:rsidRPr="00B90C31" w:rsidRDefault="00F55F07" w:rsidP="00F55F07">
      <w:pPr>
        <w:widowControl/>
        <w:numPr>
          <w:ilvl w:val="0"/>
          <w:numId w:val="27"/>
        </w:numPr>
        <w:rPr>
          <w:rFonts w:ascii="Candara" w:eastAsiaTheme="minorHAnsi" w:hAnsi="Candara" w:cstheme="minorBidi"/>
          <w:snapToGrid/>
          <w:sz w:val="22"/>
          <w:szCs w:val="22"/>
        </w:rPr>
      </w:pPr>
      <w:r w:rsidRPr="00B90C31">
        <w:rPr>
          <w:rFonts w:ascii="Candara" w:eastAsiaTheme="minorHAnsi" w:hAnsi="Candara" w:cstheme="minorBidi"/>
          <w:b/>
          <w:bCs/>
          <w:snapToGrid/>
          <w:sz w:val="22"/>
          <w:szCs w:val="22"/>
        </w:rPr>
        <w:lastRenderedPageBreak/>
        <w:t>mail:</w:t>
      </w:r>
      <w:r w:rsidRPr="00B90C31">
        <w:rPr>
          <w:rFonts w:ascii="Candara" w:eastAsiaTheme="minorHAnsi" w:hAnsi="Candara" w:cstheme="minorBidi"/>
          <w:snapToGrid/>
          <w:sz w:val="22"/>
          <w:szCs w:val="22"/>
        </w:rPr>
        <w:br/>
        <w:t>U.S. Department of Agriculture</w:t>
      </w:r>
      <w:r w:rsidRPr="00B90C31">
        <w:rPr>
          <w:rFonts w:ascii="Candara" w:eastAsiaTheme="minorHAnsi" w:hAnsi="Candara" w:cstheme="minorBidi"/>
          <w:snapToGrid/>
          <w:sz w:val="22"/>
          <w:szCs w:val="22"/>
        </w:rPr>
        <w:br/>
        <w:t>Office of the Assistant Secretary for Civil Rights</w:t>
      </w:r>
      <w:r w:rsidRPr="00B90C31">
        <w:rPr>
          <w:rFonts w:ascii="Candara" w:eastAsiaTheme="minorHAnsi" w:hAnsi="Candara" w:cstheme="minorBidi"/>
          <w:snapToGrid/>
          <w:sz w:val="22"/>
          <w:szCs w:val="22"/>
        </w:rPr>
        <w:br/>
        <w:t>1400 Independence Avenue, SW</w:t>
      </w:r>
      <w:r w:rsidRPr="00B90C31">
        <w:rPr>
          <w:rFonts w:ascii="Candara" w:eastAsiaTheme="minorHAnsi" w:hAnsi="Candara" w:cstheme="minorBidi"/>
          <w:snapToGrid/>
          <w:sz w:val="22"/>
          <w:szCs w:val="22"/>
        </w:rPr>
        <w:br/>
        <w:t>Washington, D.C. 20250-9410; or</w:t>
      </w:r>
    </w:p>
    <w:p w14:paraId="61EE6BB3" w14:textId="77777777" w:rsidR="00F55F07" w:rsidRPr="00B90C31" w:rsidRDefault="00F55F07" w:rsidP="00F55F07">
      <w:pPr>
        <w:widowControl/>
        <w:numPr>
          <w:ilvl w:val="0"/>
          <w:numId w:val="27"/>
        </w:numPr>
        <w:rPr>
          <w:rFonts w:ascii="Candara" w:eastAsiaTheme="minorHAnsi" w:hAnsi="Candara" w:cstheme="minorBidi"/>
          <w:snapToGrid/>
          <w:sz w:val="22"/>
          <w:szCs w:val="22"/>
        </w:rPr>
      </w:pPr>
      <w:r w:rsidRPr="00B90C31">
        <w:rPr>
          <w:rFonts w:ascii="Candara" w:eastAsiaTheme="minorHAnsi" w:hAnsi="Candara" w:cstheme="minorBidi"/>
          <w:b/>
          <w:bCs/>
          <w:snapToGrid/>
          <w:sz w:val="22"/>
          <w:szCs w:val="22"/>
        </w:rPr>
        <w:t>fax:</w:t>
      </w:r>
      <w:r w:rsidRPr="00B90C31">
        <w:rPr>
          <w:rFonts w:ascii="Candara" w:eastAsiaTheme="minorHAnsi" w:hAnsi="Candara" w:cstheme="minorBidi"/>
          <w:snapToGrid/>
          <w:sz w:val="22"/>
          <w:szCs w:val="22"/>
        </w:rPr>
        <w:br/>
        <w:t>(833) 256-1665 or (202) 690-7442; or</w:t>
      </w:r>
    </w:p>
    <w:p w14:paraId="12A69C81" w14:textId="77777777" w:rsidR="00F55F07" w:rsidRPr="00B90C31" w:rsidRDefault="00F55F07" w:rsidP="00F55F07">
      <w:pPr>
        <w:widowControl/>
        <w:numPr>
          <w:ilvl w:val="0"/>
          <w:numId w:val="27"/>
        </w:numPr>
        <w:rPr>
          <w:rFonts w:ascii="Candara" w:eastAsiaTheme="minorHAnsi" w:hAnsi="Candara" w:cstheme="minorBidi"/>
          <w:snapToGrid/>
          <w:sz w:val="22"/>
          <w:szCs w:val="22"/>
        </w:rPr>
      </w:pPr>
      <w:r w:rsidRPr="00B90C31">
        <w:rPr>
          <w:rFonts w:ascii="Candara" w:eastAsiaTheme="minorHAnsi" w:hAnsi="Candara" w:cstheme="minorBidi"/>
          <w:b/>
          <w:bCs/>
          <w:snapToGrid/>
          <w:sz w:val="22"/>
          <w:szCs w:val="22"/>
        </w:rPr>
        <w:t>email:</w:t>
      </w:r>
      <w:r w:rsidRPr="00B90C31">
        <w:rPr>
          <w:rFonts w:ascii="Candara" w:eastAsiaTheme="minorHAnsi" w:hAnsi="Candara" w:cstheme="minorBidi"/>
          <w:snapToGrid/>
          <w:sz w:val="22"/>
          <w:szCs w:val="22"/>
        </w:rPr>
        <w:br/>
      </w:r>
      <w:hyperlink r:id="rId13" w:history="1">
        <w:r w:rsidRPr="00B90C31">
          <w:rPr>
            <w:rStyle w:val="Hyperlink"/>
            <w:rFonts w:ascii="Candara" w:eastAsiaTheme="minorHAnsi" w:hAnsi="Candara" w:cstheme="minorBidi"/>
            <w:snapToGrid/>
            <w:color w:val="auto"/>
            <w:sz w:val="22"/>
            <w:szCs w:val="22"/>
          </w:rPr>
          <w:t>Program.Intake@usda.gov</w:t>
        </w:r>
      </w:hyperlink>
    </w:p>
    <w:p w14:paraId="1CCEB89D" w14:textId="77777777"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 </w:t>
      </w:r>
    </w:p>
    <w:p w14:paraId="418D17E8" w14:textId="77777777"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This institution is an equal opportunity provider.</w:t>
      </w:r>
    </w:p>
    <w:p w14:paraId="562C75D1" w14:textId="085A2EE0" w:rsidR="00210525" w:rsidRDefault="00210525" w:rsidP="00D27018">
      <w:pPr>
        <w:widowControl/>
        <w:rPr>
          <w:rFonts w:ascii="Candara" w:eastAsiaTheme="minorHAnsi" w:hAnsi="Candara" w:cstheme="minorBidi"/>
          <w:snapToGrid/>
          <w:sz w:val="22"/>
          <w:szCs w:val="22"/>
        </w:rPr>
      </w:pPr>
    </w:p>
    <w:p w14:paraId="664355AD" w14:textId="77777777" w:rsidR="0064157E" w:rsidRPr="00455B18" w:rsidRDefault="0064157E" w:rsidP="00D27018">
      <w:pPr>
        <w:pStyle w:val="Heading9"/>
        <w:jc w:val="both"/>
        <w:rPr>
          <w:rFonts w:ascii="Candara" w:hAnsi="Candara"/>
          <w:i w:val="0"/>
          <w:sz w:val="23"/>
          <w:szCs w:val="23"/>
        </w:rPr>
      </w:pPr>
    </w:p>
    <w:p w14:paraId="1A965116" w14:textId="77777777" w:rsidR="00722CB0" w:rsidRPr="00455B18" w:rsidRDefault="00722CB0" w:rsidP="00D27018">
      <w:pPr>
        <w:rPr>
          <w:rFonts w:ascii="Candara" w:hAnsi="Candara"/>
        </w:rPr>
      </w:pPr>
    </w:p>
    <w:p w14:paraId="1FF08746" w14:textId="77777777" w:rsidR="00551190" w:rsidRPr="00455B18" w:rsidRDefault="00551190" w:rsidP="00D27018">
      <w:pPr>
        <w:tabs>
          <w:tab w:val="left" w:pos="-1260"/>
          <w:tab w:val="left" w:pos="1728"/>
          <w:tab w:val="left" w:pos="2736"/>
          <w:tab w:val="left" w:pos="4176"/>
          <w:tab w:val="left" w:pos="5616"/>
          <w:tab w:val="left" w:pos="7056"/>
          <w:tab w:val="left" w:pos="8496"/>
        </w:tabs>
        <w:jc w:val="both"/>
        <w:rPr>
          <w:rFonts w:ascii="Candara" w:hAnsi="Candara"/>
          <w:sz w:val="23"/>
          <w:szCs w:val="23"/>
        </w:rPr>
      </w:pPr>
    </w:p>
    <w:p w14:paraId="722B00AE" w14:textId="77777777" w:rsidR="0064157E" w:rsidRPr="00455B18" w:rsidRDefault="0064157E" w:rsidP="00D27018">
      <w:pPr>
        <w:pStyle w:val="BodyText"/>
        <w:jc w:val="both"/>
        <w:rPr>
          <w:rFonts w:ascii="Candara" w:hAnsi="Candara"/>
          <w:sz w:val="23"/>
          <w:szCs w:val="23"/>
        </w:rPr>
      </w:pPr>
    </w:p>
    <w:sectPr w:rsidR="0064157E" w:rsidRPr="00455B18" w:rsidSect="00C957BB">
      <w:footerReference w:type="default" r:id="rId14"/>
      <w:footerReference w:type="first" r:id="rId15"/>
      <w:endnotePr>
        <w:numFmt w:val="decimal"/>
      </w:endnotePr>
      <w:pgSz w:w="12240" w:h="15840"/>
      <w:pgMar w:top="1440" w:right="1440" w:bottom="1440" w:left="1440" w:header="504"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BA7A" w14:textId="77777777" w:rsidR="00336EEC" w:rsidRPr="006D0A1F" w:rsidRDefault="00336EEC">
      <w:pPr>
        <w:rPr>
          <w:sz w:val="23"/>
          <w:szCs w:val="23"/>
        </w:rPr>
      </w:pPr>
      <w:r w:rsidRPr="006D0A1F">
        <w:rPr>
          <w:sz w:val="23"/>
          <w:szCs w:val="23"/>
        </w:rPr>
        <w:separator/>
      </w:r>
    </w:p>
  </w:endnote>
  <w:endnote w:type="continuationSeparator" w:id="0">
    <w:p w14:paraId="7C1CF0CF" w14:textId="77777777" w:rsidR="00336EEC" w:rsidRPr="006D0A1F" w:rsidRDefault="00336EEC">
      <w:pPr>
        <w:rPr>
          <w:sz w:val="23"/>
          <w:szCs w:val="23"/>
        </w:rPr>
      </w:pPr>
      <w:r w:rsidRPr="006D0A1F">
        <w:rPr>
          <w:sz w:val="23"/>
          <w:szCs w:val="23"/>
        </w:rPr>
        <w:continuationSeparator/>
      </w:r>
    </w:p>
  </w:endnote>
  <w:endnote w:type="continuationNotice" w:id="1">
    <w:p w14:paraId="5FACE599" w14:textId="77777777" w:rsidR="00336EEC" w:rsidRDefault="00336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88506"/>
      <w:docPartObj>
        <w:docPartGallery w:val="Page Numbers (Bottom of Page)"/>
        <w:docPartUnique/>
      </w:docPartObj>
    </w:sdtPr>
    <w:sdtEndPr>
      <w:rPr>
        <w:color w:val="7F7F7F" w:themeColor="background1" w:themeShade="7F"/>
        <w:spacing w:val="60"/>
      </w:rPr>
    </w:sdtEndPr>
    <w:sdtContent>
      <w:p w14:paraId="065C2B4C" w14:textId="77777777" w:rsidR="00C957BB" w:rsidRDefault="00C957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431CDC" w14:textId="77777777" w:rsidR="00C957BB" w:rsidRDefault="00C9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8012B9" w:rsidRDefault="008012B9" w:rsidP="008012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D79CD" w14:textId="77777777" w:rsidR="00336EEC" w:rsidRPr="006D0A1F" w:rsidRDefault="00336EEC">
      <w:pPr>
        <w:rPr>
          <w:sz w:val="23"/>
          <w:szCs w:val="23"/>
        </w:rPr>
      </w:pPr>
      <w:r w:rsidRPr="006D0A1F">
        <w:rPr>
          <w:sz w:val="23"/>
          <w:szCs w:val="23"/>
        </w:rPr>
        <w:separator/>
      </w:r>
    </w:p>
  </w:footnote>
  <w:footnote w:type="continuationSeparator" w:id="0">
    <w:p w14:paraId="35972DA7" w14:textId="77777777" w:rsidR="00336EEC" w:rsidRPr="006D0A1F" w:rsidRDefault="00336EEC">
      <w:pPr>
        <w:rPr>
          <w:sz w:val="23"/>
          <w:szCs w:val="23"/>
        </w:rPr>
      </w:pPr>
      <w:r w:rsidRPr="006D0A1F">
        <w:rPr>
          <w:sz w:val="23"/>
          <w:szCs w:val="23"/>
        </w:rPr>
        <w:continuationSeparator/>
      </w:r>
    </w:p>
  </w:footnote>
  <w:footnote w:type="continuationNotice" w:id="1">
    <w:p w14:paraId="575C20EF" w14:textId="77777777" w:rsidR="00336EEC" w:rsidRDefault="00336E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113"/>
    <w:multiLevelType w:val="hybridMultilevel"/>
    <w:tmpl w:val="2F72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07599"/>
    <w:multiLevelType w:val="hybridMultilevel"/>
    <w:tmpl w:val="77321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B91072"/>
    <w:multiLevelType w:val="singleLevel"/>
    <w:tmpl w:val="10EC7CD2"/>
    <w:lvl w:ilvl="0">
      <w:start w:val="3"/>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1A1260F4"/>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22B367CE"/>
    <w:multiLevelType w:val="singleLevel"/>
    <w:tmpl w:val="4BC8CFE4"/>
    <w:lvl w:ilvl="0">
      <w:start w:val="3"/>
      <w:numFmt w:val="upperLetter"/>
      <w:lvlText w:val="%1."/>
      <w:lvlJc w:val="left"/>
      <w:pPr>
        <w:tabs>
          <w:tab w:val="num" w:pos="1161"/>
        </w:tabs>
        <w:ind w:left="1161" w:hanging="585"/>
      </w:pPr>
      <w:rPr>
        <w:rFonts w:hint="default"/>
      </w:rPr>
    </w:lvl>
  </w:abstractNum>
  <w:abstractNum w:abstractNumId="5" w15:restartNumberingAfterBreak="0">
    <w:nsid w:val="28091FBA"/>
    <w:multiLevelType w:val="hybridMultilevel"/>
    <w:tmpl w:val="4F1C4314"/>
    <w:lvl w:ilvl="0" w:tplc="0F6AD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A074E"/>
    <w:multiLevelType w:val="singleLevel"/>
    <w:tmpl w:val="05B698E8"/>
    <w:lvl w:ilvl="0">
      <w:start w:val="2"/>
      <w:numFmt w:val="lowerLetter"/>
      <w:lvlText w:val="%1."/>
      <w:lvlJc w:val="left"/>
      <w:pPr>
        <w:tabs>
          <w:tab w:val="num" w:pos="1035"/>
        </w:tabs>
        <w:ind w:left="1035" w:hanging="585"/>
      </w:pPr>
      <w:rPr>
        <w:rFonts w:ascii="Times New Roman" w:hAnsi="Times New Roman" w:cs="Times New Roman" w:hint="default"/>
      </w:rPr>
    </w:lvl>
  </w:abstractNum>
  <w:abstractNum w:abstractNumId="7" w15:restartNumberingAfterBreak="0">
    <w:nsid w:val="30CC4B0B"/>
    <w:multiLevelType w:val="hybridMultilevel"/>
    <w:tmpl w:val="8DE63F12"/>
    <w:lvl w:ilvl="0" w:tplc="837EFD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4776D"/>
    <w:multiLevelType w:val="singleLevel"/>
    <w:tmpl w:val="A552B00E"/>
    <w:lvl w:ilvl="0">
      <w:start w:val="7"/>
      <w:numFmt w:val="upperLetter"/>
      <w:lvlText w:val="%1."/>
      <w:lvlJc w:val="left"/>
      <w:pPr>
        <w:tabs>
          <w:tab w:val="num" w:pos="1305"/>
        </w:tabs>
        <w:ind w:left="1305" w:hanging="585"/>
      </w:pPr>
      <w:rPr>
        <w:rFonts w:hint="default"/>
      </w:rPr>
    </w:lvl>
  </w:abstractNum>
  <w:abstractNum w:abstractNumId="9" w15:restartNumberingAfterBreak="0">
    <w:nsid w:val="35C87156"/>
    <w:multiLevelType w:val="singleLevel"/>
    <w:tmpl w:val="6D3C0DA4"/>
    <w:lvl w:ilvl="0">
      <w:start w:val="1"/>
      <w:numFmt w:val="decimal"/>
      <w:lvlText w:val="%1."/>
      <w:lvlJc w:val="left"/>
      <w:pPr>
        <w:tabs>
          <w:tab w:val="num" w:pos="1305"/>
        </w:tabs>
        <w:ind w:left="1305" w:hanging="585"/>
      </w:pPr>
      <w:rPr>
        <w:rFonts w:hint="default"/>
      </w:rPr>
    </w:lvl>
  </w:abstractNum>
  <w:abstractNum w:abstractNumId="10" w15:restartNumberingAfterBreak="0">
    <w:nsid w:val="3F5C77DB"/>
    <w:multiLevelType w:val="multilevel"/>
    <w:tmpl w:val="B0C8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22DDB"/>
    <w:multiLevelType w:val="hybridMultilevel"/>
    <w:tmpl w:val="9A147EB6"/>
    <w:lvl w:ilvl="0" w:tplc="5FDAB2DE">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FE919D8"/>
    <w:multiLevelType w:val="hybridMultilevel"/>
    <w:tmpl w:val="AC025B62"/>
    <w:lvl w:ilvl="0" w:tplc="E8EAD61C">
      <w:start w:val="1"/>
      <w:numFmt w:val="decimal"/>
      <w:lvlText w:val="%1."/>
      <w:lvlJc w:val="left"/>
      <w:pPr>
        <w:tabs>
          <w:tab w:val="num" w:pos="795"/>
        </w:tabs>
        <w:ind w:left="79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264DB4"/>
    <w:multiLevelType w:val="singleLevel"/>
    <w:tmpl w:val="6EF053F0"/>
    <w:lvl w:ilvl="0">
      <w:start w:val="4"/>
      <w:numFmt w:val="lowerLetter"/>
      <w:lvlText w:val="%1."/>
      <w:lvlJc w:val="left"/>
      <w:pPr>
        <w:tabs>
          <w:tab w:val="num" w:pos="2457"/>
        </w:tabs>
        <w:ind w:left="2457" w:hanging="585"/>
      </w:pPr>
      <w:rPr>
        <w:rFonts w:hint="default"/>
      </w:rPr>
    </w:lvl>
  </w:abstractNum>
  <w:abstractNum w:abstractNumId="14" w15:restartNumberingAfterBreak="0">
    <w:nsid w:val="48202990"/>
    <w:multiLevelType w:val="hybridMultilevel"/>
    <w:tmpl w:val="B8E23720"/>
    <w:lvl w:ilvl="0" w:tplc="7DBE5A4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A71E5E"/>
    <w:multiLevelType w:val="hybridMultilevel"/>
    <w:tmpl w:val="45D2F46C"/>
    <w:lvl w:ilvl="0" w:tplc="A2F047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6E0308"/>
    <w:multiLevelType w:val="singleLevel"/>
    <w:tmpl w:val="D908AB74"/>
    <w:lvl w:ilvl="0">
      <w:start w:val="4"/>
      <w:numFmt w:val="lowerLetter"/>
      <w:lvlText w:val="%1."/>
      <w:lvlJc w:val="left"/>
      <w:pPr>
        <w:tabs>
          <w:tab w:val="num" w:pos="2088"/>
        </w:tabs>
        <w:ind w:left="2088" w:hanging="360"/>
      </w:pPr>
      <w:rPr>
        <w:rFonts w:hint="default"/>
      </w:rPr>
    </w:lvl>
  </w:abstractNum>
  <w:abstractNum w:abstractNumId="17" w15:restartNumberingAfterBreak="0">
    <w:nsid w:val="500221D2"/>
    <w:multiLevelType w:val="hybridMultilevel"/>
    <w:tmpl w:val="BD18CA0C"/>
    <w:lvl w:ilvl="0" w:tplc="9A6CA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5747FC"/>
    <w:multiLevelType w:val="hybridMultilevel"/>
    <w:tmpl w:val="D7743B98"/>
    <w:lvl w:ilvl="0" w:tplc="AB1C02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B64F8"/>
    <w:multiLevelType w:val="singleLevel"/>
    <w:tmpl w:val="8ECCA88E"/>
    <w:lvl w:ilvl="0">
      <w:start w:val="6"/>
      <w:numFmt w:val="upperLetter"/>
      <w:lvlText w:val="%1."/>
      <w:lvlJc w:val="left"/>
      <w:pPr>
        <w:tabs>
          <w:tab w:val="num" w:pos="1161"/>
        </w:tabs>
        <w:ind w:left="1161" w:hanging="585"/>
      </w:pPr>
      <w:rPr>
        <w:rFonts w:hint="default"/>
      </w:rPr>
    </w:lvl>
  </w:abstractNum>
  <w:abstractNum w:abstractNumId="20" w15:restartNumberingAfterBreak="0">
    <w:nsid w:val="5F144940"/>
    <w:multiLevelType w:val="singleLevel"/>
    <w:tmpl w:val="AE3A6CBE"/>
    <w:lvl w:ilvl="0">
      <w:start w:val="16"/>
      <w:numFmt w:val="upperRoman"/>
      <w:lvlText w:val="%1."/>
      <w:lvlJc w:val="left"/>
      <w:pPr>
        <w:tabs>
          <w:tab w:val="num" w:pos="1740"/>
        </w:tabs>
        <w:ind w:left="1740" w:hanging="870"/>
      </w:pPr>
      <w:rPr>
        <w:rFonts w:hint="default"/>
      </w:rPr>
    </w:lvl>
  </w:abstractNum>
  <w:abstractNum w:abstractNumId="21" w15:restartNumberingAfterBreak="0">
    <w:nsid w:val="69861262"/>
    <w:multiLevelType w:val="hybridMultilevel"/>
    <w:tmpl w:val="43A2F85A"/>
    <w:lvl w:ilvl="0" w:tplc="4E72F6F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3C36C5"/>
    <w:multiLevelType w:val="singleLevel"/>
    <w:tmpl w:val="B6E619CA"/>
    <w:lvl w:ilvl="0">
      <w:start w:val="2"/>
      <w:numFmt w:val="lowerLetter"/>
      <w:lvlText w:val="%1."/>
      <w:lvlJc w:val="left"/>
      <w:pPr>
        <w:tabs>
          <w:tab w:val="num" w:pos="585"/>
        </w:tabs>
        <w:ind w:left="585" w:hanging="585"/>
      </w:pPr>
      <w:rPr>
        <w:rFonts w:hint="default"/>
      </w:rPr>
    </w:lvl>
  </w:abstractNum>
  <w:abstractNum w:abstractNumId="23" w15:restartNumberingAfterBreak="0">
    <w:nsid w:val="6FAD03E8"/>
    <w:multiLevelType w:val="hybridMultilevel"/>
    <w:tmpl w:val="D1B0042A"/>
    <w:lvl w:ilvl="0" w:tplc="E8EAD61C">
      <w:start w:val="1"/>
      <w:numFmt w:val="decimal"/>
      <w:lvlText w:val="%1."/>
      <w:lvlJc w:val="left"/>
      <w:pPr>
        <w:tabs>
          <w:tab w:val="num" w:pos="795"/>
        </w:tabs>
        <w:ind w:left="79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6D5617"/>
    <w:multiLevelType w:val="hybridMultilevel"/>
    <w:tmpl w:val="F6AEFC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5" w15:restartNumberingAfterBreak="0">
    <w:nsid w:val="74CF70E7"/>
    <w:multiLevelType w:val="singleLevel"/>
    <w:tmpl w:val="52A292F8"/>
    <w:lvl w:ilvl="0">
      <w:start w:val="2"/>
      <w:numFmt w:val="lowerLetter"/>
      <w:lvlText w:val="%1."/>
      <w:lvlJc w:val="left"/>
      <w:pPr>
        <w:tabs>
          <w:tab w:val="num" w:pos="2313"/>
        </w:tabs>
        <w:ind w:left="2313" w:hanging="585"/>
      </w:pPr>
      <w:rPr>
        <w:rFonts w:hint="default"/>
      </w:rPr>
    </w:lvl>
  </w:abstractNum>
  <w:abstractNum w:abstractNumId="26" w15:restartNumberingAfterBreak="0">
    <w:nsid w:val="7FBE7955"/>
    <w:multiLevelType w:val="multilevel"/>
    <w:tmpl w:val="FD52F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2342445">
    <w:abstractNumId w:val="9"/>
  </w:num>
  <w:num w:numId="2" w16cid:durableId="291909902">
    <w:abstractNumId w:val="19"/>
  </w:num>
  <w:num w:numId="3" w16cid:durableId="677856395">
    <w:abstractNumId w:val="20"/>
  </w:num>
  <w:num w:numId="4" w16cid:durableId="1339621715">
    <w:abstractNumId w:val="25"/>
  </w:num>
  <w:num w:numId="5" w16cid:durableId="1915821388">
    <w:abstractNumId w:val="16"/>
  </w:num>
  <w:num w:numId="6" w16cid:durableId="349524698">
    <w:abstractNumId w:val="8"/>
  </w:num>
  <w:num w:numId="7" w16cid:durableId="708654064">
    <w:abstractNumId w:val="13"/>
  </w:num>
  <w:num w:numId="8" w16cid:durableId="943196667">
    <w:abstractNumId w:val="2"/>
  </w:num>
  <w:num w:numId="9" w16cid:durableId="254827985">
    <w:abstractNumId w:val="4"/>
  </w:num>
  <w:num w:numId="10" w16cid:durableId="1757509740">
    <w:abstractNumId w:val="3"/>
  </w:num>
  <w:num w:numId="11" w16cid:durableId="172964130">
    <w:abstractNumId w:val="6"/>
  </w:num>
  <w:num w:numId="12" w16cid:durableId="11613269">
    <w:abstractNumId w:val="22"/>
  </w:num>
  <w:num w:numId="13" w16cid:durableId="1581402557">
    <w:abstractNumId w:val="15"/>
  </w:num>
  <w:num w:numId="14" w16cid:durableId="474832992">
    <w:abstractNumId w:val="7"/>
  </w:num>
  <w:num w:numId="15" w16cid:durableId="474034345">
    <w:abstractNumId w:val="14"/>
  </w:num>
  <w:num w:numId="16" w16cid:durableId="2084601107">
    <w:abstractNumId w:val="5"/>
  </w:num>
  <w:num w:numId="17" w16cid:durableId="261034673">
    <w:abstractNumId w:val="12"/>
  </w:num>
  <w:num w:numId="18" w16cid:durableId="1256861707">
    <w:abstractNumId w:val="23"/>
  </w:num>
  <w:num w:numId="19" w16cid:durableId="1251889880">
    <w:abstractNumId w:val="21"/>
  </w:num>
  <w:num w:numId="20" w16cid:durableId="1650863197">
    <w:abstractNumId w:val="17"/>
  </w:num>
  <w:num w:numId="21" w16cid:durableId="541788863">
    <w:abstractNumId w:val="18"/>
  </w:num>
  <w:num w:numId="22" w16cid:durableId="1773698712">
    <w:abstractNumId w:val="11"/>
  </w:num>
  <w:num w:numId="23" w16cid:durableId="1890338578">
    <w:abstractNumId w:val="1"/>
  </w:num>
  <w:num w:numId="24" w16cid:durableId="1220824962">
    <w:abstractNumId w:val="24"/>
  </w:num>
  <w:num w:numId="25" w16cid:durableId="1793473952">
    <w:abstractNumId w:val="0"/>
  </w:num>
  <w:num w:numId="26" w16cid:durableId="1606645138">
    <w:abstractNumId w:val="10"/>
  </w:num>
  <w:num w:numId="27" w16cid:durableId="996764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5F"/>
    <w:rsid w:val="00003642"/>
    <w:rsid w:val="000242F9"/>
    <w:rsid w:val="00024937"/>
    <w:rsid w:val="00030DC9"/>
    <w:rsid w:val="00033EAB"/>
    <w:rsid w:val="00035576"/>
    <w:rsid w:val="00037962"/>
    <w:rsid w:val="0005451C"/>
    <w:rsid w:val="00064260"/>
    <w:rsid w:val="00065A95"/>
    <w:rsid w:val="00070919"/>
    <w:rsid w:val="00071E10"/>
    <w:rsid w:val="0007265F"/>
    <w:rsid w:val="00073EF2"/>
    <w:rsid w:val="00081550"/>
    <w:rsid w:val="00085166"/>
    <w:rsid w:val="00091425"/>
    <w:rsid w:val="000960A6"/>
    <w:rsid w:val="00097555"/>
    <w:rsid w:val="000A1653"/>
    <w:rsid w:val="000C30C3"/>
    <w:rsid w:val="000F738A"/>
    <w:rsid w:val="00102411"/>
    <w:rsid w:val="0013743E"/>
    <w:rsid w:val="00161D2B"/>
    <w:rsid w:val="00164863"/>
    <w:rsid w:val="00181263"/>
    <w:rsid w:val="00190168"/>
    <w:rsid w:val="0019122C"/>
    <w:rsid w:val="00193965"/>
    <w:rsid w:val="001973F9"/>
    <w:rsid w:val="001E4F40"/>
    <w:rsid w:val="001E7C31"/>
    <w:rsid w:val="001F3C91"/>
    <w:rsid w:val="001F538F"/>
    <w:rsid w:val="00201050"/>
    <w:rsid w:val="00202475"/>
    <w:rsid w:val="00204E72"/>
    <w:rsid w:val="00207F0B"/>
    <w:rsid w:val="00210525"/>
    <w:rsid w:val="00220C6A"/>
    <w:rsid w:val="002211F2"/>
    <w:rsid w:val="00224619"/>
    <w:rsid w:val="00224D99"/>
    <w:rsid w:val="002255B8"/>
    <w:rsid w:val="002260FB"/>
    <w:rsid w:val="0022610E"/>
    <w:rsid w:val="00233DAB"/>
    <w:rsid w:val="002455FE"/>
    <w:rsid w:val="00257917"/>
    <w:rsid w:val="00262DD9"/>
    <w:rsid w:val="00264565"/>
    <w:rsid w:val="00266BEC"/>
    <w:rsid w:val="00272919"/>
    <w:rsid w:val="00294142"/>
    <w:rsid w:val="002B125F"/>
    <w:rsid w:val="002B20BF"/>
    <w:rsid w:val="002D6329"/>
    <w:rsid w:val="002D7C2D"/>
    <w:rsid w:val="002E1429"/>
    <w:rsid w:val="002F0132"/>
    <w:rsid w:val="002F3F72"/>
    <w:rsid w:val="002F48ED"/>
    <w:rsid w:val="0030728C"/>
    <w:rsid w:val="00310AFF"/>
    <w:rsid w:val="00336EEC"/>
    <w:rsid w:val="00340080"/>
    <w:rsid w:val="00346449"/>
    <w:rsid w:val="00357D0A"/>
    <w:rsid w:val="00374889"/>
    <w:rsid w:val="00390B73"/>
    <w:rsid w:val="00393462"/>
    <w:rsid w:val="00396FDA"/>
    <w:rsid w:val="00397AE6"/>
    <w:rsid w:val="00397F18"/>
    <w:rsid w:val="003A1A19"/>
    <w:rsid w:val="003A2E13"/>
    <w:rsid w:val="003A6BA4"/>
    <w:rsid w:val="003B334F"/>
    <w:rsid w:val="003B51DF"/>
    <w:rsid w:val="003C2601"/>
    <w:rsid w:val="003D0B49"/>
    <w:rsid w:val="003D0D9B"/>
    <w:rsid w:val="003D7250"/>
    <w:rsid w:val="003E2305"/>
    <w:rsid w:val="003E4646"/>
    <w:rsid w:val="003E4EFD"/>
    <w:rsid w:val="003F05FF"/>
    <w:rsid w:val="003F0CB4"/>
    <w:rsid w:val="00401753"/>
    <w:rsid w:val="0043622B"/>
    <w:rsid w:val="00445926"/>
    <w:rsid w:val="004541E5"/>
    <w:rsid w:val="00455B18"/>
    <w:rsid w:val="004613F8"/>
    <w:rsid w:val="004714C2"/>
    <w:rsid w:val="004854D3"/>
    <w:rsid w:val="0048641E"/>
    <w:rsid w:val="00490873"/>
    <w:rsid w:val="004B030E"/>
    <w:rsid w:val="004B27FB"/>
    <w:rsid w:val="004C4C4E"/>
    <w:rsid w:val="004C75D0"/>
    <w:rsid w:val="004D348C"/>
    <w:rsid w:val="004D70E6"/>
    <w:rsid w:val="004D78B9"/>
    <w:rsid w:val="004E0A3C"/>
    <w:rsid w:val="00500556"/>
    <w:rsid w:val="00507E88"/>
    <w:rsid w:val="00512849"/>
    <w:rsid w:val="00520D55"/>
    <w:rsid w:val="0052127B"/>
    <w:rsid w:val="0052497F"/>
    <w:rsid w:val="00527935"/>
    <w:rsid w:val="00540458"/>
    <w:rsid w:val="0054775C"/>
    <w:rsid w:val="00551190"/>
    <w:rsid w:val="00554560"/>
    <w:rsid w:val="005629A3"/>
    <w:rsid w:val="0057533C"/>
    <w:rsid w:val="0058615C"/>
    <w:rsid w:val="00587CC2"/>
    <w:rsid w:val="00593C7A"/>
    <w:rsid w:val="005C11B6"/>
    <w:rsid w:val="005C57C8"/>
    <w:rsid w:val="005D3831"/>
    <w:rsid w:val="005D4817"/>
    <w:rsid w:val="005D612E"/>
    <w:rsid w:val="005E1935"/>
    <w:rsid w:val="005E3C87"/>
    <w:rsid w:val="00606945"/>
    <w:rsid w:val="00606E0E"/>
    <w:rsid w:val="00612816"/>
    <w:rsid w:val="0061642B"/>
    <w:rsid w:val="006172C9"/>
    <w:rsid w:val="006222AF"/>
    <w:rsid w:val="00622EA0"/>
    <w:rsid w:val="00637A1B"/>
    <w:rsid w:val="0064157E"/>
    <w:rsid w:val="00670537"/>
    <w:rsid w:val="00692C4D"/>
    <w:rsid w:val="006A0D29"/>
    <w:rsid w:val="006C593C"/>
    <w:rsid w:val="006C62FE"/>
    <w:rsid w:val="006D0A1F"/>
    <w:rsid w:val="006E74AD"/>
    <w:rsid w:val="00706EEB"/>
    <w:rsid w:val="00710BE1"/>
    <w:rsid w:val="00721CCF"/>
    <w:rsid w:val="007227D7"/>
    <w:rsid w:val="00722CB0"/>
    <w:rsid w:val="007257EB"/>
    <w:rsid w:val="00732DE9"/>
    <w:rsid w:val="00735787"/>
    <w:rsid w:val="00755166"/>
    <w:rsid w:val="007623DC"/>
    <w:rsid w:val="00773431"/>
    <w:rsid w:val="00783D7E"/>
    <w:rsid w:val="00785E6B"/>
    <w:rsid w:val="007B79E2"/>
    <w:rsid w:val="007C0EDE"/>
    <w:rsid w:val="007C561C"/>
    <w:rsid w:val="007C7886"/>
    <w:rsid w:val="007D0A6A"/>
    <w:rsid w:val="007D21D3"/>
    <w:rsid w:val="007D22BD"/>
    <w:rsid w:val="007D4DC1"/>
    <w:rsid w:val="007E1A91"/>
    <w:rsid w:val="007E360E"/>
    <w:rsid w:val="007E3C85"/>
    <w:rsid w:val="007F5B37"/>
    <w:rsid w:val="008012B9"/>
    <w:rsid w:val="00823D22"/>
    <w:rsid w:val="00824666"/>
    <w:rsid w:val="00827AFE"/>
    <w:rsid w:val="0083570D"/>
    <w:rsid w:val="00845D5A"/>
    <w:rsid w:val="0085260C"/>
    <w:rsid w:val="00852A1B"/>
    <w:rsid w:val="00870A66"/>
    <w:rsid w:val="00885DDD"/>
    <w:rsid w:val="00896ABA"/>
    <w:rsid w:val="008A1EA8"/>
    <w:rsid w:val="008B247C"/>
    <w:rsid w:val="008C2C3B"/>
    <w:rsid w:val="008E1E52"/>
    <w:rsid w:val="008E1F1B"/>
    <w:rsid w:val="008E31AE"/>
    <w:rsid w:val="008E6BB0"/>
    <w:rsid w:val="008F69A3"/>
    <w:rsid w:val="00900F1C"/>
    <w:rsid w:val="0090565A"/>
    <w:rsid w:val="00907673"/>
    <w:rsid w:val="00910604"/>
    <w:rsid w:val="009179CB"/>
    <w:rsid w:val="0092719D"/>
    <w:rsid w:val="00953A12"/>
    <w:rsid w:val="009655D3"/>
    <w:rsid w:val="0097017E"/>
    <w:rsid w:val="00970CE5"/>
    <w:rsid w:val="00984C99"/>
    <w:rsid w:val="009A3B6D"/>
    <w:rsid w:val="009A76EE"/>
    <w:rsid w:val="009D6FC9"/>
    <w:rsid w:val="009E0A52"/>
    <w:rsid w:val="009E2DBC"/>
    <w:rsid w:val="009F09C1"/>
    <w:rsid w:val="00A13648"/>
    <w:rsid w:val="00A15CDF"/>
    <w:rsid w:val="00A2130B"/>
    <w:rsid w:val="00A431D1"/>
    <w:rsid w:val="00A52880"/>
    <w:rsid w:val="00A5322E"/>
    <w:rsid w:val="00A62307"/>
    <w:rsid w:val="00A833B3"/>
    <w:rsid w:val="00A92F3B"/>
    <w:rsid w:val="00AA4E8B"/>
    <w:rsid w:val="00AA6D89"/>
    <w:rsid w:val="00AE66D1"/>
    <w:rsid w:val="00AF4941"/>
    <w:rsid w:val="00AF5894"/>
    <w:rsid w:val="00B008C9"/>
    <w:rsid w:val="00B118BF"/>
    <w:rsid w:val="00B12A9B"/>
    <w:rsid w:val="00B1749B"/>
    <w:rsid w:val="00B20E96"/>
    <w:rsid w:val="00B432FD"/>
    <w:rsid w:val="00B50736"/>
    <w:rsid w:val="00B80B07"/>
    <w:rsid w:val="00B8246D"/>
    <w:rsid w:val="00B831AA"/>
    <w:rsid w:val="00B90C31"/>
    <w:rsid w:val="00B9409F"/>
    <w:rsid w:val="00BB1F26"/>
    <w:rsid w:val="00BB2324"/>
    <w:rsid w:val="00BB4563"/>
    <w:rsid w:val="00BB4FD1"/>
    <w:rsid w:val="00BE34D0"/>
    <w:rsid w:val="00BF4249"/>
    <w:rsid w:val="00C02988"/>
    <w:rsid w:val="00C066E5"/>
    <w:rsid w:val="00C1428D"/>
    <w:rsid w:val="00C31E53"/>
    <w:rsid w:val="00C35619"/>
    <w:rsid w:val="00C8696B"/>
    <w:rsid w:val="00C86B92"/>
    <w:rsid w:val="00C87281"/>
    <w:rsid w:val="00C877F1"/>
    <w:rsid w:val="00C93E0E"/>
    <w:rsid w:val="00C941D7"/>
    <w:rsid w:val="00C957BB"/>
    <w:rsid w:val="00CB03C7"/>
    <w:rsid w:val="00CB049B"/>
    <w:rsid w:val="00CB05F0"/>
    <w:rsid w:val="00CB1E5F"/>
    <w:rsid w:val="00CB3392"/>
    <w:rsid w:val="00CD766E"/>
    <w:rsid w:val="00CE00E9"/>
    <w:rsid w:val="00CE4157"/>
    <w:rsid w:val="00CF3435"/>
    <w:rsid w:val="00CF46D5"/>
    <w:rsid w:val="00D046FE"/>
    <w:rsid w:val="00D1415B"/>
    <w:rsid w:val="00D15EFE"/>
    <w:rsid w:val="00D22D0C"/>
    <w:rsid w:val="00D23425"/>
    <w:rsid w:val="00D25CC9"/>
    <w:rsid w:val="00D27018"/>
    <w:rsid w:val="00D3742F"/>
    <w:rsid w:val="00D55198"/>
    <w:rsid w:val="00D7495A"/>
    <w:rsid w:val="00D8235D"/>
    <w:rsid w:val="00D82F66"/>
    <w:rsid w:val="00D92960"/>
    <w:rsid w:val="00DD1175"/>
    <w:rsid w:val="00DE1D98"/>
    <w:rsid w:val="00DF62E4"/>
    <w:rsid w:val="00DF7CA7"/>
    <w:rsid w:val="00E160DA"/>
    <w:rsid w:val="00E37682"/>
    <w:rsid w:val="00E55748"/>
    <w:rsid w:val="00E57A36"/>
    <w:rsid w:val="00E61EFC"/>
    <w:rsid w:val="00E77D67"/>
    <w:rsid w:val="00E77DF9"/>
    <w:rsid w:val="00E80C09"/>
    <w:rsid w:val="00E957E1"/>
    <w:rsid w:val="00E978EE"/>
    <w:rsid w:val="00EA3430"/>
    <w:rsid w:val="00EA4B97"/>
    <w:rsid w:val="00EA61ED"/>
    <w:rsid w:val="00EA7721"/>
    <w:rsid w:val="00EB0A95"/>
    <w:rsid w:val="00EB1ADE"/>
    <w:rsid w:val="00EB7D0A"/>
    <w:rsid w:val="00EC3714"/>
    <w:rsid w:val="00EC603D"/>
    <w:rsid w:val="00EE60C7"/>
    <w:rsid w:val="00EE6C6A"/>
    <w:rsid w:val="00EF7949"/>
    <w:rsid w:val="00F04A9B"/>
    <w:rsid w:val="00F1269F"/>
    <w:rsid w:val="00F1371B"/>
    <w:rsid w:val="00F151DA"/>
    <w:rsid w:val="00F50FA5"/>
    <w:rsid w:val="00F55F07"/>
    <w:rsid w:val="00F654D8"/>
    <w:rsid w:val="00F66E41"/>
    <w:rsid w:val="00F91D27"/>
    <w:rsid w:val="00FA65D3"/>
    <w:rsid w:val="00FB733C"/>
    <w:rsid w:val="00FC0E66"/>
    <w:rsid w:val="00FD04BE"/>
    <w:rsid w:val="00FE47D7"/>
    <w:rsid w:val="00FE7B6D"/>
    <w:rsid w:val="00FF4AD9"/>
    <w:rsid w:val="0C0FEF2C"/>
    <w:rsid w:val="1CBCE58D"/>
    <w:rsid w:val="26D3B3E6"/>
    <w:rsid w:val="2A2D42FE"/>
    <w:rsid w:val="33DD7390"/>
    <w:rsid w:val="40EC25E0"/>
    <w:rsid w:val="43466132"/>
    <w:rsid w:val="4552F042"/>
    <w:rsid w:val="5FBE6CD4"/>
    <w:rsid w:val="666E7762"/>
    <w:rsid w:val="764BB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B8E5C"/>
  <w15:docId w15:val="{25CB4363-50B5-4642-BF4F-9033F8F6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429"/>
    <w:pPr>
      <w:widowControl w:val="0"/>
    </w:pPr>
    <w:rPr>
      <w:rFonts w:ascii="Courier" w:hAnsi="Courier"/>
      <w:snapToGrid w:val="0"/>
      <w:sz w:val="24"/>
    </w:rPr>
  </w:style>
  <w:style w:type="paragraph" w:styleId="Heading1">
    <w:name w:val="heading 1"/>
    <w:basedOn w:val="Normal"/>
    <w:next w:val="Normal"/>
    <w:qFormat/>
    <w:rsid w:val="002E1429"/>
    <w:pPr>
      <w:keepNext/>
      <w:spacing w:before="240" w:after="60"/>
      <w:outlineLvl w:val="0"/>
    </w:pPr>
    <w:rPr>
      <w:rFonts w:ascii="Arial" w:hAnsi="Arial"/>
      <w:b/>
      <w:kern w:val="28"/>
      <w:sz w:val="28"/>
    </w:rPr>
  </w:style>
  <w:style w:type="paragraph" w:styleId="Heading2">
    <w:name w:val="heading 2"/>
    <w:basedOn w:val="Normal"/>
    <w:next w:val="Normal"/>
    <w:qFormat/>
    <w:rsid w:val="002E1429"/>
    <w:pPr>
      <w:keepNext/>
      <w:spacing w:before="240" w:after="60"/>
      <w:outlineLvl w:val="1"/>
    </w:pPr>
    <w:rPr>
      <w:rFonts w:ascii="Arial" w:hAnsi="Arial"/>
      <w:b/>
      <w:i/>
    </w:rPr>
  </w:style>
  <w:style w:type="paragraph" w:styleId="Heading3">
    <w:name w:val="heading 3"/>
    <w:basedOn w:val="Normal"/>
    <w:next w:val="Normal"/>
    <w:qFormat/>
    <w:rsid w:val="002E1429"/>
    <w:pPr>
      <w:keepNext/>
      <w:spacing w:before="240" w:after="60"/>
      <w:outlineLvl w:val="2"/>
    </w:pPr>
    <w:rPr>
      <w:rFonts w:ascii="Arial" w:hAnsi="Arial"/>
    </w:rPr>
  </w:style>
  <w:style w:type="paragraph" w:styleId="Heading4">
    <w:name w:val="heading 4"/>
    <w:basedOn w:val="Normal"/>
    <w:next w:val="Normal"/>
    <w:qFormat/>
    <w:rsid w:val="002E1429"/>
    <w:pPr>
      <w:keepNext/>
      <w:outlineLvl w:val="3"/>
    </w:pPr>
    <w:rPr>
      <w:rFonts w:ascii="Times New Roman" w:hAnsi="Times New Roman"/>
      <w:b/>
    </w:rPr>
  </w:style>
  <w:style w:type="paragraph" w:styleId="Heading5">
    <w:name w:val="heading 5"/>
    <w:basedOn w:val="Normal"/>
    <w:next w:val="Normal"/>
    <w:qFormat/>
    <w:rsid w:val="002E1429"/>
    <w:pPr>
      <w:spacing w:before="240" w:after="60"/>
      <w:outlineLvl w:val="4"/>
    </w:pPr>
    <w:rPr>
      <w:sz w:val="22"/>
    </w:rPr>
  </w:style>
  <w:style w:type="paragraph" w:styleId="Heading6">
    <w:name w:val="heading 6"/>
    <w:basedOn w:val="Normal"/>
    <w:next w:val="Normal"/>
    <w:qFormat/>
    <w:rsid w:val="002E1429"/>
    <w:pPr>
      <w:spacing w:before="240" w:after="60"/>
      <w:outlineLvl w:val="5"/>
    </w:pPr>
    <w:rPr>
      <w:rFonts w:ascii="Times New Roman" w:hAnsi="Times New Roman"/>
      <w:i/>
      <w:sz w:val="22"/>
    </w:rPr>
  </w:style>
  <w:style w:type="paragraph" w:styleId="Heading7">
    <w:name w:val="heading 7"/>
    <w:basedOn w:val="Normal"/>
    <w:next w:val="Normal"/>
    <w:qFormat/>
    <w:rsid w:val="002E1429"/>
    <w:pPr>
      <w:spacing w:before="240" w:after="60"/>
      <w:outlineLvl w:val="6"/>
    </w:pPr>
    <w:rPr>
      <w:rFonts w:ascii="Arial" w:hAnsi="Arial"/>
      <w:sz w:val="20"/>
    </w:rPr>
  </w:style>
  <w:style w:type="paragraph" w:styleId="Heading8">
    <w:name w:val="heading 8"/>
    <w:basedOn w:val="Normal"/>
    <w:next w:val="Normal"/>
    <w:qFormat/>
    <w:rsid w:val="002E1429"/>
    <w:pPr>
      <w:spacing w:before="240" w:after="60"/>
      <w:outlineLvl w:val="7"/>
    </w:pPr>
    <w:rPr>
      <w:rFonts w:ascii="Arial" w:hAnsi="Arial"/>
      <w:i/>
      <w:sz w:val="20"/>
    </w:rPr>
  </w:style>
  <w:style w:type="paragraph" w:styleId="Heading9">
    <w:name w:val="heading 9"/>
    <w:basedOn w:val="Normal"/>
    <w:next w:val="Normal"/>
    <w:link w:val="Heading9Char"/>
    <w:qFormat/>
    <w:rsid w:val="002E142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E1429"/>
  </w:style>
  <w:style w:type="paragraph" w:styleId="Header">
    <w:name w:val="header"/>
    <w:basedOn w:val="Normal"/>
    <w:autoRedefine/>
    <w:rsid w:val="002E1429"/>
    <w:rPr>
      <w:rFonts w:ascii="Times New Roman" w:hAnsi="Times New Roman"/>
    </w:rPr>
  </w:style>
  <w:style w:type="paragraph" w:styleId="Footer">
    <w:name w:val="footer"/>
    <w:basedOn w:val="Normal"/>
    <w:link w:val="FooterChar"/>
    <w:uiPriority w:val="99"/>
    <w:rsid w:val="002E1429"/>
    <w:pPr>
      <w:tabs>
        <w:tab w:val="center" w:pos="4320"/>
        <w:tab w:val="right" w:pos="8640"/>
      </w:tabs>
    </w:pPr>
  </w:style>
  <w:style w:type="paragraph" w:styleId="BodyTextIndent">
    <w:name w:val="Body Text Indent"/>
    <w:basedOn w:val="Normal"/>
    <w:link w:val="BodyTextIndentChar"/>
    <w:rsid w:val="002E1429"/>
    <w:pPr>
      <w:tabs>
        <w:tab w:val="left" w:pos="720"/>
        <w:tab w:val="left" w:pos="1296"/>
        <w:tab w:val="left" w:pos="1872"/>
        <w:tab w:val="left" w:pos="2880"/>
        <w:tab w:val="left" w:pos="4320"/>
        <w:tab w:val="left" w:pos="5760"/>
        <w:tab w:val="left" w:pos="7200"/>
        <w:tab w:val="left" w:pos="8640"/>
      </w:tabs>
      <w:ind w:firstLine="1890"/>
    </w:pPr>
  </w:style>
  <w:style w:type="paragraph" w:styleId="BodyTextIndent2">
    <w:name w:val="Body Text Indent 2"/>
    <w:basedOn w:val="Normal"/>
    <w:rsid w:val="002E1429"/>
    <w:pPr>
      <w:tabs>
        <w:tab w:val="left" w:pos="720"/>
        <w:tab w:val="left" w:pos="1296"/>
        <w:tab w:val="left" w:pos="1872"/>
        <w:tab w:val="left" w:pos="2880"/>
        <w:tab w:val="left" w:pos="4320"/>
        <w:tab w:val="left" w:pos="5760"/>
        <w:tab w:val="left" w:pos="7200"/>
        <w:tab w:val="left" w:pos="8640"/>
      </w:tabs>
      <w:ind w:right="-180" w:firstLine="720"/>
    </w:pPr>
  </w:style>
  <w:style w:type="paragraph" w:styleId="BodyTextIndent3">
    <w:name w:val="Body Text Indent 3"/>
    <w:basedOn w:val="Normal"/>
    <w:rsid w:val="002E1429"/>
    <w:pPr>
      <w:tabs>
        <w:tab w:val="left" w:pos="720"/>
        <w:tab w:val="left" w:pos="1296"/>
        <w:tab w:val="left" w:pos="1872"/>
        <w:tab w:val="left" w:pos="2880"/>
        <w:tab w:val="left" w:pos="4320"/>
        <w:tab w:val="left" w:pos="5760"/>
        <w:tab w:val="left" w:pos="7200"/>
        <w:tab w:val="left" w:pos="8640"/>
      </w:tabs>
      <w:ind w:right="-180" w:firstLine="1296"/>
    </w:pPr>
  </w:style>
  <w:style w:type="character" w:styleId="PageNumber">
    <w:name w:val="page number"/>
    <w:basedOn w:val="DefaultParagraphFont"/>
    <w:rsid w:val="002E1429"/>
  </w:style>
  <w:style w:type="paragraph" w:styleId="DocumentMap">
    <w:name w:val="Document Map"/>
    <w:basedOn w:val="Normal"/>
    <w:semiHidden/>
    <w:rsid w:val="002E1429"/>
    <w:pPr>
      <w:shd w:val="clear" w:color="auto" w:fill="000080"/>
    </w:pPr>
    <w:rPr>
      <w:rFonts w:ascii="Tahoma" w:hAnsi="Tahoma"/>
    </w:rPr>
  </w:style>
  <w:style w:type="paragraph" w:styleId="List">
    <w:name w:val="List"/>
    <w:basedOn w:val="Normal"/>
    <w:rsid w:val="002E1429"/>
    <w:pPr>
      <w:ind w:left="360" w:hanging="360"/>
    </w:pPr>
  </w:style>
  <w:style w:type="paragraph" w:styleId="List2">
    <w:name w:val="List 2"/>
    <w:basedOn w:val="Normal"/>
    <w:rsid w:val="002E1429"/>
    <w:pPr>
      <w:ind w:left="720" w:hanging="360"/>
    </w:pPr>
  </w:style>
  <w:style w:type="paragraph" w:styleId="List3">
    <w:name w:val="List 3"/>
    <w:basedOn w:val="Normal"/>
    <w:rsid w:val="002E1429"/>
    <w:pPr>
      <w:ind w:left="1080" w:hanging="360"/>
    </w:pPr>
  </w:style>
  <w:style w:type="paragraph" w:styleId="List4">
    <w:name w:val="List 4"/>
    <w:basedOn w:val="Normal"/>
    <w:rsid w:val="002E1429"/>
    <w:pPr>
      <w:ind w:left="1440" w:hanging="360"/>
    </w:pPr>
  </w:style>
  <w:style w:type="paragraph" w:styleId="ListContinue">
    <w:name w:val="List Continue"/>
    <w:basedOn w:val="Normal"/>
    <w:rsid w:val="002E1429"/>
    <w:pPr>
      <w:spacing w:after="120"/>
      <w:ind w:left="360"/>
    </w:pPr>
  </w:style>
  <w:style w:type="paragraph" w:styleId="ListContinue2">
    <w:name w:val="List Continue 2"/>
    <w:basedOn w:val="Normal"/>
    <w:rsid w:val="002E1429"/>
    <w:pPr>
      <w:spacing w:after="120"/>
      <w:ind w:left="720"/>
    </w:pPr>
  </w:style>
  <w:style w:type="paragraph" w:customStyle="1" w:styleId="InsideAddress">
    <w:name w:val="Inside Address"/>
    <w:basedOn w:val="Normal"/>
    <w:rsid w:val="002E1429"/>
  </w:style>
  <w:style w:type="paragraph" w:styleId="BodyText">
    <w:name w:val="Body Text"/>
    <w:basedOn w:val="Normal"/>
    <w:link w:val="BodyTextChar"/>
    <w:rsid w:val="002E1429"/>
    <w:pPr>
      <w:spacing w:after="120"/>
    </w:pPr>
  </w:style>
  <w:style w:type="paragraph" w:customStyle="1" w:styleId="Byline">
    <w:name w:val="Byline"/>
    <w:basedOn w:val="BodyText"/>
    <w:rsid w:val="002E1429"/>
  </w:style>
  <w:style w:type="paragraph" w:customStyle="1" w:styleId="ReferenceLine">
    <w:name w:val="Reference Line"/>
    <w:basedOn w:val="BodyText"/>
    <w:rsid w:val="002E1429"/>
  </w:style>
  <w:style w:type="paragraph" w:styleId="NormalIndent">
    <w:name w:val="Normal Indent"/>
    <w:basedOn w:val="Normal"/>
    <w:rsid w:val="002E1429"/>
    <w:pPr>
      <w:ind w:left="720"/>
    </w:pPr>
  </w:style>
  <w:style w:type="paragraph" w:customStyle="1" w:styleId="ShortReturnAddress">
    <w:name w:val="Short Return Address"/>
    <w:basedOn w:val="Normal"/>
    <w:rsid w:val="002E1429"/>
  </w:style>
  <w:style w:type="paragraph" w:styleId="BodyText2">
    <w:name w:val="Body Text 2"/>
    <w:basedOn w:val="Normal"/>
    <w:rsid w:val="002E1429"/>
    <w:pPr>
      <w:jc w:val="both"/>
    </w:pPr>
    <w:rPr>
      <w:rFonts w:ascii="Times New Roman" w:hAnsi="Times New Roman"/>
      <w:sz w:val="20"/>
    </w:rPr>
  </w:style>
  <w:style w:type="paragraph" w:customStyle="1" w:styleId="Style1">
    <w:name w:val="Style1"/>
    <w:basedOn w:val="Normal"/>
    <w:autoRedefine/>
    <w:rsid w:val="002E1429"/>
    <w:pPr>
      <w:jc w:val="both"/>
    </w:pPr>
    <w:rPr>
      <w:rFonts w:ascii="Times New Roman" w:hAnsi="Times New Roman"/>
    </w:rPr>
  </w:style>
  <w:style w:type="paragraph" w:styleId="BodyText3">
    <w:name w:val="Body Text 3"/>
    <w:basedOn w:val="Normal"/>
    <w:link w:val="BodyText3Char"/>
    <w:rsid w:val="002E1429"/>
    <w:pPr>
      <w:tabs>
        <w:tab w:val="left" w:pos="-1260"/>
        <w:tab w:val="left" w:pos="1728"/>
        <w:tab w:val="left" w:pos="2736"/>
        <w:tab w:val="left" w:pos="4176"/>
        <w:tab w:val="left" w:pos="5616"/>
        <w:tab w:val="left" w:pos="7056"/>
        <w:tab w:val="left" w:pos="8496"/>
      </w:tabs>
      <w:jc w:val="both"/>
    </w:pPr>
    <w:rPr>
      <w:rFonts w:ascii="Times New Roman" w:hAnsi="Times New Roman"/>
      <w:b/>
    </w:rPr>
  </w:style>
  <w:style w:type="paragraph" w:customStyle="1" w:styleId="Style3">
    <w:name w:val="Style 3"/>
    <w:basedOn w:val="Normal"/>
    <w:rsid w:val="00870A66"/>
    <w:rPr>
      <w:rFonts w:ascii="Times New Roman" w:hAnsi="Times New Roman"/>
    </w:rPr>
  </w:style>
  <w:style w:type="paragraph" w:styleId="BalloonText">
    <w:name w:val="Balloon Text"/>
    <w:basedOn w:val="Normal"/>
    <w:semiHidden/>
    <w:rsid w:val="00C31E53"/>
    <w:rPr>
      <w:rFonts w:ascii="Tahoma" w:hAnsi="Tahoma" w:cs="Tahoma"/>
      <w:sz w:val="16"/>
      <w:szCs w:val="16"/>
    </w:rPr>
  </w:style>
  <w:style w:type="character" w:customStyle="1" w:styleId="Heading9Char">
    <w:name w:val="Heading 9 Char"/>
    <w:basedOn w:val="DefaultParagraphFont"/>
    <w:link w:val="Heading9"/>
    <w:rsid w:val="00190168"/>
    <w:rPr>
      <w:rFonts w:ascii="Arial" w:hAnsi="Arial"/>
      <w:b/>
      <w:i/>
      <w:snapToGrid w:val="0"/>
      <w:sz w:val="18"/>
    </w:rPr>
  </w:style>
  <w:style w:type="character" w:customStyle="1" w:styleId="BodyTextIndentChar">
    <w:name w:val="Body Text Indent Char"/>
    <w:basedOn w:val="DefaultParagraphFont"/>
    <w:link w:val="BodyTextIndent"/>
    <w:rsid w:val="00190168"/>
    <w:rPr>
      <w:rFonts w:ascii="Courier" w:hAnsi="Courier"/>
      <w:snapToGrid w:val="0"/>
      <w:sz w:val="24"/>
    </w:rPr>
  </w:style>
  <w:style w:type="character" w:customStyle="1" w:styleId="BodyTextChar">
    <w:name w:val="Body Text Char"/>
    <w:basedOn w:val="DefaultParagraphFont"/>
    <w:link w:val="BodyText"/>
    <w:rsid w:val="00190168"/>
    <w:rPr>
      <w:rFonts w:ascii="Courier" w:hAnsi="Courier"/>
      <w:snapToGrid w:val="0"/>
      <w:sz w:val="24"/>
    </w:rPr>
  </w:style>
  <w:style w:type="character" w:customStyle="1" w:styleId="BodyText3Char">
    <w:name w:val="Body Text 3 Char"/>
    <w:basedOn w:val="DefaultParagraphFont"/>
    <w:link w:val="BodyText3"/>
    <w:rsid w:val="00900F1C"/>
    <w:rPr>
      <w:b/>
      <w:snapToGrid w:val="0"/>
      <w:sz w:val="24"/>
    </w:rPr>
  </w:style>
  <w:style w:type="paragraph" w:styleId="ListParagraph">
    <w:name w:val="List Paragraph"/>
    <w:basedOn w:val="Normal"/>
    <w:uiPriority w:val="34"/>
    <w:qFormat/>
    <w:rsid w:val="00E77DF9"/>
    <w:pPr>
      <w:widowControl/>
      <w:ind w:left="720"/>
    </w:pPr>
    <w:rPr>
      <w:rFonts w:ascii="Times New Roman" w:eastAsia="Calibri" w:hAnsi="Times New Roman"/>
      <w:snapToGrid/>
      <w:szCs w:val="24"/>
    </w:rPr>
  </w:style>
  <w:style w:type="paragraph" w:styleId="Revision">
    <w:name w:val="Revision"/>
    <w:hidden/>
    <w:uiPriority w:val="99"/>
    <w:semiHidden/>
    <w:rsid w:val="00824666"/>
    <w:rPr>
      <w:rFonts w:ascii="Courier" w:hAnsi="Courier"/>
      <w:snapToGrid w:val="0"/>
      <w:sz w:val="24"/>
    </w:rPr>
  </w:style>
  <w:style w:type="character" w:styleId="Hyperlink">
    <w:name w:val="Hyperlink"/>
    <w:basedOn w:val="DefaultParagraphFont"/>
    <w:rsid w:val="00606945"/>
    <w:rPr>
      <w:color w:val="0000FF"/>
      <w:u w:val="single"/>
    </w:rPr>
  </w:style>
  <w:style w:type="character" w:customStyle="1" w:styleId="FooterChar">
    <w:name w:val="Footer Char"/>
    <w:basedOn w:val="DefaultParagraphFont"/>
    <w:link w:val="Footer"/>
    <w:uiPriority w:val="99"/>
    <w:rsid w:val="00C957BB"/>
    <w:rPr>
      <w:rFonts w:ascii="Courier" w:hAnsi="Courier"/>
      <w:snapToGrid w:val="0"/>
      <w:sz w:val="24"/>
    </w:rPr>
  </w:style>
  <w:style w:type="character" w:styleId="UnresolvedMention">
    <w:name w:val="Unresolved Mention"/>
    <w:basedOn w:val="DefaultParagraphFont"/>
    <w:uiPriority w:val="99"/>
    <w:semiHidden/>
    <w:unhideWhenUsed/>
    <w:rsid w:val="00F55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913">
      <w:bodyDiv w:val="1"/>
      <w:marLeft w:val="0"/>
      <w:marRight w:val="0"/>
      <w:marTop w:val="0"/>
      <w:marBottom w:val="0"/>
      <w:divBdr>
        <w:top w:val="none" w:sz="0" w:space="0" w:color="auto"/>
        <w:left w:val="none" w:sz="0" w:space="0" w:color="auto"/>
        <w:bottom w:val="none" w:sz="0" w:space="0" w:color="auto"/>
        <w:right w:val="none" w:sz="0" w:space="0" w:color="auto"/>
      </w:divBdr>
    </w:div>
    <w:div w:id="345837676">
      <w:bodyDiv w:val="1"/>
      <w:marLeft w:val="0"/>
      <w:marRight w:val="0"/>
      <w:marTop w:val="0"/>
      <w:marBottom w:val="0"/>
      <w:divBdr>
        <w:top w:val="none" w:sz="0" w:space="0" w:color="auto"/>
        <w:left w:val="none" w:sz="0" w:space="0" w:color="auto"/>
        <w:bottom w:val="none" w:sz="0" w:space="0" w:color="auto"/>
        <w:right w:val="none" w:sz="0" w:space="0" w:color="auto"/>
      </w:divBdr>
    </w:div>
    <w:div w:id="391855821">
      <w:bodyDiv w:val="1"/>
      <w:marLeft w:val="0"/>
      <w:marRight w:val="0"/>
      <w:marTop w:val="0"/>
      <w:marBottom w:val="0"/>
      <w:divBdr>
        <w:top w:val="none" w:sz="0" w:space="0" w:color="auto"/>
        <w:left w:val="none" w:sz="0" w:space="0" w:color="auto"/>
        <w:bottom w:val="none" w:sz="0" w:space="0" w:color="auto"/>
        <w:right w:val="none" w:sz="0" w:space="0" w:color="auto"/>
      </w:divBdr>
    </w:div>
    <w:div w:id="6481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www.usda.gov/sites/default/files/documents/USDA-OASCR*20P-Complaint-Form-0508-0002-508-11-28-17Fax2Mail.pdf__;JQ!!CUhgQOZqV7M!mWzhhubUpuMhGFM4ACcc4mJP_mEsTLOmdITgbeC8Fjo78Z5RIaxL3zI3jPulHixnhjzk2Bv8BhYKOp6XP4O8Zk9CNK2ZmSJrN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np/food_dis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SharedWithUsers xmlns="fdcd57df-05e8-4749-9cc8-5afe3dcd00a5">
      <UserInfo>
        <DisplayName>Taylor, Donna M (DESE)</DisplayName>
        <AccountId>95</AccountId>
        <AccountType/>
      </UserInfo>
      <UserInfo>
        <DisplayName>Ward, Lucinda A.  (DESE)</DisplayName>
        <AccountId>242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372D6-DA6D-4531-A44A-033F897DE03F}">
  <ds:schemaRefs>
    <ds:schemaRef ds:uri="http://schemas.openxmlformats.org/officeDocument/2006/bibliography"/>
  </ds:schemaRefs>
</ds:datastoreItem>
</file>

<file path=customXml/itemProps2.xml><?xml version="1.0" encoding="utf-8"?>
<ds:datastoreItem xmlns:ds="http://schemas.openxmlformats.org/officeDocument/2006/customXml" ds:itemID="{04BFFDC6-4F1B-4029-8A11-0C5D04B4D9C8}">
  <ds:schemaRefs>
    <ds:schemaRef ds:uri="http://schemas.microsoft.com/sharepoint/v3/contenttype/forms"/>
  </ds:schemaRefs>
</ds:datastoreItem>
</file>

<file path=customXml/itemProps3.xml><?xml version="1.0" encoding="utf-8"?>
<ds:datastoreItem xmlns:ds="http://schemas.openxmlformats.org/officeDocument/2006/customXml" ds:itemID="{9E42B0A4-534E-4155-965D-4DCEF7078CF4}">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4.xml><?xml version="1.0" encoding="utf-8"?>
<ds:datastoreItem xmlns:ds="http://schemas.openxmlformats.org/officeDocument/2006/customXml" ds:itemID="{5E329C04-8672-40BD-A724-9BCF2E31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 TEFAP State Plan</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TEFAP State Plan</dc:title>
  <dc:subject/>
  <dc:creator>DESE</dc:creator>
  <cp:keywords/>
  <cp:lastModifiedBy>Zou, Dong (EOE)</cp:lastModifiedBy>
  <cp:revision>4</cp:revision>
  <cp:lastPrinted>2019-02-20T14:32:00Z</cp:lastPrinted>
  <dcterms:created xsi:type="dcterms:W3CDTF">2025-02-05T16:02:00Z</dcterms:created>
  <dcterms:modified xsi:type="dcterms:W3CDTF">2025-04-02T15:19:00Z</dcterms:modified>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