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E70C" w14:textId="77777777" w:rsidR="0061648B" w:rsidRDefault="0061648B" w:rsidP="00C76C30">
      <w:pPr>
        <w:spacing w:after="0"/>
        <w:jc w:val="center"/>
        <w:rPr>
          <w:rFonts w:cstheme="minorHAnsi"/>
          <w:b/>
          <w:sz w:val="48"/>
          <w:szCs w:val="48"/>
        </w:rPr>
      </w:pPr>
    </w:p>
    <w:p w14:paraId="0A275B12" w14:textId="77777777" w:rsidR="0061648B" w:rsidRDefault="0061648B" w:rsidP="00C76C30">
      <w:pPr>
        <w:spacing w:after="0"/>
        <w:jc w:val="center"/>
        <w:rPr>
          <w:rFonts w:cstheme="minorHAnsi"/>
          <w:b/>
          <w:sz w:val="48"/>
          <w:szCs w:val="48"/>
        </w:rPr>
      </w:pPr>
    </w:p>
    <w:p w14:paraId="27239201" w14:textId="77777777" w:rsidR="0061648B" w:rsidRDefault="0061648B" w:rsidP="00C76C30">
      <w:pPr>
        <w:spacing w:after="0"/>
        <w:jc w:val="center"/>
        <w:rPr>
          <w:rFonts w:cstheme="minorHAnsi"/>
          <w:b/>
          <w:sz w:val="48"/>
          <w:szCs w:val="48"/>
        </w:rPr>
      </w:pPr>
    </w:p>
    <w:p w14:paraId="446EEDA3" w14:textId="77777777" w:rsidR="0061648B" w:rsidRDefault="0061648B" w:rsidP="00C76C30">
      <w:pPr>
        <w:spacing w:after="0"/>
        <w:jc w:val="center"/>
        <w:rPr>
          <w:rFonts w:cstheme="minorHAnsi"/>
          <w:b/>
          <w:sz w:val="48"/>
          <w:szCs w:val="48"/>
        </w:rPr>
      </w:pPr>
    </w:p>
    <w:p w14:paraId="1FDEF243" w14:textId="28703C2A" w:rsidR="0081049C" w:rsidRPr="0081049C" w:rsidRDefault="0081049C" w:rsidP="00C76C30">
      <w:pPr>
        <w:spacing w:after="0"/>
        <w:jc w:val="center"/>
        <w:rPr>
          <w:rFonts w:cstheme="minorHAnsi"/>
          <w:bCs/>
          <w:color w:val="2F5496" w:themeColor="accent1" w:themeShade="BF"/>
          <w:sz w:val="44"/>
          <w:szCs w:val="44"/>
        </w:rPr>
      </w:pPr>
      <w:r w:rsidRPr="0081049C">
        <w:rPr>
          <w:rFonts w:cstheme="minorHAnsi"/>
          <w:bCs/>
          <w:color w:val="2F5496" w:themeColor="accent1" w:themeShade="BF"/>
          <w:sz w:val="44"/>
          <w:szCs w:val="44"/>
        </w:rPr>
        <w:t>The Commissioner’s Report to the Board:</w:t>
      </w:r>
    </w:p>
    <w:p w14:paraId="69CC5E4A" w14:textId="6C23436F" w:rsidR="0057605E" w:rsidRPr="007B5F26" w:rsidRDefault="00C76C30" w:rsidP="007B5F26">
      <w:pPr>
        <w:pStyle w:val="Heading1"/>
      </w:pPr>
      <w:r w:rsidRPr="007B5F26">
        <w:t>Our Way Forward</w:t>
      </w:r>
    </w:p>
    <w:p w14:paraId="4D30C49F" w14:textId="0A4A4282" w:rsidR="00C76C30" w:rsidRPr="0099294A" w:rsidRDefault="00C76C30" w:rsidP="00C76C30">
      <w:pPr>
        <w:spacing w:after="0"/>
        <w:jc w:val="center"/>
        <w:rPr>
          <w:rFonts w:cstheme="minorHAnsi"/>
          <w:bCs/>
          <w:color w:val="2F5496" w:themeColor="accent1" w:themeShade="BF"/>
          <w:sz w:val="44"/>
          <w:szCs w:val="44"/>
        </w:rPr>
      </w:pPr>
      <w:r w:rsidRPr="0099294A">
        <w:rPr>
          <w:rFonts w:cstheme="minorHAnsi"/>
          <w:bCs/>
          <w:color w:val="2F5496" w:themeColor="accent1" w:themeShade="BF"/>
          <w:sz w:val="44"/>
          <w:szCs w:val="44"/>
        </w:rPr>
        <w:t>For Massachusetts K-12 Public Education</w:t>
      </w:r>
    </w:p>
    <w:p w14:paraId="5DE62D7F" w14:textId="3DE44431" w:rsidR="0061648B" w:rsidRDefault="0061648B" w:rsidP="00C76C30">
      <w:pPr>
        <w:spacing w:after="0"/>
        <w:jc w:val="center"/>
        <w:rPr>
          <w:rFonts w:cstheme="minorHAnsi"/>
          <w:b/>
          <w:sz w:val="28"/>
          <w:szCs w:val="28"/>
        </w:rPr>
      </w:pPr>
    </w:p>
    <w:p w14:paraId="7918EF3A" w14:textId="77777777" w:rsidR="0099294A" w:rsidRDefault="0099294A" w:rsidP="00C76C30">
      <w:pPr>
        <w:spacing w:after="0"/>
        <w:jc w:val="center"/>
        <w:rPr>
          <w:rFonts w:cstheme="minorHAnsi"/>
          <w:b/>
          <w:sz w:val="28"/>
          <w:szCs w:val="28"/>
        </w:rPr>
      </w:pPr>
    </w:p>
    <w:p w14:paraId="6F7DDF34" w14:textId="246FD4CB" w:rsidR="0061648B" w:rsidRDefault="0061648B" w:rsidP="00C76C30">
      <w:pPr>
        <w:spacing w:after="0"/>
        <w:jc w:val="center"/>
        <w:rPr>
          <w:rFonts w:cstheme="minorHAnsi"/>
          <w:b/>
          <w:sz w:val="28"/>
          <w:szCs w:val="28"/>
        </w:rPr>
      </w:pPr>
    </w:p>
    <w:p w14:paraId="71432372" w14:textId="77777777" w:rsidR="0099294A" w:rsidRDefault="0099294A" w:rsidP="00C76C30">
      <w:pPr>
        <w:spacing w:after="0"/>
        <w:jc w:val="center"/>
        <w:rPr>
          <w:rFonts w:cstheme="minorHAnsi"/>
          <w:b/>
          <w:sz w:val="28"/>
          <w:szCs w:val="28"/>
        </w:rPr>
      </w:pPr>
    </w:p>
    <w:p w14:paraId="5C51CD44" w14:textId="3852895D" w:rsidR="0061648B" w:rsidRPr="0061648B" w:rsidRDefault="0061648B" w:rsidP="00C76C30">
      <w:pPr>
        <w:spacing w:after="0"/>
        <w:jc w:val="center"/>
        <w:rPr>
          <w:rFonts w:cstheme="minorHAnsi"/>
          <w:b/>
          <w:sz w:val="32"/>
          <w:szCs w:val="32"/>
        </w:rPr>
      </w:pPr>
      <w:r w:rsidRPr="0061648B">
        <w:rPr>
          <w:rFonts w:cstheme="minorHAnsi"/>
          <w:b/>
          <w:sz w:val="32"/>
          <w:szCs w:val="32"/>
        </w:rPr>
        <w:t>Jeffrey C. Riley</w:t>
      </w:r>
    </w:p>
    <w:p w14:paraId="3C257689" w14:textId="35E9E5FF" w:rsidR="0061648B" w:rsidRPr="0061648B" w:rsidRDefault="0061648B" w:rsidP="00C76C30">
      <w:pPr>
        <w:spacing w:after="0"/>
        <w:jc w:val="center"/>
        <w:rPr>
          <w:rFonts w:cstheme="minorHAnsi"/>
          <w:b/>
          <w:sz w:val="32"/>
          <w:szCs w:val="32"/>
        </w:rPr>
      </w:pPr>
      <w:r w:rsidRPr="0061648B">
        <w:rPr>
          <w:rFonts w:cstheme="minorHAnsi"/>
          <w:b/>
          <w:sz w:val="32"/>
          <w:szCs w:val="32"/>
        </w:rPr>
        <w:t>Commissioner</w:t>
      </w:r>
    </w:p>
    <w:p w14:paraId="692934F6" w14:textId="37B3B2FE" w:rsidR="0061648B" w:rsidRDefault="0061648B" w:rsidP="00C76C30">
      <w:pPr>
        <w:spacing w:after="0"/>
        <w:jc w:val="center"/>
        <w:rPr>
          <w:rFonts w:cstheme="minorHAnsi"/>
          <w:b/>
          <w:sz w:val="32"/>
          <w:szCs w:val="32"/>
        </w:rPr>
      </w:pPr>
    </w:p>
    <w:p w14:paraId="03E68761" w14:textId="77777777" w:rsidR="0099294A" w:rsidRPr="0061648B" w:rsidRDefault="0099294A" w:rsidP="00C76C30">
      <w:pPr>
        <w:spacing w:after="0"/>
        <w:jc w:val="center"/>
        <w:rPr>
          <w:rFonts w:cstheme="minorHAnsi"/>
          <w:b/>
          <w:sz w:val="32"/>
          <w:szCs w:val="32"/>
        </w:rPr>
      </w:pPr>
    </w:p>
    <w:p w14:paraId="28A6F3ED" w14:textId="641CE9D0" w:rsidR="0061648B" w:rsidRPr="0099294A" w:rsidRDefault="0061648B" w:rsidP="00C76C30">
      <w:pPr>
        <w:spacing w:after="0"/>
        <w:jc w:val="center"/>
        <w:rPr>
          <w:rFonts w:cstheme="minorHAnsi"/>
          <w:bCs/>
          <w:sz w:val="28"/>
          <w:szCs w:val="28"/>
        </w:rPr>
      </w:pPr>
      <w:r w:rsidRPr="0099294A">
        <w:rPr>
          <w:rFonts w:cstheme="minorHAnsi"/>
          <w:bCs/>
          <w:sz w:val="28"/>
          <w:szCs w:val="28"/>
        </w:rPr>
        <w:t>June 2019</w:t>
      </w:r>
    </w:p>
    <w:p w14:paraId="17AF4DDA" w14:textId="6B578D05" w:rsidR="0057605E" w:rsidRDefault="0057605E" w:rsidP="00C76C30">
      <w:pPr>
        <w:spacing w:after="0"/>
        <w:jc w:val="center"/>
        <w:rPr>
          <w:rFonts w:cstheme="minorHAnsi"/>
          <w:b/>
          <w:sz w:val="28"/>
          <w:szCs w:val="28"/>
        </w:rPr>
      </w:pPr>
    </w:p>
    <w:p w14:paraId="18C9EAB6" w14:textId="153DFF31" w:rsidR="0099294A" w:rsidRDefault="0099294A" w:rsidP="00C76C30">
      <w:pPr>
        <w:spacing w:after="0"/>
        <w:jc w:val="center"/>
        <w:rPr>
          <w:rFonts w:cstheme="minorHAnsi"/>
          <w:b/>
          <w:sz w:val="28"/>
          <w:szCs w:val="28"/>
        </w:rPr>
      </w:pPr>
    </w:p>
    <w:p w14:paraId="0673C1B0" w14:textId="21DA29F9" w:rsidR="0099294A" w:rsidRDefault="0099294A" w:rsidP="00C76C30">
      <w:pPr>
        <w:spacing w:after="0"/>
        <w:jc w:val="center"/>
        <w:rPr>
          <w:rFonts w:cstheme="minorHAnsi"/>
          <w:b/>
          <w:sz w:val="28"/>
          <w:szCs w:val="28"/>
        </w:rPr>
      </w:pPr>
    </w:p>
    <w:p w14:paraId="6D82C4C9" w14:textId="27FC3333" w:rsidR="0099294A" w:rsidRDefault="0099294A" w:rsidP="00605F35">
      <w:pPr>
        <w:spacing w:after="0"/>
        <w:jc w:val="center"/>
        <w:rPr>
          <w:rFonts w:cstheme="minorHAnsi"/>
          <w:b/>
          <w:sz w:val="28"/>
          <w:szCs w:val="28"/>
        </w:rPr>
      </w:pPr>
      <w:r w:rsidRPr="00C76C30">
        <w:rPr>
          <w:noProof/>
          <w:color w:val="0070C0"/>
          <w:sz w:val="24"/>
        </w:rPr>
        <w:drawing>
          <wp:inline distT="0" distB="0" distL="0" distR="0" wp14:anchorId="46A05D62" wp14:editId="7E007A55">
            <wp:extent cx="2478405" cy="1214120"/>
            <wp:effectExtent l="0" t="0" r="0" b="0"/>
            <wp:docPr id="12" name="Picture 2"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8405" cy="1214120"/>
                    </a:xfrm>
                    <a:prstGeom prst="rect">
                      <a:avLst/>
                    </a:prstGeom>
                    <a:noFill/>
                    <a:ln w="9525">
                      <a:noFill/>
                      <a:miter lim="800000"/>
                      <a:headEnd/>
                      <a:tailEnd/>
                    </a:ln>
                  </pic:spPr>
                </pic:pic>
              </a:graphicData>
            </a:graphic>
          </wp:inline>
        </w:drawing>
      </w:r>
    </w:p>
    <w:p w14:paraId="20A5350D" w14:textId="77777777" w:rsidR="0099294A" w:rsidRDefault="0099294A" w:rsidP="00C76C30">
      <w:pPr>
        <w:spacing w:after="0"/>
        <w:rPr>
          <w:rFonts w:cstheme="minorHAnsi"/>
          <w:b/>
          <w:sz w:val="28"/>
          <w:szCs w:val="28"/>
        </w:rPr>
      </w:pPr>
    </w:p>
    <w:p w14:paraId="4A0CE26F" w14:textId="266C225D" w:rsidR="0099294A" w:rsidRDefault="0057605E" w:rsidP="00C76C30">
      <w:pPr>
        <w:spacing w:after="0"/>
        <w:rPr>
          <w:rFonts w:cstheme="minorHAnsi"/>
          <w:b/>
          <w:sz w:val="28"/>
          <w:szCs w:val="28"/>
        </w:rPr>
        <w:sectPr w:rsidR="0099294A" w:rsidSect="002E667F">
          <w:footerReference w:type="first" r:id="rId13"/>
          <w:pgSz w:w="12240" w:h="15840"/>
          <w:pgMar w:top="1440" w:right="1296" w:bottom="1296" w:left="1296" w:header="720" w:footer="720" w:gutter="0"/>
          <w:cols w:space="720"/>
          <w:docGrid w:linePitch="360"/>
        </w:sectPr>
      </w:pPr>
      <w:r>
        <w:rPr>
          <w:rFonts w:cstheme="minorHAnsi"/>
          <w:b/>
          <w:sz w:val="28"/>
          <w:szCs w:val="28"/>
        </w:rPr>
        <w:br w:type="page"/>
      </w:r>
    </w:p>
    <w:p w14:paraId="43042E55" w14:textId="5FE2D9F8" w:rsidR="00A41908" w:rsidRPr="00C76C30" w:rsidRDefault="00A41908" w:rsidP="00C76C30">
      <w:pPr>
        <w:spacing w:after="0"/>
        <w:jc w:val="center"/>
        <w:rPr>
          <w:rFonts w:cstheme="minorHAnsi"/>
          <w:b/>
          <w:i/>
          <w:color w:val="2F5496" w:themeColor="accent1" w:themeShade="BF"/>
          <w:sz w:val="24"/>
          <w:szCs w:val="24"/>
        </w:rPr>
      </w:pPr>
      <w:r w:rsidRPr="00C76C30">
        <w:rPr>
          <w:rFonts w:cstheme="minorHAnsi"/>
          <w:b/>
          <w:i/>
          <w:color w:val="2F5496" w:themeColor="accent1" w:themeShade="BF"/>
          <w:sz w:val="24"/>
          <w:szCs w:val="24"/>
        </w:rPr>
        <w:lastRenderedPageBreak/>
        <w:t>The function of education is to teach one to think intensively and to think critically.</w:t>
      </w:r>
    </w:p>
    <w:p w14:paraId="1272418F" w14:textId="77777777" w:rsidR="00A41908" w:rsidRPr="006D0DF5" w:rsidRDefault="00A41908" w:rsidP="00C76C30">
      <w:pPr>
        <w:spacing w:after="0" w:line="276" w:lineRule="auto"/>
        <w:jc w:val="center"/>
        <w:rPr>
          <w:rFonts w:cstheme="minorHAnsi"/>
          <w:b/>
          <w:i/>
          <w:sz w:val="12"/>
          <w:szCs w:val="12"/>
        </w:rPr>
      </w:pPr>
    </w:p>
    <w:p w14:paraId="4449B3C9" w14:textId="2E2F032F" w:rsidR="00A41908" w:rsidRPr="006D0DF5" w:rsidRDefault="00A41908" w:rsidP="00C76C30">
      <w:pPr>
        <w:spacing w:after="0" w:line="276" w:lineRule="auto"/>
        <w:jc w:val="center"/>
        <w:rPr>
          <w:rFonts w:cstheme="minorHAnsi"/>
          <w:sz w:val="24"/>
          <w:szCs w:val="24"/>
        </w:rPr>
      </w:pPr>
      <w:r w:rsidRPr="006D0DF5">
        <w:rPr>
          <w:rFonts w:cstheme="minorHAnsi"/>
          <w:sz w:val="24"/>
          <w:szCs w:val="24"/>
        </w:rPr>
        <w:t xml:space="preserve">- Martin Luther King Jr. </w:t>
      </w:r>
    </w:p>
    <w:p w14:paraId="61D4FD3E" w14:textId="77777777" w:rsidR="00A41908" w:rsidRPr="006D0DF5" w:rsidRDefault="00A41908" w:rsidP="00C76C30">
      <w:pPr>
        <w:spacing w:after="0" w:line="276" w:lineRule="auto"/>
        <w:rPr>
          <w:rFonts w:cstheme="minorHAnsi"/>
          <w:sz w:val="24"/>
          <w:szCs w:val="24"/>
        </w:rPr>
      </w:pPr>
    </w:p>
    <w:p w14:paraId="479804F5" w14:textId="56D8DE2C" w:rsidR="00282925" w:rsidRPr="006D0DF5" w:rsidRDefault="00282925" w:rsidP="00C76C30">
      <w:pPr>
        <w:spacing w:after="0" w:line="276" w:lineRule="auto"/>
        <w:rPr>
          <w:rFonts w:cstheme="minorHAnsi"/>
          <w:b/>
          <w:sz w:val="24"/>
          <w:szCs w:val="24"/>
        </w:rPr>
      </w:pPr>
      <w:r w:rsidRPr="006D0DF5">
        <w:rPr>
          <w:rFonts w:cstheme="minorHAnsi"/>
          <w:sz w:val="24"/>
          <w:szCs w:val="24"/>
        </w:rPr>
        <w:t>The Massachusetts Education Reform Act of 1993 ushered in an era largely focused on developing and refining a comprehensive</w:t>
      </w:r>
      <w:r w:rsidR="004079C6" w:rsidRPr="006D0DF5">
        <w:rPr>
          <w:rFonts w:cstheme="minorHAnsi"/>
          <w:sz w:val="24"/>
          <w:szCs w:val="24"/>
        </w:rPr>
        <w:t xml:space="preserve"> </w:t>
      </w:r>
      <w:r w:rsidRPr="006D0DF5">
        <w:rPr>
          <w:rFonts w:cstheme="minorHAnsi"/>
          <w:sz w:val="24"/>
          <w:szCs w:val="24"/>
        </w:rPr>
        <w:t xml:space="preserve">system of standards, assessment and accountability.  </w:t>
      </w:r>
      <w:r w:rsidR="001558F2" w:rsidRPr="006D0DF5">
        <w:rPr>
          <w:rFonts w:cstheme="minorHAnsi"/>
          <w:sz w:val="24"/>
          <w:szCs w:val="24"/>
        </w:rPr>
        <w:t>With a goal to achieve</w:t>
      </w:r>
      <w:r w:rsidR="00A6028C" w:rsidRPr="006D0DF5">
        <w:rPr>
          <w:rFonts w:cstheme="minorHAnsi"/>
          <w:sz w:val="24"/>
          <w:szCs w:val="24"/>
        </w:rPr>
        <w:t xml:space="preserve"> equity for all learners, w</w:t>
      </w:r>
      <w:r w:rsidRPr="006D0DF5">
        <w:rPr>
          <w:rFonts w:cstheme="minorHAnsi"/>
          <w:sz w:val="24"/>
          <w:szCs w:val="24"/>
        </w:rPr>
        <w:t xml:space="preserve">e established clear </w:t>
      </w:r>
      <w:r w:rsidR="00096CCC" w:rsidRPr="006D0DF5">
        <w:rPr>
          <w:rFonts w:cstheme="minorHAnsi"/>
          <w:sz w:val="24"/>
          <w:szCs w:val="24"/>
        </w:rPr>
        <w:t xml:space="preserve">and rigorous </w:t>
      </w:r>
      <w:r w:rsidRPr="006D0DF5">
        <w:rPr>
          <w:rFonts w:cstheme="minorHAnsi"/>
          <w:sz w:val="24"/>
          <w:szCs w:val="24"/>
        </w:rPr>
        <w:t xml:space="preserve">expectations for what our students should know and be able to do, assessments to demonstrate how students perform against these standards, and a scorecard to evaluate school and district performance.  </w:t>
      </w:r>
      <w:r w:rsidR="00A41908" w:rsidRPr="006D0DF5">
        <w:rPr>
          <w:rFonts w:cstheme="minorHAnsi"/>
          <w:sz w:val="24"/>
          <w:szCs w:val="24"/>
        </w:rPr>
        <w:t>This system got everyone rowing in the same direction and helped our state surge to first place on various measures.</w:t>
      </w:r>
      <w:r w:rsidRPr="006D0DF5">
        <w:rPr>
          <w:rFonts w:cstheme="minorHAnsi"/>
          <w:sz w:val="24"/>
          <w:szCs w:val="24"/>
        </w:rPr>
        <w:t xml:space="preserve">  Over the past 25 years, we have increased our graduation rates; consistently earned top scores on the federal gold standard assessment, the National Assessment of Educational Progress (NAEP); and achieved results comparable to top nations around the world on the Program for International Student Assessment (PISA).</w:t>
      </w:r>
    </w:p>
    <w:p w14:paraId="2E03152E" w14:textId="77777777" w:rsidR="00282925" w:rsidRPr="006D0DF5" w:rsidRDefault="00282925" w:rsidP="00C76C30">
      <w:pPr>
        <w:spacing w:after="0" w:line="276" w:lineRule="auto"/>
        <w:rPr>
          <w:rFonts w:cstheme="minorHAnsi"/>
          <w:sz w:val="24"/>
          <w:szCs w:val="24"/>
        </w:rPr>
      </w:pPr>
    </w:p>
    <w:p w14:paraId="475047F3" w14:textId="0A2E9921" w:rsidR="006059B0" w:rsidRPr="006D0DF5" w:rsidRDefault="00282925" w:rsidP="00C76C30">
      <w:pPr>
        <w:spacing w:after="0" w:line="276" w:lineRule="auto"/>
        <w:rPr>
          <w:rFonts w:cstheme="minorHAnsi"/>
          <w:i/>
          <w:color w:val="FF0000"/>
          <w:sz w:val="24"/>
          <w:szCs w:val="24"/>
        </w:rPr>
      </w:pPr>
      <w:r w:rsidRPr="006D0DF5">
        <w:rPr>
          <w:rFonts w:cstheme="minorHAnsi"/>
          <w:sz w:val="24"/>
          <w:szCs w:val="24"/>
        </w:rPr>
        <w:t xml:space="preserve">While we are rightfully proud of our “first in the nation” status on many educational measures, our </w:t>
      </w:r>
      <w:r w:rsidR="00D242A7" w:rsidRPr="006D0DF5">
        <w:rPr>
          <w:rFonts w:cstheme="minorHAnsi"/>
          <w:sz w:val="24"/>
          <w:szCs w:val="24"/>
        </w:rPr>
        <w:t xml:space="preserve">NAEP </w:t>
      </w:r>
      <w:r w:rsidRPr="006D0DF5">
        <w:rPr>
          <w:rFonts w:cstheme="minorHAnsi"/>
          <w:sz w:val="24"/>
          <w:szCs w:val="24"/>
        </w:rPr>
        <w:t xml:space="preserve">scores have stagnated for years and, in some cases, even declined.  Other states are catching up to us.  More troubling </w:t>
      </w:r>
      <w:r w:rsidR="006A4494" w:rsidRPr="006D0DF5">
        <w:rPr>
          <w:rFonts w:cstheme="minorHAnsi"/>
          <w:sz w:val="24"/>
          <w:szCs w:val="24"/>
        </w:rPr>
        <w:t xml:space="preserve">is the fact </w:t>
      </w:r>
      <w:r w:rsidR="00FC2857">
        <w:rPr>
          <w:rFonts w:cstheme="minorHAnsi"/>
          <w:sz w:val="24"/>
          <w:szCs w:val="24"/>
        </w:rPr>
        <w:t xml:space="preserve">that </w:t>
      </w:r>
      <w:r w:rsidR="00C92990" w:rsidRPr="006D0DF5">
        <w:rPr>
          <w:rFonts w:cstheme="minorHAnsi"/>
          <w:sz w:val="24"/>
          <w:szCs w:val="24"/>
        </w:rPr>
        <w:t>a</w:t>
      </w:r>
      <w:r w:rsidRPr="006D0DF5">
        <w:rPr>
          <w:rFonts w:cstheme="minorHAnsi"/>
          <w:sz w:val="24"/>
          <w:szCs w:val="24"/>
        </w:rPr>
        <w:t>cross virtually all metric</w:t>
      </w:r>
      <w:r w:rsidR="00D242A7" w:rsidRPr="006D0DF5">
        <w:rPr>
          <w:rFonts w:cstheme="minorHAnsi"/>
          <w:sz w:val="24"/>
          <w:szCs w:val="24"/>
        </w:rPr>
        <w:t xml:space="preserve">s, </w:t>
      </w:r>
      <w:r w:rsidRPr="006D0DF5">
        <w:rPr>
          <w:rFonts w:cstheme="minorHAnsi"/>
          <w:sz w:val="24"/>
          <w:szCs w:val="24"/>
        </w:rPr>
        <w:t>large achievement gaps persist for our students of color, English learners</w:t>
      </w:r>
      <w:r w:rsidR="00D238E8" w:rsidRPr="006D0DF5">
        <w:rPr>
          <w:rFonts w:cstheme="minorHAnsi"/>
          <w:sz w:val="24"/>
          <w:szCs w:val="24"/>
        </w:rPr>
        <w:t>,</w:t>
      </w:r>
      <w:r w:rsidRPr="006D0DF5">
        <w:rPr>
          <w:rFonts w:cstheme="minorHAnsi"/>
          <w:sz w:val="24"/>
          <w:szCs w:val="24"/>
        </w:rPr>
        <w:t xml:space="preserve"> and students with disabilities</w:t>
      </w:r>
      <w:r w:rsidRPr="006D0DF5">
        <w:rPr>
          <w:rFonts w:cstheme="minorHAnsi"/>
          <w:i/>
          <w:sz w:val="24"/>
          <w:szCs w:val="24"/>
        </w:rPr>
        <w:t>.</w:t>
      </w:r>
      <w:r w:rsidR="00CA20E0" w:rsidRPr="006D0DF5">
        <w:rPr>
          <w:rFonts w:cstheme="minorHAnsi"/>
          <w:i/>
          <w:sz w:val="24"/>
          <w:szCs w:val="24"/>
        </w:rPr>
        <w:t xml:space="preserve">  </w:t>
      </w:r>
      <w:r w:rsidR="00CA20E0" w:rsidRPr="006D0DF5">
        <w:rPr>
          <w:rFonts w:cstheme="minorHAnsi"/>
          <w:sz w:val="24"/>
          <w:szCs w:val="24"/>
        </w:rPr>
        <w:t xml:space="preserve">A recent report – </w:t>
      </w:r>
      <w:hyperlink r:id="rId14" w:history="1">
        <w:r w:rsidR="00CA20E0" w:rsidRPr="006D0DF5">
          <w:rPr>
            <w:rStyle w:val="Hyperlink"/>
            <w:rFonts w:cstheme="minorHAnsi"/>
            <w:i/>
            <w:sz w:val="24"/>
            <w:szCs w:val="24"/>
          </w:rPr>
          <w:t>#1 For Some</w:t>
        </w:r>
      </w:hyperlink>
      <w:r w:rsidR="00CA20E0" w:rsidRPr="006D0DF5">
        <w:rPr>
          <w:rFonts w:cstheme="minorHAnsi"/>
          <w:sz w:val="24"/>
          <w:szCs w:val="24"/>
        </w:rPr>
        <w:t xml:space="preserve"> – highlights these disparities, </w:t>
      </w:r>
      <w:r w:rsidR="00FC44DE" w:rsidRPr="006D0DF5">
        <w:rPr>
          <w:rFonts w:cstheme="minorHAnsi"/>
          <w:sz w:val="24"/>
          <w:szCs w:val="24"/>
        </w:rPr>
        <w:t xml:space="preserve">many of </w:t>
      </w:r>
      <w:r w:rsidR="00CA20E0" w:rsidRPr="006D0DF5">
        <w:rPr>
          <w:rFonts w:cstheme="minorHAnsi"/>
          <w:sz w:val="24"/>
          <w:szCs w:val="24"/>
        </w:rPr>
        <w:t>which are stark.</w:t>
      </w:r>
      <w:r w:rsidR="00F157E7" w:rsidRPr="006D0DF5">
        <w:rPr>
          <w:rStyle w:val="FootnoteReference"/>
          <w:rFonts w:cstheme="minorHAnsi"/>
          <w:sz w:val="24"/>
          <w:szCs w:val="24"/>
        </w:rPr>
        <w:footnoteReference w:id="1"/>
      </w:r>
      <w:r w:rsidR="00CA20E0" w:rsidRPr="006D0DF5">
        <w:rPr>
          <w:rFonts w:cstheme="minorHAnsi"/>
          <w:sz w:val="24"/>
          <w:szCs w:val="24"/>
        </w:rPr>
        <w:t xml:space="preserve">  </w:t>
      </w:r>
      <w:r w:rsidR="00FC44DE" w:rsidRPr="006D0DF5">
        <w:rPr>
          <w:rFonts w:cstheme="minorHAnsi"/>
          <w:sz w:val="24"/>
          <w:szCs w:val="24"/>
        </w:rPr>
        <w:t>For instance, while Massachusetts rank</w:t>
      </w:r>
      <w:r w:rsidR="001F3A8B">
        <w:rPr>
          <w:rFonts w:cstheme="minorHAnsi"/>
          <w:sz w:val="24"/>
          <w:szCs w:val="24"/>
        </w:rPr>
        <w:t>ed</w:t>
      </w:r>
      <w:r w:rsidR="00FC44DE" w:rsidRPr="006D0DF5">
        <w:rPr>
          <w:rFonts w:cstheme="minorHAnsi"/>
          <w:sz w:val="24"/>
          <w:szCs w:val="24"/>
        </w:rPr>
        <w:t xml:space="preserve"> 8</w:t>
      </w:r>
      <w:r w:rsidR="00FC44DE" w:rsidRPr="006D0DF5">
        <w:rPr>
          <w:rFonts w:cstheme="minorHAnsi"/>
          <w:sz w:val="24"/>
          <w:szCs w:val="24"/>
          <w:vertAlign w:val="superscript"/>
        </w:rPr>
        <w:t>th</w:t>
      </w:r>
      <w:r w:rsidR="00FC44DE" w:rsidRPr="006D0DF5">
        <w:rPr>
          <w:rFonts w:cstheme="minorHAnsi"/>
          <w:sz w:val="24"/>
          <w:szCs w:val="24"/>
        </w:rPr>
        <w:t xml:space="preserve"> in the country</w:t>
      </w:r>
      <w:r w:rsidR="001F3A8B">
        <w:rPr>
          <w:rFonts w:cstheme="minorHAnsi"/>
          <w:sz w:val="24"/>
          <w:szCs w:val="24"/>
        </w:rPr>
        <w:t xml:space="preserve"> in 2016</w:t>
      </w:r>
      <w:r w:rsidR="00FC44DE" w:rsidRPr="006D0DF5">
        <w:rPr>
          <w:rFonts w:cstheme="minorHAnsi"/>
          <w:sz w:val="24"/>
          <w:szCs w:val="24"/>
        </w:rPr>
        <w:t xml:space="preserve"> </w:t>
      </w:r>
      <w:r w:rsidR="006D16A4" w:rsidRPr="006D0DF5">
        <w:rPr>
          <w:rFonts w:cstheme="minorHAnsi"/>
          <w:sz w:val="24"/>
          <w:szCs w:val="24"/>
        </w:rPr>
        <w:t>for our four-year graduation rate for</w:t>
      </w:r>
      <w:r w:rsidR="00FC44DE" w:rsidRPr="006D0DF5">
        <w:rPr>
          <w:rFonts w:cstheme="minorHAnsi"/>
          <w:sz w:val="24"/>
          <w:szCs w:val="24"/>
        </w:rPr>
        <w:t xml:space="preserve"> white students, we rank</w:t>
      </w:r>
      <w:r w:rsidR="001F3A8B">
        <w:rPr>
          <w:rFonts w:cstheme="minorHAnsi"/>
          <w:sz w:val="24"/>
          <w:szCs w:val="24"/>
        </w:rPr>
        <w:t>ed</w:t>
      </w:r>
      <w:r w:rsidR="00FC44DE" w:rsidRPr="006D0DF5">
        <w:rPr>
          <w:rFonts w:cstheme="minorHAnsi"/>
          <w:sz w:val="24"/>
          <w:szCs w:val="24"/>
        </w:rPr>
        <w:t xml:space="preserve"> 43</w:t>
      </w:r>
      <w:r w:rsidR="00FC44DE" w:rsidRPr="006D0DF5">
        <w:rPr>
          <w:rFonts w:cstheme="minorHAnsi"/>
          <w:sz w:val="24"/>
          <w:szCs w:val="24"/>
          <w:vertAlign w:val="superscript"/>
        </w:rPr>
        <w:t>rd</w:t>
      </w:r>
      <w:r w:rsidR="00FC44DE" w:rsidRPr="006D0DF5">
        <w:rPr>
          <w:rFonts w:cstheme="minorHAnsi"/>
          <w:sz w:val="24"/>
          <w:szCs w:val="24"/>
        </w:rPr>
        <w:t xml:space="preserve"> for Latin</w:t>
      </w:r>
      <w:r w:rsidR="00AC0B8C" w:rsidRPr="006D0DF5">
        <w:rPr>
          <w:rFonts w:cstheme="minorHAnsi"/>
          <w:sz w:val="24"/>
          <w:szCs w:val="24"/>
        </w:rPr>
        <w:t>x</w:t>
      </w:r>
      <w:r w:rsidR="00FC44DE" w:rsidRPr="006D0DF5">
        <w:rPr>
          <w:rFonts w:cstheme="minorHAnsi"/>
          <w:sz w:val="24"/>
          <w:szCs w:val="24"/>
        </w:rPr>
        <w:t xml:space="preserve"> </w:t>
      </w:r>
      <w:r w:rsidR="00633C18" w:rsidRPr="006D0DF5">
        <w:rPr>
          <w:rFonts w:cstheme="minorHAnsi"/>
          <w:sz w:val="24"/>
          <w:szCs w:val="24"/>
        </w:rPr>
        <w:t>and 19</w:t>
      </w:r>
      <w:r w:rsidR="00633C18" w:rsidRPr="006D0DF5">
        <w:rPr>
          <w:rFonts w:cstheme="minorHAnsi"/>
          <w:sz w:val="24"/>
          <w:szCs w:val="24"/>
          <w:vertAlign w:val="superscript"/>
        </w:rPr>
        <w:t>th</w:t>
      </w:r>
      <w:r w:rsidR="00633C18" w:rsidRPr="006D0DF5">
        <w:rPr>
          <w:rFonts w:cstheme="minorHAnsi"/>
          <w:sz w:val="24"/>
          <w:szCs w:val="24"/>
        </w:rPr>
        <w:t xml:space="preserve"> for black students. </w:t>
      </w:r>
      <w:r w:rsidR="00FC44DE" w:rsidRPr="006D0DF5">
        <w:rPr>
          <w:rFonts w:cstheme="minorHAnsi"/>
          <w:sz w:val="24"/>
          <w:szCs w:val="24"/>
        </w:rPr>
        <w:t xml:space="preserve">On the 2017 NAEP </w:t>
      </w:r>
      <w:r w:rsidR="00C92990" w:rsidRPr="006D0DF5">
        <w:rPr>
          <w:rFonts w:cstheme="minorHAnsi"/>
          <w:sz w:val="24"/>
          <w:szCs w:val="24"/>
        </w:rPr>
        <w:t>8</w:t>
      </w:r>
      <w:r w:rsidR="00C92990" w:rsidRPr="006D0DF5">
        <w:rPr>
          <w:rFonts w:cstheme="minorHAnsi"/>
          <w:sz w:val="24"/>
          <w:szCs w:val="24"/>
          <w:vertAlign w:val="superscript"/>
        </w:rPr>
        <w:t>th</w:t>
      </w:r>
      <w:r w:rsidR="00C92990" w:rsidRPr="006D0DF5">
        <w:rPr>
          <w:rFonts w:cstheme="minorHAnsi"/>
          <w:sz w:val="24"/>
          <w:szCs w:val="24"/>
        </w:rPr>
        <w:t xml:space="preserve"> grade </w:t>
      </w:r>
      <w:r w:rsidR="00FC44DE" w:rsidRPr="006D0DF5">
        <w:rPr>
          <w:rFonts w:cstheme="minorHAnsi"/>
          <w:sz w:val="24"/>
          <w:szCs w:val="24"/>
        </w:rPr>
        <w:t xml:space="preserve">mathematics exam, </w:t>
      </w:r>
      <w:r w:rsidR="003F1CD9">
        <w:rPr>
          <w:rFonts w:cstheme="minorHAnsi"/>
          <w:sz w:val="24"/>
          <w:szCs w:val="24"/>
        </w:rPr>
        <w:t>28% of</w:t>
      </w:r>
      <w:r w:rsidR="00FC44DE" w:rsidRPr="006D0DF5">
        <w:rPr>
          <w:rFonts w:cstheme="minorHAnsi"/>
          <w:sz w:val="24"/>
          <w:szCs w:val="24"/>
        </w:rPr>
        <w:t xml:space="preserve"> low-income students</w:t>
      </w:r>
      <w:r w:rsidR="003F1CD9">
        <w:rPr>
          <w:rFonts w:cstheme="minorHAnsi"/>
          <w:sz w:val="24"/>
          <w:szCs w:val="24"/>
        </w:rPr>
        <w:t xml:space="preserve"> </w:t>
      </w:r>
      <w:r w:rsidR="002D532F">
        <w:rPr>
          <w:rFonts w:cstheme="minorHAnsi"/>
          <w:sz w:val="24"/>
          <w:szCs w:val="24"/>
        </w:rPr>
        <w:t>scored</w:t>
      </w:r>
      <w:r w:rsidR="003F1CD9">
        <w:rPr>
          <w:rFonts w:cstheme="minorHAnsi"/>
          <w:sz w:val="24"/>
          <w:szCs w:val="24"/>
        </w:rPr>
        <w:t xml:space="preserve"> proficient or advanced </w:t>
      </w:r>
      <w:r w:rsidR="00FC44DE" w:rsidRPr="006D0DF5">
        <w:rPr>
          <w:rFonts w:cstheme="minorHAnsi"/>
          <w:sz w:val="24"/>
          <w:szCs w:val="24"/>
        </w:rPr>
        <w:t xml:space="preserve">compared to 58% </w:t>
      </w:r>
      <w:r w:rsidR="003F1CD9">
        <w:rPr>
          <w:rFonts w:cstheme="minorHAnsi"/>
          <w:sz w:val="24"/>
          <w:szCs w:val="24"/>
        </w:rPr>
        <w:t>of</w:t>
      </w:r>
      <w:r w:rsidR="00FC44DE" w:rsidRPr="006D0DF5">
        <w:rPr>
          <w:rFonts w:cstheme="minorHAnsi"/>
          <w:sz w:val="24"/>
          <w:szCs w:val="24"/>
        </w:rPr>
        <w:t xml:space="preserve"> their higher</w:t>
      </w:r>
      <w:r w:rsidR="00633C18" w:rsidRPr="006D0DF5">
        <w:rPr>
          <w:rFonts w:cstheme="minorHAnsi"/>
          <w:sz w:val="24"/>
          <w:szCs w:val="24"/>
        </w:rPr>
        <w:t>-</w:t>
      </w:r>
      <w:r w:rsidR="00FC44DE" w:rsidRPr="006D0DF5">
        <w:rPr>
          <w:rFonts w:cstheme="minorHAnsi"/>
          <w:sz w:val="24"/>
          <w:szCs w:val="24"/>
        </w:rPr>
        <w:t xml:space="preserve">income peers, 9% </w:t>
      </w:r>
      <w:r w:rsidR="003F1CD9">
        <w:rPr>
          <w:rFonts w:cstheme="minorHAnsi"/>
          <w:sz w:val="24"/>
          <w:szCs w:val="24"/>
        </w:rPr>
        <w:t>of</w:t>
      </w:r>
      <w:r w:rsidR="00FC44DE" w:rsidRPr="006D0DF5">
        <w:rPr>
          <w:rFonts w:cstheme="minorHAnsi"/>
          <w:sz w:val="24"/>
          <w:szCs w:val="24"/>
        </w:rPr>
        <w:t xml:space="preserve"> English learners</w:t>
      </w:r>
      <w:r w:rsidR="00633C18" w:rsidRPr="006D0DF5">
        <w:rPr>
          <w:rFonts w:cstheme="minorHAnsi"/>
          <w:sz w:val="24"/>
          <w:szCs w:val="24"/>
        </w:rPr>
        <w:t xml:space="preserve"> (ELs)</w:t>
      </w:r>
      <w:r w:rsidR="00FC44DE" w:rsidRPr="006D0DF5">
        <w:rPr>
          <w:rFonts w:cstheme="minorHAnsi"/>
          <w:sz w:val="24"/>
          <w:szCs w:val="24"/>
        </w:rPr>
        <w:t xml:space="preserve"> </w:t>
      </w:r>
      <w:r w:rsidR="002D532F">
        <w:rPr>
          <w:rFonts w:cstheme="minorHAnsi"/>
          <w:sz w:val="24"/>
          <w:szCs w:val="24"/>
        </w:rPr>
        <w:t xml:space="preserve">scored at these levels </w:t>
      </w:r>
      <w:r w:rsidR="00FC44DE" w:rsidRPr="006D0DF5">
        <w:rPr>
          <w:rFonts w:cstheme="minorHAnsi"/>
          <w:sz w:val="24"/>
          <w:szCs w:val="24"/>
        </w:rPr>
        <w:t xml:space="preserve">compared </w:t>
      </w:r>
      <w:r w:rsidR="004319F9" w:rsidRPr="006D0DF5">
        <w:rPr>
          <w:rFonts w:cstheme="minorHAnsi"/>
          <w:sz w:val="24"/>
          <w:szCs w:val="24"/>
        </w:rPr>
        <w:t xml:space="preserve">to </w:t>
      </w:r>
      <w:r w:rsidR="00FC44DE" w:rsidRPr="006D0DF5">
        <w:rPr>
          <w:rFonts w:cstheme="minorHAnsi"/>
          <w:sz w:val="24"/>
          <w:szCs w:val="24"/>
        </w:rPr>
        <w:t xml:space="preserve">52% </w:t>
      </w:r>
      <w:r w:rsidR="003F1CD9">
        <w:rPr>
          <w:rFonts w:cstheme="minorHAnsi"/>
          <w:sz w:val="24"/>
          <w:szCs w:val="24"/>
        </w:rPr>
        <w:t>of</w:t>
      </w:r>
      <w:r w:rsidR="00FC44DE" w:rsidRPr="006D0DF5">
        <w:rPr>
          <w:rFonts w:cstheme="minorHAnsi"/>
          <w:sz w:val="24"/>
          <w:szCs w:val="24"/>
        </w:rPr>
        <w:t xml:space="preserve"> non-E</w:t>
      </w:r>
      <w:r w:rsidR="00633C18" w:rsidRPr="006D0DF5">
        <w:rPr>
          <w:rFonts w:cstheme="minorHAnsi"/>
          <w:sz w:val="24"/>
          <w:szCs w:val="24"/>
        </w:rPr>
        <w:t>L</w:t>
      </w:r>
      <w:r w:rsidR="00FC44DE" w:rsidRPr="006D0DF5">
        <w:rPr>
          <w:rFonts w:cstheme="minorHAnsi"/>
          <w:sz w:val="24"/>
          <w:szCs w:val="24"/>
        </w:rPr>
        <w:t>s, and 1</w:t>
      </w:r>
      <w:r w:rsidR="00633C18" w:rsidRPr="006D0DF5">
        <w:rPr>
          <w:rFonts w:cstheme="minorHAnsi"/>
          <w:sz w:val="24"/>
          <w:szCs w:val="24"/>
        </w:rPr>
        <w:t>6</w:t>
      </w:r>
      <w:r w:rsidR="00FC44DE" w:rsidRPr="006D0DF5">
        <w:rPr>
          <w:rFonts w:cstheme="minorHAnsi"/>
          <w:sz w:val="24"/>
          <w:szCs w:val="24"/>
        </w:rPr>
        <w:t xml:space="preserve">% </w:t>
      </w:r>
      <w:r w:rsidR="003F1CD9">
        <w:rPr>
          <w:rFonts w:cstheme="minorHAnsi"/>
          <w:sz w:val="24"/>
          <w:szCs w:val="24"/>
        </w:rPr>
        <w:t>of</w:t>
      </w:r>
      <w:r w:rsidR="00FC44DE" w:rsidRPr="006D0DF5">
        <w:rPr>
          <w:rFonts w:cstheme="minorHAnsi"/>
          <w:sz w:val="24"/>
          <w:szCs w:val="24"/>
        </w:rPr>
        <w:t xml:space="preserve"> students with </w:t>
      </w:r>
      <w:r w:rsidR="00633C18" w:rsidRPr="006D0DF5">
        <w:rPr>
          <w:rFonts w:cstheme="minorHAnsi"/>
          <w:sz w:val="24"/>
          <w:szCs w:val="24"/>
        </w:rPr>
        <w:t>disabilities</w:t>
      </w:r>
      <w:r w:rsidR="003F1CD9">
        <w:rPr>
          <w:rFonts w:cstheme="minorHAnsi"/>
          <w:sz w:val="24"/>
          <w:szCs w:val="24"/>
        </w:rPr>
        <w:t xml:space="preserve"> were proficient or advanced</w:t>
      </w:r>
      <w:r w:rsidR="00FC44DE" w:rsidRPr="006D0DF5">
        <w:rPr>
          <w:rFonts w:cstheme="minorHAnsi"/>
          <w:sz w:val="24"/>
          <w:szCs w:val="24"/>
        </w:rPr>
        <w:t xml:space="preserve"> vs. 57% </w:t>
      </w:r>
      <w:r w:rsidR="003F1CD9">
        <w:rPr>
          <w:rFonts w:cstheme="minorHAnsi"/>
          <w:sz w:val="24"/>
          <w:szCs w:val="24"/>
        </w:rPr>
        <w:t>of</w:t>
      </w:r>
      <w:r w:rsidR="00FC44DE" w:rsidRPr="006D0DF5">
        <w:rPr>
          <w:rFonts w:cstheme="minorHAnsi"/>
          <w:sz w:val="24"/>
          <w:szCs w:val="24"/>
        </w:rPr>
        <w:t xml:space="preserve"> students without disabilities. </w:t>
      </w:r>
      <w:r w:rsidR="00633C18" w:rsidRPr="006D0DF5">
        <w:rPr>
          <w:rFonts w:cstheme="minorHAnsi"/>
          <w:sz w:val="24"/>
          <w:szCs w:val="24"/>
        </w:rPr>
        <w:t xml:space="preserve"> </w:t>
      </w:r>
      <w:r w:rsidR="00AC0B8C" w:rsidRPr="006D0DF5">
        <w:rPr>
          <w:rFonts w:cstheme="minorHAnsi"/>
          <w:sz w:val="24"/>
          <w:szCs w:val="24"/>
        </w:rPr>
        <w:t>The report</w:t>
      </w:r>
      <w:r w:rsidR="00633C18" w:rsidRPr="006D0DF5">
        <w:rPr>
          <w:rFonts w:cstheme="minorHAnsi"/>
          <w:sz w:val="24"/>
          <w:szCs w:val="24"/>
        </w:rPr>
        <w:t xml:space="preserve"> also </w:t>
      </w:r>
      <w:r w:rsidR="00AC0B8C" w:rsidRPr="006D0DF5">
        <w:rPr>
          <w:rFonts w:cstheme="minorHAnsi"/>
          <w:sz w:val="24"/>
          <w:szCs w:val="24"/>
        </w:rPr>
        <w:t>reveals</w:t>
      </w:r>
      <w:r w:rsidR="00633C18" w:rsidRPr="006D0DF5">
        <w:rPr>
          <w:rFonts w:cstheme="minorHAnsi"/>
          <w:sz w:val="24"/>
          <w:szCs w:val="24"/>
        </w:rPr>
        <w:t xml:space="preserve"> </w:t>
      </w:r>
      <w:r w:rsidR="004319F9" w:rsidRPr="006D0DF5">
        <w:rPr>
          <w:rFonts w:cstheme="minorHAnsi"/>
          <w:sz w:val="24"/>
          <w:szCs w:val="24"/>
        </w:rPr>
        <w:t xml:space="preserve">gaps in </w:t>
      </w:r>
      <w:r w:rsidR="006059B0" w:rsidRPr="006D0DF5">
        <w:rPr>
          <w:rFonts w:cstheme="minorHAnsi"/>
          <w:sz w:val="24"/>
          <w:szCs w:val="24"/>
        </w:rPr>
        <w:t>access to</w:t>
      </w:r>
      <w:r w:rsidR="00633C18" w:rsidRPr="006D0DF5">
        <w:rPr>
          <w:rFonts w:cstheme="minorHAnsi"/>
          <w:sz w:val="24"/>
          <w:szCs w:val="24"/>
        </w:rPr>
        <w:t xml:space="preserve"> opportuni</w:t>
      </w:r>
      <w:r w:rsidR="006059B0" w:rsidRPr="006D0DF5">
        <w:rPr>
          <w:rFonts w:cstheme="minorHAnsi"/>
          <w:sz w:val="24"/>
          <w:szCs w:val="24"/>
        </w:rPr>
        <w:t>ties</w:t>
      </w:r>
      <w:r w:rsidR="004319F9" w:rsidRPr="006D0DF5">
        <w:rPr>
          <w:rFonts w:cstheme="minorHAnsi"/>
          <w:sz w:val="24"/>
          <w:szCs w:val="24"/>
        </w:rPr>
        <w:t>, such as early childhood education programs,</w:t>
      </w:r>
      <w:r w:rsidR="006059B0" w:rsidRPr="006D0DF5">
        <w:rPr>
          <w:rFonts w:cstheme="minorHAnsi"/>
          <w:sz w:val="24"/>
          <w:szCs w:val="24"/>
        </w:rPr>
        <w:t xml:space="preserve"> that could support our most vulnerable students</w:t>
      </w:r>
      <w:r w:rsidR="004F1C3A" w:rsidRPr="006D0DF5">
        <w:rPr>
          <w:rFonts w:cstheme="minorHAnsi"/>
          <w:sz w:val="24"/>
          <w:szCs w:val="24"/>
        </w:rPr>
        <w:t>.</w:t>
      </w:r>
    </w:p>
    <w:p w14:paraId="6DE4FEA1" w14:textId="77777777" w:rsidR="006059B0" w:rsidRPr="006D0DF5" w:rsidRDefault="006059B0" w:rsidP="00C76C30">
      <w:pPr>
        <w:spacing w:after="0" w:line="276" w:lineRule="auto"/>
        <w:rPr>
          <w:rFonts w:cstheme="minorHAnsi"/>
          <w:sz w:val="24"/>
          <w:szCs w:val="24"/>
        </w:rPr>
      </w:pPr>
    </w:p>
    <w:p w14:paraId="05096007" w14:textId="42CA0457" w:rsidR="00282925" w:rsidRDefault="00282925" w:rsidP="00C76C30">
      <w:pPr>
        <w:spacing w:after="0" w:line="276" w:lineRule="auto"/>
        <w:rPr>
          <w:rFonts w:cstheme="minorHAnsi"/>
          <w:sz w:val="24"/>
          <w:szCs w:val="24"/>
        </w:rPr>
      </w:pPr>
      <w:r w:rsidRPr="006D0DF5">
        <w:rPr>
          <w:rFonts w:cstheme="minorHAnsi"/>
          <w:sz w:val="24"/>
          <w:szCs w:val="24"/>
        </w:rPr>
        <w:t xml:space="preserve">At the same time, we are preparing students for a world </w:t>
      </w:r>
      <w:r w:rsidR="00A41908" w:rsidRPr="006D0DF5">
        <w:rPr>
          <w:rFonts w:cstheme="minorHAnsi"/>
          <w:sz w:val="24"/>
          <w:szCs w:val="24"/>
        </w:rPr>
        <w:t>that is changing</w:t>
      </w:r>
      <w:r w:rsidRPr="006D0DF5">
        <w:rPr>
          <w:rFonts w:cstheme="minorHAnsi"/>
          <w:sz w:val="24"/>
          <w:szCs w:val="24"/>
        </w:rPr>
        <w:t xml:space="preserve"> at an accelerating rate.  </w:t>
      </w:r>
      <w:r w:rsidR="00A41908" w:rsidRPr="006D0DF5">
        <w:rPr>
          <w:rFonts w:cstheme="minorHAnsi"/>
          <w:sz w:val="24"/>
          <w:szCs w:val="24"/>
        </w:rPr>
        <w:t>Our graduates will</w:t>
      </w:r>
      <w:r w:rsidRPr="006D0DF5">
        <w:rPr>
          <w:rFonts w:cstheme="minorHAnsi"/>
          <w:sz w:val="24"/>
          <w:szCs w:val="24"/>
        </w:rPr>
        <w:t xml:space="preserve"> </w:t>
      </w:r>
      <w:r w:rsidR="00A41908" w:rsidRPr="006D0DF5">
        <w:rPr>
          <w:rFonts w:cstheme="minorHAnsi"/>
          <w:sz w:val="24"/>
          <w:szCs w:val="24"/>
        </w:rPr>
        <w:t>switch</w:t>
      </w:r>
      <w:r w:rsidRPr="006D0DF5">
        <w:rPr>
          <w:rFonts w:cstheme="minorHAnsi"/>
          <w:sz w:val="24"/>
          <w:szCs w:val="24"/>
        </w:rPr>
        <w:t xml:space="preserve"> jobs – and even careers – frequently throughout their lives, and many of those jobs have yet</w:t>
      </w:r>
      <w:r w:rsidR="00DC6580" w:rsidRPr="006D0DF5">
        <w:rPr>
          <w:rFonts w:cstheme="minorHAnsi"/>
          <w:sz w:val="24"/>
          <w:szCs w:val="24"/>
        </w:rPr>
        <w:t xml:space="preserve"> to</w:t>
      </w:r>
      <w:r w:rsidRPr="006D0DF5">
        <w:rPr>
          <w:rFonts w:cstheme="minorHAnsi"/>
          <w:sz w:val="24"/>
          <w:szCs w:val="24"/>
        </w:rPr>
        <w:t xml:space="preserve"> b</w:t>
      </w:r>
      <w:r w:rsidR="00DC6580" w:rsidRPr="006D0DF5">
        <w:rPr>
          <w:rFonts w:cstheme="minorHAnsi"/>
          <w:sz w:val="24"/>
          <w:szCs w:val="24"/>
        </w:rPr>
        <w:t>e</w:t>
      </w:r>
      <w:r w:rsidRPr="006D0DF5">
        <w:rPr>
          <w:rFonts w:cstheme="minorHAnsi"/>
          <w:sz w:val="24"/>
          <w:szCs w:val="24"/>
        </w:rPr>
        <w:t xml:space="preserve"> invented.  The goal of education is no longer simply </w:t>
      </w:r>
      <w:r w:rsidR="00320078" w:rsidRPr="006D0DF5">
        <w:rPr>
          <w:rFonts w:cstheme="minorHAnsi"/>
          <w:sz w:val="24"/>
          <w:szCs w:val="24"/>
        </w:rPr>
        <w:t xml:space="preserve">to </w:t>
      </w:r>
      <w:r w:rsidRPr="006D0DF5">
        <w:rPr>
          <w:rFonts w:cstheme="minorHAnsi"/>
          <w:sz w:val="24"/>
          <w:szCs w:val="24"/>
        </w:rPr>
        <w:t xml:space="preserve">possess knowledge; instead, leveraging ever-smarter technology, students must learn to access knowledge, </w:t>
      </w:r>
      <w:r w:rsidR="004F1C3A" w:rsidRPr="006D0DF5">
        <w:rPr>
          <w:rFonts w:cstheme="minorHAnsi"/>
          <w:sz w:val="24"/>
          <w:szCs w:val="24"/>
        </w:rPr>
        <w:t xml:space="preserve">mine it for </w:t>
      </w:r>
      <w:r w:rsidRPr="006D0DF5">
        <w:rPr>
          <w:rFonts w:cstheme="minorHAnsi"/>
          <w:sz w:val="24"/>
          <w:szCs w:val="24"/>
        </w:rPr>
        <w:t xml:space="preserve">relevance, and apply it in new ways.  Employers are increasingly valuing skills and dispositions, which can be challenging to measure, on par with content expertise.  And with soaring tuitions and an uncertain return on investment from the traditional college </w:t>
      </w:r>
      <w:r w:rsidRPr="006D0DF5">
        <w:rPr>
          <w:rFonts w:cstheme="minorHAnsi"/>
          <w:sz w:val="24"/>
          <w:szCs w:val="24"/>
        </w:rPr>
        <w:lastRenderedPageBreak/>
        <w:t>experience, students need additional options for pathways and credentials that bridge K-12, higher education</w:t>
      </w:r>
      <w:r w:rsidR="004F1C3A" w:rsidRPr="006D0DF5">
        <w:rPr>
          <w:rFonts w:cstheme="minorHAnsi"/>
          <w:sz w:val="24"/>
          <w:szCs w:val="24"/>
        </w:rPr>
        <w:t>,</w:t>
      </w:r>
      <w:r w:rsidRPr="006D0DF5">
        <w:rPr>
          <w:rFonts w:cstheme="minorHAnsi"/>
          <w:sz w:val="24"/>
          <w:szCs w:val="24"/>
        </w:rPr>
        <w:t xml:space="preserve"> and employment.</w:t>
      </w:r>
    </w:p>
    <w:p w14:paraId="008969CD" w14:textId="77777777" w:rsidR="002124BA" w:rsidRPr="006D0DF5" w:rsidRDefault="002124BA" w:rsidP="00C76C30">
      <w:pPr>
        <w:spacing w:after="0" w:line="276" w:lineRule="auto"/>
        <w:rPr>
          <w:rFonts w:cstheme="minorHAnsi"/>
          <w:sz w:val="24"/>
          <w:szCs w:val="24"/>
        </w:rPr>
      </w:pPr>
    </w:p>
    <w:p w14:paraId="53B591A2" w14:textId="5DDC75AB" w:rsidR="00282925" w:rsidRDefault="00282925" w:rsidP="00C76C30">
      <w:pPr>
        <w:spacing w:after="0" w:line="276" w:lineRule="auto"/>
        <w:rPr>
          <w:rFonts w:cstheme="minorHAnsi"/>
          <w:sz w:val="24"/>
          <w:szCs w:val="24"/>
        </w:rPr>
      </w:pPr>
      <w:r w:rsidRPr="006D0DF5">
        <w:rPr>
          <w:rFonts w:cstheme="minorHAnsi"/>
          <w:sz w:val="24"/>
          <w:szCs w:val="24"/>
        </w:rPr>
        <w:t xml:space="preserve">Within this dynamic context, as a field we are stalled.  </w:t>
      </w:r>
      <w:r w:rsidR="00D242A7" w:rsidRPr="006D0DF5">
        <w:rPr>
          <w:rFonts w:cstheme="minorHAnsi"/>
          <w:sz w:val="24"/>
          <w:szCs w:val="24"/>
        </w:rPr>
        <w:t xml:space="preserve">Not </w:t>
      </w:r>
      <w:r w:rsidRPr="006D0DF5">
        <w:rPr>
          <w:rFonts w:cstheme="minorHAnsi"/>
          <w:sz w:val="24"/>
          <w:szCs w:val="24"/>
        </w:rPr>
        <w:t xml:space="preserve">only is student achievement stagnant, but we are at loggerheads on a vision for the future.  We see dissatisfaction with the status quo </w:t>
      </w:r>
      <w:r w:rsidR="002124BA">
        <w:rPr>
          <w:rFonts w:cstheme="minorHAnsi"/>
          <w:sz w:val="24"/>
          <w:szCs w:val="24"/>
        </w:rPr>
        <w:t xml:space="preserve">and </w:t>
      </w:r>
      <w:r w:rsidRPr="006D0DF5">
        <w:rPr>
          <w:rFonts w:cstheme="minorHAnsi"/>
          <w:sz w:val="24"/>
          <w:szCs w:val="24"/>
        </w:rPr>
        <w:t xml:space="preserve">we have not </w:t>
      </w:r>
      <w:r w:rsidR="00DC6580" w:rsidRPr="006D0DF5">
        <w:rPr>
          <w:rFonts w:cstheme="minorHAnsi"/>
          <w:sz w:val="24"/>
          <w:szCs w:val="24"/>
        </w:rPr>
        <w:t xml:space="preserve">yet </w:t>
      </w:r>
      <w:r w:rsidRPr="006D0DF5">
        <w:rPr>
          <w:rFonts w:cstheme="minorHAnsi"/>
          <w:sz w:val="24"/>
          <w:szCs w:val="24"/>
        </w:rPr>
        <w:t xml:space="preserve">achieved consensus on how to move forward in a substantive way.  Moreover, through our vigorous disagreements on strategy, we have </w:t>
      </w:r>
      <w:r w:rsidR="00F82723" w:rsidRPr="006D0DF5">
        <w:rPr>
          <w:rFonts w:cstheme="minorHAnsi"/>
          <w:sz w:val="24"/>
          <w:szCs w:val="24"/>
        </w:rPr>
        <w:t xml:space="preserve">fractured </w:t>
      </w:r>
      <w:r w:rsidRPr="006D0DF5">
        <w:rPr>
          <w:rFonts w:cstheme="minorHAnsi"/>
          <w:sz w:val="24"/>
          <w:szCs w:val="24"/>
        </w:rPr>
        <w:t>our bonds as an educational community.</w:t>
      </w:r>
    </w:p>
    <w:p w14:paraId="48A1B712" w14:textId="77777777" w:rsidR="00C76C30" w:rsidRPr="006D0DF5" w:rsidRDefault="00C76C30" w:rsidP="00C76C30">
      <w:pPr>
        <w:spacing w:after="0" w:line="276" w:lineRule="auto"/>
        <w:rPr>
          <w:rFonts w:cstheme="minorHAnsi"/>
          <w:sz w:val="24"/>
          <w:szCs w:val="24"/>
        </w:rPr>
      </w:pPr>
    </w:p>
    <w:p w14:paraId="77A0CA51" w14:textId="62DA3A0C" w:rsidR="00F82723" w:rsidRPr="006D0DF5" w:rsidRDefault="00D242A7" w:rsidP="00C76C30">
      <w:pPr>
        <w:spacing w:after="0" w:line="276" w:lineRule="auto"/>
        <w:rPr>
          <w:rFonts w:cstheme="minorHAnsi"/>
          <w:sz w:val="24"/>
          <w:szCs w:val="24"/>
        </w:rPr>
      </w:pPr>
      <w:r w:rsidRPr="006D0DF5">
        <w:rPr>
          <w:rFonts w:cstheme="minorHAnsi"/>
          <w:sz w:val="24"/>
          <w:szCs w:val="24"/>
        </w:rPr>
        <w:t>However, a</w:t>
      </w:r>
      <w:r w:rsidR="00F82723" w:rsidRPr="006D0DF5">
        <w:rPr>
          <w:rFonts w:cstheme="minorHAnsi"/>
          <w:sz w:val="24"/>
          <w:szCs w:val="24"/>
        </w:rPr>
        <w:t xml:space="preserve">s </w:t>
      </w:r>
      <w:r w:rsidRPr="006D0DF5">
        <w:rPr>
          <w:rFonts w:cstheme="minorHAnsi"/>
          <w:sz w:val="24"/>
          <w:szCs w:val="24"/>
        </w:rPr>
        <w:t>educators</w:t>
      </w:r>
      <w:r w:rsidR="00F82723" w:rsidRPr="006D0DF5">
        <w:rPr>
          <w:rFonts w:cstheme="minorHAnsi"/>
          <w:sz w:val="24"/>
          <w:szCs w:val="24"/>
        </w:rPr>
        <w:t>, parents and students, non-profits and partners that support schools</w:t>
      </w:r>
      <w:r w:rsidRPr="006D0DF5">
        <w:rPr>
          <w:rFonts w:cstheme="minorHAnsi"/>
          <w:sz w:val="24"/>
          <w:szCs w:val="24"/>
        </w:rPr>
        <w:t xml:space="preserve">, </w:t>
      </w:r>
      <w:r w:rsidR="00F82723" w:rsidRPr="006D0DF5">
        <w:rPr>
          <w:rFonts w:cstheme="minorHAnsi"/>
          <w:sz w:val="24"/>
          <w:szCs w:val="24"/>
        </w:rPr>
        <w:t xml:space="preserve">we know </w:t>
      </w:r>
      <w:r w:rsidR="004D3885" w:rsidRPr="006D0DF5">
        <w:rPr>
          <w:rFonts w:cstheme="minorHAnsi"/>
          <w:sz w:val="24"/>
          <w:szCs w:val="24"/>
        </w:rPr>
        <w:t>what our</w:t>
      </w:r>
      <w:r w:rsidR="00F82723" w:rsidRPr="006D0DF5">
        <w:rPr>
          <w:rFonts w:cstheme="minorHAnsi"/>
          <w:sz w:val="24"/>
          <w:szCs w:val="24"/>
        </w:rPr>
        <w:t xml:space="preserve"> students</w:t>
      </w:r>
      <w:r w:rsidR="004D3885" w:rsidRPr="006D0DF5">
        <w:rPr>
          <w:rFonts w:cstheme="minorHAnsi"/>
          <w:sz w:val="24"/>
          <w:szCs w:val="24"/>
        </w:rPr>
        <w:t xml:space="preserve"> </w:t>
      </w:r>
      <w:proofErr w:type="gramStart"/>
      <w:r w:rsidR="004D3885" w:rsidRPr="006D0DF5">
        <w:rPr>
          <w:rFonts w:cstheme="minorHAnsi"/>
          <w:sz w:val="24"/>
          <w:szCs w:val="24"/>
        </w:rPr>
        <w:t>need</w:t>
      </w:r>
      <w:proofErr w:type="gramEnd"/>
      <w:r w:rsidR="00F82723" w:rsidRPr="006D0DF5">
        <w:rPr>
          <w:rFonts w:cstheme="minorHAnsi"/>
          <w:sz w:val="24"/>
          <w:szCs w:val="24"/>
        </w:rPr>
        <w:t xml:space="preserve"> and we know the ways </w:t>
      </w:r>
      <w:r w:rsidR="007257AC" w:rsidRPr="006D0DF5">
        <w:rPr>
          <w:rFonts w:cstheme="minorHAnsi"/>
          <w:sz w:val="24"/>
          <w:szCs w:val="24"/>
        </w:rPr>
        <w:t>the current</w:t>
      </w:r>
      <w:r w:rsidR="00F82723" w:rsidRPr="006D0DF5">
        <w:rPr>
          <w:rFonts w:cstheme="minorHAnsi"/>
          <w:sz w:val="24"/>
          <w:szCs w:val="24"/>
        </w:rPr>
        <w:t xml:space="preserve"> systems enable and impede our efforts to support them.  Unlike in 1993, we should not expect a</w:t>
      </w:r>
      <w:r w:rsidR="004D3885" w:rsidRPr="006D0DF5">
        <w:rPr>
          <w:rFonts w:cstheme="minorHAnsi"/>
          <w:sz w:val="24"/>
          <w:szCs w:val="24"/>
        </w:rPr>
        <w:t>n outside</w:t>
      </w:r>
      <w:r w:rsidR="00F82723" w:rsidRPr="006D0DF5">
        <w:rPr>
          <w:rFonts w:cstheme="minorHAnsi"/>
          <w:sz w:val="24"/>
          <w:szCs w:val="24"/>
        </w:rPr>
        <w:t xml:space="preserve"> “grand bargain” to </w:t>
      </w:r>
      <w:r w:rsidR="004D3885" w:rsidRPr="006D0DF5">
        <w:rPr>
          <w:rFonts w:cstheme="minorHAnsi"/>
          <w:sz w:val="24"/>
          <w:szCs w:val="24"/>
        </w:rPr>
        <w:t>point the way</w:t>
      </w:r>
      <w:r w:rsidR="00F82723" w:rsidRPr="006D0DF5">
        <w:rPr>
          <w:rFonts w:cstheme="minorHAnsi"/>
          <w:sz w:val="24"/>
          <w:szCs w:val="24"/>
        </w:rPr>
        <w:t>.  Instead, we must be our own advocates</w:t>
      </w:r>
      <w:r w:rsidR="008029DF" w:rsidRPr="006D0DF5">
        <w:rPr>
          <w:rFonts w:cstheme="minorHAnsi"/>
          <w:sz w:val="24"/>
          <w:szCs w:val="24"/>
        </w:rPr>
        <w:t>: W</w:t>
      </w:r>
      <w:r w:rsidR="00F82723" w:rsidRPr="006D0DF5">
        <w:rPr>
          <w:rFonts w:cstheme="minorHAnsi"/>
          <w:sz w:val="24"/>
          <w:szCs w:val="24"/>
        </w:rPr>
        <w:t>e must come together and state clear</w:t>
      </w:r>
      <w:r w:rsidR="008029DF" w:rsidRPr="006D0DF5">
        <w:rPr>
          <w:rFonts w:cstheme="minorHAnsi"/>
          <w:sz w:val="24"/>
          <w:szCs w:val="24"/>
        </w:rPr>
        <w:t>ly</w:t>
      </w:r>
      <w:r w:rsidR="00F82723" w:rsidRPr="006D0DF5">
        <w:rPr>
          <w:rFonts w:cstheme="minorHAnsi"/>
          <w:sz w:val="24"/>
          <w:szCs w:val="24"/>
        </w:rPr>
        <w:t xml:space="preserve"> what it will take for all </w:t>
      </w:r>
      <w:proofErr w:type="gramStart"/>
      <w:r w:rsidR="00F82723" w:rsidRPr="006D0DF5">
        <w:rPr>
          <w:rFonts w:cstheme="minorHAnsi"/>
          <w:sz w:val="24"/>
          <w:szCs w:val="24"/>
        </w:rPr>
        <w:t>public school</w:t>
      </w:r>
      <w:proofErr w:type="gramEnd"/>
      <w:r w:rsidR="00F82723" w:rsidRPr="006D0DF5">
        <w:rPr>
          <w:rFonts w:cstheme="minorHAnsi"/>
          <w:sz w:val="24"/>
          <w:szCs w:val="24"/>
        </w:rPr>
        <w:t xml:space="preserve"> children to </w:t>
      </w:r>
      <w:r w:rsidR="00320078" w:rsidRPr="006D0DF5">
        <w:rPr>
          <w:rFonts w:cstheme="minorHAnsi"/>
          <w:sz w:val="24"/>
          <w:szCs w:val="24"/>
        </w:rPr>
        <w:t xml:space="preserve">be well prepared for the future and </w:t>
      </w:r>
      <w:r w:rsidR="00F82723" w:rsidRPr="006D0DF5">
        <w:rPr>
          <w:rFonts w:cstheme="minorHAnsi"/>
          <w:sz w:val="24"/>
          <w:szCs w:val="24"/>
        </w:rPr>
        <w:t>achieve their</w:t>
      </w:r>
      <w:r w:rsidR="004D3885" w:rsidRPr="006D0DF5">
        <w:rPr>
          <w:rFonts w:cstheme="minorHAnsi"/>
          <w:sz w:val="24"/>
          <w:szCs w:val="24"/>
        </w:rPr>
        <w:t xml:space="preserve"> </w:t>
      </w:r>
      <w:r w:rsidR="00F82723" w:rsidRPr="006D0DF5">
        <w:rPr>
          <w:rFonts w:cstheme="minorHAnsi"/>
          <w:sz w:val="24"/>
          <w:szCs w:val="24"/>
        </w:rPr>
        <w:t>aspirations.</w:t>
      </w:r>
    </w:p>
    <w:p w14:paraId="6E7E76CA" w14:textId="77777777" w:rsidR="006059B0" w:rsidRPr="006D0DF5" w:rsidRDefault="006059B0" w:rsidP="00C76C30">
      <w:pPr>
        <w:spacing w:after="0" w:line="276" w:lineRule="auto"/>
        <w:rPr>
          <w:rFonts w:cstheme="minorHAnsi"/>
          <w:sz w:val="24"/>
          <w:szCs w:val="24"/>
        </w:rPr>
      </w:pPr>
    </w:p>
    <w:p w14:paraId="04A01CD8" w14:textId="7EF8FFE2" w:rsidR="00282925" w:rsidRPr="00605F35" w:rsidRDefault="00282925" w:rsidP="007B5F26">
      <w:pPr>
        <w:pStyle w:val="Heading2"/>
      </w:pPr>
      <w:r w:rsidRPr="00605F35">
        <w:t xml:space="preserve">Our Way Forward: </w:t>
      </w:r>
      <w:r w:rsidR="00A94895" w:rsidRPr="00605F35">
        <w:t>Four</w:t>
      </w:r>
      <w:r w:rsidRPr="00605F35">
        <w:t xml:space="preserve"> Themes</w:t>
      </w:r>
    </w:p>
    <w:p w14:paraId="317D72D8" w14:textId="77777777" w:rsidR="00C76C30" w:rsidRPr="00C76C30" w:rsidRDefault="00C76C30" w:rsidP="00C76C30">
      <w:pPr>
        <w:spacing w:after="0" w:line="276" w:lineRule="auto"/>
        <w:rPr>
          <w:rFonts w:cstheme="minorHAnsi"/>
          <w:b/>
          <w:color w:val="2F5496" w:themeColor="accent1" w:themeShade="BF"/>
          <w:sz w:val="25"/>
          <w:szCs w:val="25"/>
          <w:u w:val="single"/>
        </w:rPr>
      </w:pPr>
    </w:p>
    <w:p w14:paraId="0D7F4EE2" w14:textId="66805431" w:rsidR="00130489" w:rsidRPr="006D0DF5" w:rsidRDefault="00282925" w:rsidP="00C76C30">
      <w:pPr>
        <w:spacing w:after="0" w:line="276" w:lineRule="auto"/>
        <w:rPr>
          <w:rFonts w:cstheme="minorHAnsi"/>
          <w:sz w:val="24"/>
          <w:szCs w:val="24"/>
        </w:rPr>
      </w:pPr>
      <w:r w:rsidRPr="006D0DF5">
        <w:rPr>
          <w:rFonts w:cstheme="minorHAnsi"/>
          <w:sz w:val="24"/>
          <w:szCs w:val="24"/>
        </w:rPr>
        <w:t xml:space="preserve">As the </w:t>
      </w:r>
      <w:r w:rsidR="00F82723" w:rsidRPr="006D0DF5">
        <w:rPr>
          <w:rFonts w:cstheme="minorHAnsi"/>
          <w:sz w:val="24"/>
          <w:szCs w:val="24"/>
        </w:rPr>
        <w:t>newly appointed</w:t>
      </w:r>
      <w:r w:rsidRPr="006D0DF5">
        <w:rPr>
          <w:rFonts w:cstheme="minorHAnsi"/>
          <w:sz w:val="24"/>
          <w:szCs w:val="24"/>
        </w:rPr>
        <w:t xml:space="preserve"> Commissioner, I spent the past year on a listening and learning</w:t>
      </w:r>
      <w:r w:rsidR="008029DF" w:rsidRPr="006D0DF5">
        <w:rPr>
          <w:rFonts w:cstheme="minorHAnsi"/>
          <w:sz w:val="24"/>
          <w:szCs w:val="24"/>
        </w:rPr>
        <w:t xml:space="preserve"> campaign</w:t>
      </w:r>
      <w:r w:rsidRPr="006D0DF5">
        <w:rPr>
          <w:rFonts w:cstheme="minorHAnsi"/>
          <w:sz w:val="24"/>
          <w:szCs w:val="24"/>
        </w:rPr>
        <w:t xml:space="preserve"> </w:t>
      </w:r>
      <w:r w:rsidR="004D3885" w:rsidRPr="006D0DF5">
        <w:rPr>
          <w:rFonts w:cstheme="minorHAnsi"/>
          <w:sz w:val="24"/>
          <w:szCs w:val="24"/>
        </w:rPr>
        <w:t>in search of</w:t>
      </w:r>
      <w:r w:rsidR="009976AD" w:rsidRPr="006D0DF5">
        <w:rPr>
          <w:rFonts w:cstheme="minorHAnsi"/>
          <w:sz w:val="24"/>
          <w:szCs w:val="24"/>
        </w:rPr>
        <w:t xml:space="preserve"> </w:t>
      </w:r>
      <w:r w:rsidRPr="006D0DF5">
        <w:rPr>
          <w:rFonts w:cstheme="minorHAnsi"/>
          <w:sz w:val="24"/>
          <w:szCs w:val="24"/>
        </w:rPr>
        <w:t xml:space="preserve">common </w:t>
      </w:r>
      <w:r w:rsidR="008029DF" w:rsidRPr="006D0DF5">
        <w:rPr>
          <w:rFonts w:cstheme="minorHAnsi"/>
          <w:sz w:val="24"/>
          <w:szCs w:val="24"/>
        </w:rPr>
        <w:t>themes</w:t>
      </w:r>
      <w:r w:rsidRPr="006D0DF5">
        <w:rPr>
          <w:rFonts w:cstheme="minorHAnsi"/>
          <w:sz w:val="24"/>
          <w:szCs w:val="24"/>
        </w:rPr>
        <w:t xml:space="preserve"> for a new</w:t>
      </w:r>
      <w:r w:rsidR="008029DF" w:rsidRPr="006D0DF5">
        <w:rPr>
          <w:rFonts w:cstheme="minorHAnsi"/>
          <w:sz w:val="24"/>
          <w:szCs w:val="24"/>
        </w:rPr>
        <w:t xml:space="preserve"> K-12 education</w:t>
      </w:r>
      <w:r w:rsidRPr="006D0DF5">
        <w:rPr>
          <w:rFonts w:cstheme="minorHAnsi"/>
          <w:sz w:val="24"/>
          <w:szCs w:val="24"/>
        </w:rPr>
        <w:t xml:space="preserve"> platform.  I participated in over 100 school visits</w:t>
      </w:r>
      <w:r w:rsidR="009976AD" w:rsidRPr="006D0DF5">
        <w:rPr>
          <w:rFonts w:cstheme="minorHAnsi"/>
          <w:sz w:val="24"/>
          <w:szCs w:val="24"/>
        </w:rPr>
        <w:t xml:space="preserve"> across rural, </w:t>
      </w:r>
      <w:r w:rsidR="006243AE" w:rsidRPr="006D0DF5">
        <w:rPr>
          <w:rFonts w:cstheme="minorHAnsi"/>
          <w:sz w:val="24"/>
          <w:szCs w:val="24"/>
        </w:rPr>
        <w:t xml:space="preserve">urban, and </w:t>
      </w:r>
      <w:r w:rsidR="009976AD" w:rsidRPr="006D0DF5">
        <w:rPr>
          <w:rFonts w:cstheme="minorHAnsi"/>
          <w:sz w:val="24"/>
          <w:szCs w:val="24"/>
        </w:rPr>
        <w:t>suburban communities.  I observed</w:t>
      </w:r>
      <w:r w:rsidRPr="006D0DF5">
        <w:rPr>
          <w:rFonts w:cstheme="minorHAnsi"/>
          <w:sz w:val="24"/>
          <w:szCs w:val="24"/>
        </w:rPr>
        <w:t xml:space="preserve"> classroom instruction</w:t>
      </w:r>
      <w:r w:rsidR="00130489" w:rsidRPr="006D0DF5">
        <w:rPr>
          <w:rFonts w:cstheme="minorHAnsi"/>
          <w:sz w:val="24"/>
          <w:szCs w:val="24"/>
        </w:rPr>
        <w:t xml:space="preserve"> and spoke to students about their experiences in school</w:t>
      </w:r>
      <w:r w:rsidRPr="006D0DF5">
        <w:rPr>
          <w:rFonts w:cstheme="minorHAnsi"/>
          <w:sz w:val="24"/>
          <w:szCs w:val="24"/>
        </w:rPr>
        <w:t>.  I heard from educators</w:t>
      </w:r>
      <w:r w:rsidR="00130489" w:rsidRPr="006D0DF5">
        <w:rPr>
          <w:rFonts w:cstheme="minorHAnsi"/>
          <w:sz w:val="24"/>
          <w:szCs w:val="24"/>
        </w:rPr>
        <w:t xml:space="preserve">, school </w:t>
      </w:r>
      <w:r w:rsidRPr="006D0DF5">
        <w:rPr>
          <w:rFonts w:cstheme="minorHAnsi"/>
          <w:sz w:val="24"/>
          <w:szCs w:val="24"/>
        </w:rPr>
        <w:t>leaders</w:t>
      </w:r>
      <w:r w:rsidR="00130489" w:rsidRPr="006D0DF5">
        <w:rPr>
          <w:rFonts w:cstheme="minorHAnsi"/>
          <w:sz w:val="24"/>
          <w:szCs w:val="24"/>
        </w:rPr>
        <w:t>, and superintendents</w:t>
      </w:r>
      <w:r w:rsidRPr="006D0DF5">
        <w:rPr>
          <w:rFonts w:cstheme="minorHAnsi"/>
          <w:sz w:val="24"/>
          <w:szCs w:val="24"/>
        </w:rPr>
        <w:t xml:space="preserve"> about their pain points, </w:t>
      </w:r>
      <w:r w:rsidR="00130489" w:rsidRPr="006D0DF5">
        <w:rPr>
          <w:rFonts w:cstheme="minorHAnsi"/>
          <w:sz w:val="24"/>
          <w:szCs w:val="24"/>
        </w:rPr>
        <w:t>and their hopes for their students.</w:t>
      </w:r>
      <w:r w:rsidRPr="006D0DF5">
        <w:rPr>
          <w:rFonts w:cstheme="minorHAnsi"/>
          <w:sz w:val="24"/>
          <w:szCs w:val="24"/>
        </w:rPr>
        <w:t xml:space="preserve">  </w:t>
      </w:r>
      <w:r w:rsidR="00130489" w:rsidRPr="006D0DF5">
        <w:rPr>
          <w:rFonts w:cstheme="minorHAnsi"/>
          <w:sz w:val="24"/>
          <w:szCs w:val="24"/>
        </w:rPr>
        <w:t xml:space="preserve">I met with families, community members, legislators, the business community, </w:t>
      </w:r>
      <w:r w:rsidR="009976AD" w:rsidRPr="006D0DF5">
        <w:rPr>
          <w:rFonts w:cstheme="minorHAnsi"/>
          <w:sz w:val="24"/>
          <w:szCs w:val="24"/>
        </w:rPr>
        <w:t>teachers’ unions, foundations, and non-profit partners to gather</w:t>
      </w:r>
      <w:r w:rsidR="00A41908" w:rsidRPr="006D0DF5">
        <w:rPr>
          <w:rFonts w:cstheme="minorHAnsi"/>
          <w:sz w:val="24"/>
          <w:szCs w:val="24"/>
        </w:rPr>
        <w:t xml:space="preserve"> their ideas for improving</w:t>
      </w:r>
      <w:r w:rsidR="009976AD" w:rsidRPr="006D0DF5">
        <w:rPr>
          <w:rFonts w:cstheme="minorHAnsi"/>
          <w:sz w:val="24"/>
          <w:szCs w:val="24"/>
        </w:rPr>
        <w:t xml:space="preserve"> K-12 public education.  And I engaged </w:t>
      </w:r>
      <w:r w:rsidR="00130489" w:rsidRPr="006D0DF5">
        <w:rPr>
          <w:rFonts w:cstheme="minorHAnsi"/>
          <w:sz w:val="24"/>
          <w:szCs w:val="24"/>
        </w:rPr>
        <w:t xml:space="preserve">the </w:t>
      </w:r>
      <w:r w:rsidR="009976AD" w:rsidRPr="006D0DF5">
        <w:rPr>
          <w:rFonts w:cstheme="minorHAnsi"/>
          <w:sz w:val="24"/>
          <w:szCs w:val="24"/>
        </w:rPr>
        <w:t>associations</w:t>
      </w:r>
      <w:r w:rsidR="00130489" w:rsidRPr="006D0DF5">
        <w:rPr>
          <w:rFonts w:cstheme="minorHAnsi"/>
          <w:sz w:val="24"/>
          <w:szCs w:val="24"/>
        </w:rPr>
        <w:t xml:space="preserve"> for </w:t>
      </w:r>
      <w:r w:rsidR="009976AD" w:rsidRPr="006D0DF5">
        <w:rPr>
          <w:rFonts w:cstheme="minorHAnsi"/>
          <w:sz w:val="24"/>
          <w:szCs w:val="24"/>
        </w:rPr>
        <w:t>superintendents</w:t>
      </w:r>
      <w:r w:rsidR="00130489" w:rsidRPr="006D0DF5">
        <w:rPr>
          <w:rFonts w:cstheme="minorHAnsi"/>
          <w:sz w:val="24"/>
          <w:szCs w:val="24"/>
        </w:rPr>
        <w:t xml:space="preserve">, school </w:t>
      </w:r>
      <w:r w:rsidR="009976AD" w:rsidRPr="006D0DF5">
        <w:rPr>
          <w:rFonts w:cstheme="minorHAnsi"/>
          <w:sz w:val="24"/>
          <w:szCs w:val="24"/>
        </w:rPr>
        <w:t>committees</w:t>
      </w:r>
      <w:r w:rsidR="00130489" w:rsidRPr="006D0DF5">
        <w:rPr>
          <w:rFonts w:cstheme="minorHAnsi"/>
          <w:sz w:val="24"/>
          <w:szCs w:val="24"/>
        </w:rPr>
        <w:t xml:space="preserve">, </w:t>
      </w:r>
      <w:r w:rsidR="00A41908" w:rsidRPr="006D0DF5">
        <w:rPr>
          <w:rFonts w:cstheme="minorHAnsi"/>
          <w:sz w:val="24"/>
          <w:szCs w:val="24"/>
        </w:rPr>
        <w:t xml:space="preserve">principals, </w:t>
      </w:r>
      <w:r w:rsidR="00130489" w:rsidRPr="006D0DF5">
        <w:rPr>
          <w:rFonts w:cstheme="minorHAnsi"/>
          <w:sz w:val="24"/>
          <w:szCs w:val="24"/>
        </w:rPr>
        <w:t xml:space="preserve">charter </w:t>
      </w:r>
      <w:r w:rsidR="009976AD" w:rsidRPr="006D0DF5">
        <w:rPr>
          <w:rFonts w:cstheme="minorHAnsi"/>
          <w:sz w:val="24"/>
          <w:szCs w:val="24"/>
        </w:rPr>
        <w:t xml:space="preserve">schools, </w:t>
      </w:r>
      <w:r w:rsidR="00130489" w:rsidRPr="006D0DF5">
        <w:rPr>
          <w:rFonts w:cstheme="minorHAnsi"/>
          <w:sz w:val="24"/>
          <w:szCs w:val="24"/>
        </w:rPr>
        <w:t xml:space="preserve">and </w:t>
      </w:r>
      <w:r w:rsidR="009976AD" w:rsidRPr="006D0DF5">
        <w:rPr>
          <w:rFonts w:cstheme="minorHAnsi"/>
          <w:sz w:val="24"/>
          <w:szCs w:val="24"/>
        </w:rPr>
        <w:t>vocational</w:t>
      </w:r>
      <w:r w:rsidR="00130489" w:rsidRPr="006D0DF5">
        <w:rPr>
          <w:rFonts w:cstheme="minorHAnsi"/>
          <w:sz w:val="24"/>
          <w:szCs w:val="24"/>
        </w:rPr>
        <w:t xml:space="preserve"> schools</w:t>
      </w:r>
      <w:r w:rsidR="009976AD" w:rsidRPr="006D0DF5">
        <w:rPr>
          <w:rFonts w:cstheme="minorHAnsi"/>
          <w:sz w:val="24"/>
          <w:szCs w:val="24"/>
        </w:rPr>
        <w:t xml:space="preserve"> in regular meetings throughout the year</w:t>
      </w:r>
      <w:r w:rsidR="00130489" w:rsidRPr="006D0DF5">
        <w:rPr>
          <w:rFonts w:cstheme="minorHAnsi"/>
          <w:sz w:val="24"/>
          <w:szCs w:val="24"/>
        </w:rPr>
        <w:t>.</w:t>
      </w:r>
    </w:p>
    <w:p w14:paraId="4A566E09" w14:textId="77777777" w:rsidR="00C76C30" w:rsidRDefault="00C76C30" w:rsidP="00C76C30">
      <w:pPr>
        <w:spacing w:after="0" w:line="276" w:lineRule="auto"/>
        <w:rPr>
          <w:rFonts w:cstheme="minorHAnsi"/>
          <w:sz w:val="24"/>
          <w:szCs w:val="24"/>
        </w:rPr>
      </w:pPr>
    </w:p>
    <w:p w14:paraId="6801E15B" w14:textId="6EFDEA21" w:rsidR="009976AD" w:rsidRDefault="00130489" w:rsidP="00C76C30">
      <w:pPr>
        <w:spacing w:after="0" w:line="276" w:lineRule="auto"/>
        <w:rPr>
          <w:rFonts w:cstheme="minorHAnsi"/>
          <w:sz w:val="24"/>
          <w:szCs w:val="24"/>
        </w:rPr>
      </w:pPr>
      <w:r w:rsidRPr="006D0DF5">
        <w:rPr>
          <w:rFonts w:cstheme="minorHAnsi"/>
          <w:sz w:val="24"/>
          <w:szCs w:val="24"/>
        </w:rPr>
        <w:t xml:space="preserve">At the same time, I observed and assessed the functioning of the Department of Elementary &amp; Secondary Education (DESE).  </w:t>
      </w:r>
      <w:r w:rsidR="009976AD" w:rsidRPr="006D0DF5">
        <w:rPr>
          <w:rFonts w:cstheme="minorHAnsi"/>
          <w:sz w:val="24"/>
          <w:szCs w:val="24"/>
        </w:rPr>
        <w:t xml:space="preserve">I </w:t>
      </w:r>
      <w:r w:rsidR="00320078" w:rsidRPr="006D0DF5">
        <w:rPr>
          <w:rFonts w:cstheme="minorHAnsi"/>
          <w:sz w:val="24"/>
          <w:szCs w:val="24"/>
        </w:rPr>
        <w:t xml:space="preserve">fostered </w:t>
      </w:r>
      <w:r w:rsidR="009976AD" w:rsidRPr="006D0DF5">
        <w:rPr>
          <w:rFonts w:cstheme="minorHAnsi"/>
          <w:sz w:val="24"/>
          <w:szCs w:val="24"/>
        </w:rPr>
        <w:t xml:space="preserve">initiatives already in the pipeline, such as new curriculum frameworks and updates to the accountability system, and worked with the Governor’s office, </w:t>
      </w:r>
      <w:r w:rsidR="00320078" w:rsidRPr="006D0DF5">
        <w:rPr>
          <w:rFonts w:cstheme="minorHAnsi"/>
          <w:sz w:val="24"/>
          <w:szCs w:val="24"/>
        </w:rPr>
        <w:t>L</w:t>
      </w:r>
      <w:r w:rsidR="009976AD" w:rsidRPr="006D0DF5">
        <w:rPr>
          <w:rFonts w:cstheme="minorHAnsi"/>
          <w:sz w:val="24"/>
          <w:szCs w:val="24"/>
        </w:rPr>
        <w:t>egislature</w:t>
      </w:r>
      <w:r w:rsidR="0088305F" w:rsidRPr="006D0DF5">
        <w:rPr>
          <w:rFonts w:cstheme="minorHAnsi"/>
          <w:sz w:val="24"/>
          <w:szCs w:val="24"/>
        </w:rPr>
        <w:t>,</w:t>
      </w:r>
      <w:r w:rsidR="009976AD" w:rsidRPr="006D0DF5">
        <w:rPr>
          <w:rFonts w:cstheme="minorHAnsi"/>
          <w:sz w:val="24"/>
          <w:szCs w:val="24"/>
        </w:rPr>
        <w:t xml:space="preserve"> and others to promote the Foundation Budget Review Commission’s recommendations to</w:t>
      </w:r>
      <w:r w:rsidR="00A228FC">
        <w:rPr>
          <w:rFonts w:cstheme="minorHAnsi"/>
          <w:sz w:val="24"/>
          <w:szCs w:val="24"/>
        </w:rPr>
        <w:t xml:space="preserve"> sufficiently</w:t>
      </w:r>
      <w:r w:rsidR="009976AD" w:rsidRPr="006D0DF5">
        <w:rPr>
          <w:rFonts w:cstheme="minorHAnsi"/>
          <w:sz w:val="24"/>
          <w:szCs w:val="24"/>
        </w:rPr>
        <w:t xml:space="preserve"> fund our schools.</w:t>
      </w:r>
      <w:r w:rsidR="00BC343D" w:rsidRPr="006D0DF5">
        <w:rPr>
          <w:rFonts w:cstheme="minorHAnsi"/>
          <w:sz w:val="24"/>
          <w:szCs w:val="24"/>
        </w:rPr>
        <w:t xml:space="preserve">  </w:t>
      </w:r>
      <w:r w:rsidR="00A41908" w:rsidRPr="006D0DF5">
        <w:rPr>
          <w:rFonts w:cstheme="minorHAnsi"/>
          <w:sz w:val="24"/>
          <w:szCs w:val="24"/>
        </w:rPr>
        <w:t xml:space="preserve">I continue to assert that this is the right time for the Legislature to </w:t>
      </w:r>
      <w:proofErr w:type="gramStart"/>
      <w:r w:rsidR="00A41908" w:rsidRPr="006D0DF5">
        <w:rPr>
          <w:rFonts w:cstheme="minorHAnsi"/>
          <w:sz w:val="24"/>
          <w:szCs w:val="24"/>
        </w:rPr>
        <w:t>take action</w:t>
      </w:r>
      <w:proofErr w:type="gramEnd"/>
      <w:r w:rsidR="00A41908" w:rsidRPr="006D0DF5">
        <w:rPr>
          <w:rFonts w:cstheme="minorHAnsi"/>
          <w:sz w:val="24"/>
          <w:szCs w:val="24"/>
        </w:rPr>
        <w:t xml:space="preserve"> on school finance reform to accelerate learning for all students, especially those most in need of support</w:t>
      </w:r>
      <w:r w:rsidR="00451411" w:rsidRPr="006D0DF5">
        <w:rPr>
          <w:rFonts w:cstheme="minorHAnsi"/>
          <w:sz w:val="24"/>
          <w:szCs w:val="24"/>
        </w:rPr>
        <w:t>.</w:t>
      </w:r>
    </w:p>
    <w:p w14:paraId="539F1629" w14:textId="77777777" w:rsidR="00C76C30" w:rsidRPr="006D0DF5" w:rsidRDefault="00C76C30" w:rsidP="00C76C30">
      <w:pPr>
        <w:spacing w:after="0" w:line="276" w:lineRule="auto"/>
        <w:rPr>
          <w:rFonts w:cstheme="minorHAnsi"/>
          <w:sz w:val="24"/>
          <w:szCs w:val="24"/>
        </w:rPr>
      </w:pPr>
    </w:p>
    <w:p w14:paraId="2B2F552C" w14:textId="274AB774" w:rsidR="00282925" w:rsidRDefault="004B217E" w:rsidP="00C76C30">
      <w:pPr>
        <w:spacing w:after="0" w:line="276" w:lineRule="auto"/>
        <w:rPr>
          <w:rFonts w:cstheme="minorHAnsi"/>
          <w:sz w:val="24"/>
          <w:szCs w:val="24"/>
        </w:rPr>
      </w:pPr>
      <w:r w:rsidRPr="006D0DF5">
        <w:rPr>
          <w:rFonts w:cstheme="minorHAnsi"/>
          <w:sz w:val="24"/>
          <w:szCs w:val="24"/>
        </w:rPr>
        <w:t>In March 2019</w:t>
      </w:r>
      <w:r w:rsidR="009976AD" w:rsidRPr="006D0DF5">
        <w:rPr>
          <w:rFonts w:cstheme="minorHAnsi"/>
          <w:sz w:val="24"/>
          <w:szCs w:val="24"/>
        </w:rPr>
        <w:t xml:space="preserve">, I convened a statewide education conference, </w:t>
      </w:r>
      <w:r w:rsidR="009976AD" w:rsidRPr="006D0DF5">
        <w:rPr>
          <w:rFonts w:cstheme="minorHAnsi"/>
          <w:i/>
          <w:sz w:val="24"/>
          <w:szCs w:val="24"/>
        </w:rPr>
        <w:t>Kairos</w:t>
      </w:r>
      <w:r w:rsidR="00FC6F61" w:rsidRPr="006D0DF5">
        <w:rPr>
          <w:rFonts w:cstheme="minorHAnsi"/>
          <w:i/>
          <w:sz w:val="24"/>
          <w:szCs w:val="24"/>
        </w:rPr>
        <w:t xml:space="preserve"> </w:t>
      </w:r>
      <w:r w:rsidR="00FC6F61" w:rsidRPr="006D0DF5">
        <w:rPr>
          <w:rFonts w:cstheme="minorHAnsi"/>
          <w:iCs/>
          <w:sz w:val="24"/>
          <w:szCs w:val="24"/>
        </w:rPr>
        <w:t>(a propitious moment for action)</w:t>
      </w:r>
      <w:r w:rsidR="009976AD" w:rsidRPr="006D0DF5">
        <w:rPr>
          <w:rFonts w:cstheme="minorHAnsi"/>
          <w:iCs/>
          <w:sz w:val="24"/>
          <w:szCs w:val="24"/>
        </w:rPr>
        <w:t>,</w:t>
      </w:r>
      <w:r w:rsidR="009976AD" w:rsidRPr="006D0DF5">
        <w:rPr>
          <w:rFonts w:cstheme="minorHAnsi"/>
          <w:sz w:val="24"/>
          <w:szCs w:val="24"/>
        </w:rPr>
        <w:t xml:space="preserve"> to bring </w:t>
      </w:r>
      <w:r w:rsidRPr="006D0DF5">
        <w:rPr>
          <w:rFonts w:cstheme="minorHAnsi"/>
          <w:sz w:val="24"/>
          <w:szCs w:val="24"/>
        </w:rPr>
        <w:t xml:space="preserve">together a wide array of individuals and organizations </w:t>
      </w:r>
      <w:r w:rsidR="009976AD" w:rsidRPr="006D0DF5">
        <w:rPr>
          <w:rFonts w:cstheme="minorHAnsi"/>
          <w:sz w:val="24"/>
          <w:szCs w:val="24"/>
        </w:rPr>
        <w:t xml:space="preserve">to learn together and </w:t>
      </w:r>
      <w:r w:rsidR="009976AD" w:rsidRPr="006D0DF5">
        <w:rPr>
          <w:rFonts w:cstheme="minorHAnsi"/>
          <w:sz w:val="24"/>
          <w:szCs w:val="24"/>
        </w:rPr>
        <w:lastRenderedPageBreak/>
        <w:t xml:space="preserve">coalesce around a way forward.  Aided by DESE staff, I also monitored the latest research that I </w:t>
      </w:r>
      <w:r w:rsidR="006243AE" w:rsidRPr="006D0DF5">
        <w:rPr>
          <w:rFonts w:cstheme="minorHAnsi"/>
          <w:sz w:val="24"/>
          <w:szCs w:val="24"/>
        </w:rPr>
        <w:t>believe is</w:t>
      </w:r>
      <w:r w:rsidR="00F82723" w:rsidRPr="006D0DF5">
        <w:rPr>
          <w:rFonts w:cstheme="minorHAnsi"/>
          <w:sz w:val="24"/>
          <w:szCs w:val="24"/>
        </w:rPr>
        <w:t xml:space="preserve"> </w:t>
      </w:r>
      <w:r w:rsidR="009976AD" w:rsidRPr="006D0DF5">
        <w:rPr>
          <w:rFonts w:cstheme="minorHAnsi"/>
          <w:sz w:val="24"/>
          <w:szCs w:val="24"/>
        </w:rPr>
        <w:t xml:space="preserve">relevant to the work ahead.  </w:t>
      </w:r>
      <w:r w:rsidR="00282925" w:rsidRPr="006D0DF5">
        <w:rPr>
          <w:rFonts w:cstheme="minorHAnsi"/>
          <w:sz w:val="24"/>
          <w:szCs w:val="24"/>
        </w:rPr>
        <w:t>And</w:t>
      </w:r>
      <w:r w:rsidR="009976AD" w:rsidRPr="006D0DF5">
        <w:rPr>
          <w:rFonts w:cstheme="minorHAnsi"/>
          <w:sz w:val="24"/>
          <w:szCs w:val="24"/>
        </w:rPr>
        <w:t xml:space="preserve"> finally,</w:t>
      </w:r>
      <w:r w:rsidR="00282925" w:rsidRPr="006D0DF5">
        <w:rPr>
          <w:rFonts w:cstheme="minorHAnsi"/>
          <w:sz w:val="24"/>
          <w:szCs w:val="24"/>
        </w:rPr>
        <w:t xml:space="preserve"> I drew on my own longtime experience as a teacher, principal</w:t>
      </w:r>
      <w:r w:rsidR="0088305F" w:rsidRPr="006D0DF5">
        <w:rPr>
          <w:rFonts w:cstheme="minorHAnsi"/>
          <w:sz w:val="24"/>
          <w:szCs w:val="24"/>
        </w:rPr>
        <w:t>,</w:t>
      </w:r>
      <w:r w:rsidR="00282925" w:rsidRPr="006D0DF5">
        <w:rPr>
          <w:rFonts w:cstheme="minorHAnsi"/>
          <w:sz w:val="24"/>
          <w:szCs w:val="24"/>
        </w:rPr>
        <w:t xml:space="preserve"> and </w:t>
      </w:r>
      <w:r w:rsidR="00130489" w:rsidRPr="006D0DF5">
        <w:rPr>
          <w:rFonts w:cstheme="minorHAnsi"/>
          <w:sz w:val="24"/>
          <w:szCs w:val="24"/>
        </w:rPr>
        <w:t>superintendent in urban and suburban schools.</w:t>
      </w:r>
    </w:p>
    <w:p w14:paraId="786CB374" w14:textId="77777777" w:rsidR="00C76C30" w:rsidRPr="006D0DF5" w:rsidRDefault="00C76C30" w:rsidP="00C76C30">
      <w:pPr>
        <w:spacing w:after="0" w:line="276" w:lineRule="auto"/>
        <w:rPr>
          <w:rFonts w:cstheme="minorHAnsi"/>
          <w:sz w:val="24"/>
          <w:szCs w:val="24"/>
        </w:rPr>
      </w:pPr>
    </w:p>
    <w:p w14:paraId="51E34F27" w14:textId="55FA2113" w:rsidR="005B21A6" w:rsidRDefault="00282925" w:rsidP="00C76C30">
      <w:pPr>
        <w:spacing w:after="0"/>
        <w:rPr>
          <w:rFonts w:cstheme="minorHAnsi"/>
          <w:sz w:val="24"/>
          <w:szCs w:val="24"/>
        </w:rPr>
      </w:pPr>
      <w:r w:rsidRPr="006D0DF5">
        <w:rPr>
          <w:rFonts w:cstheme="minorHAnsi"/>
          <w:sz w:val="24"/>
          <w:szCs w:val="24"/>
        </w:rPr>
        <w:t xml:space="preserve">Through these efforts, I see </w:t>
      </w:r>
      <w:r w:rsidR="00A94895" w:rsidRPr="006D0DF5">
        <w:rPr>
          <w:rFonts w:cstheme="minorHAnsi"/>
          <w:sz w:val="24"/>
          <w:szCs w:val="24"/>
        </w:rPr>
        <w:t>four</w:t>
      </w:r>
      <w:r w:rsidRPr="006D0DF5">
        <w:rPr>
          <w:rFonts w:cstheme="minorHAnsi"/>
          <w:sz w:val="24"/>
          <w:szCs w:val="24"/>
        </w:rPr>
        <w:t xml:space="preserve"> themes emerging for our way forward in Massachusetts:</w:t>
      </w:r>
    </w:p>
    <w:p w14:paraId="7E7F0479" w14:textId="77777777" w:rsidR="00C76C30" w:rsidRPr="00C76C30" w:rsidRDefault="00C76C30" w:rsidP="00C76C30">
      <w:pPr>
        <w:spacing w:after="0"/>
        <w:rPr>
          <w:rFonts w:cstheme="minorHAnsi"/>
          <w:sz w:val="16"/>
          <w:szCs w:val="16"/>
        </w:rPr>
      </w:pPr>
    </w:p>
    <w:p w14:paraId="186060AA" w14:textId="77777777" w:rsidR="00F82723" w:rsidRPr="00C76C30" w:rsidRDefault="00F82723" w:rsidP="00C76C30">
      <w:pPr>
        <w:pStyle w:val="ListParagraph"/>
        <w:numPr>
          <w:ilvl w:val="0"/>
          <w:numId w:val="2"/>
        </w:numPr>
        <w:spacing w:after="0"/>
        <w:ind w:left="990"/>
        <w:rPr>
          <w:rFonts w:cstheme="minorHAnsi"/>
          <w:iCs/>
          <w:sz w:val="24"/>
          <w:szCs w:val="24"/>
        </w:rPr>
      </w:pPr>
      <w:r w:rsidRPr="00C76C30">
        <w:rPr>
          <w:rFonts w:cstheme="minorHAnsi"/>
          <w:iCs/>
          <w:sz w:val="24"/>
          <w:szCs w:val="24"/>
        </w:rPr>
        <w:t>Deeper Learning for All</w:t>
      </w:r>
    </w:p>
    <w:p w14:paraId="446916E6" w14:textId="50BFAB7A" w:rsidR="00295F48" w:rsidRPr="00C76C30" w:rsidRDefault="00295F48" w:rsidP="00C76C30">
      <w:pPr>
        <w:pStyle w:val="ListParagraph"/>
        <w:numPr>
          <w:ilvl w:val="0"/>
          <w:numId w:val="2"/>
        </w:numPr>
        <w:spacing w:after="0"/>
        <w:ind w:left="990"/>
        <w:rPr>
          <w:rFonts w:cstheme="minorHAnsi"/>
          <w:iCs/>
          <w:sz w:val="24"/>
          <w:szCs w:val="24"/>
        </w:rPr>
      </w:pPr>
      <w:r w:rsidRPr="00C76C30">
        <w:rPr>
          <w:rFonts w:cstheme="minorHAnsi"/>
          <w:iCs/>
          <w:sz w:val="24"/>
          <w:szCs w:val="24"/>
        </w:rPr>
        <w:t xml:space="preserve">Holistic Support </w:t>
      </w:r>
      <w:r w:rsidR="004B217E" w:rsidRPr="00C76C30">
        <w:rPr>
          <w:rFonts w:cstheme="minorHAnsi"/>
          <w:iCs/>
          <w:sz w:val="24"/>
          <w:szCs w:val="24"/>
        </w:rPr>
        <w:t>and</w:t>
      </w:r>
      <w:r w:rsidRPr="00C76C30">
        <w:rPr>
          <w:rFonts w:cstheme="minorHAnsi"/>
          <w:iCs/>
          <w:sz w:val="24"/>
          <w:szCs w:val="24"/>
        </w:rPr>
        <w:t xml:space="preserve"> Enrichment</w:t>
      </w:r>
    </w:p>
    <w:p w14:paraId="0EA057CA" w14:textId="2AEC9292" w:rsidR="00F82723" w:rsidRPr="00C76C30" w:rsidRDefault="00F82723" w:rsidP="00C76C30">
      <w:pPr>
        <w:pStyle w:val="ListParagraph"/>
        <w:numPr>
          <w:ilvl w:val="0"/>
          <w:numId w:val="2"/>
        </w:numPr>
        <w:spacing w:after="0"/>
        <w:ind w:left="990"/>
        <w:rPr>
          <w:rFonts w:cstheme="minorHAnsi"/>
          <w:iCs/>
          <w:sz w:val="24"/>
          <w:szCs w:val="24"/>
        </w:rPr>
      </w:pPr>
      <w:r w:rsidRPr="00C76C30">
        <w:rPr>
          <w:rFonts w:cstheme="minorHAnsi"/>
          <w:iCs/>
          <w:sz w:val="24"/>
          <w:szCs w:val="24"/>
        </w:rPr>
        <w:t xml:space="preserve">Innovation </w:t>
      </w:r>
      <w:r w:rsidR="004B217E" w:rsidRPr="00C76C30">
        <w:rPr>
          <w:rFonts w:cstheme="minorHAnsi"/>
          <w:iCs/>
          <w:sz w:val="24"/>
          <w:szCs w:val="24"/>
        </w:rPr>
        <w:t>and</w:t>
      </w:r>
      <w:r w:rsidRPr="00C76C30">
        <w:rPr>
          <w:rFonts w:cstheme="minorHAnsi"/>
          <w:iCs/>
          <w:sz w:val="24"/>
          <w:szCs w:val="24"/>
        </w:rPr>
        <w:t xml:space="preserve"> Evidence-Based Practices</w:t>
      </w:r>
    </w:p>
    <w:p w14:paraId="385498E1" w14:textId="34AB981E" w:rsidR="00F82723" w:rsidRPr="00C76C30" w:rsidRDefault="00F82723" w:rsidP="00C76C30">
      <w:pPr>
        <w:pStyle w:val="ListParagraph"/>
        <w:numPr>
          <w:ilvl w:val="0"/>
          <w:numId w:val="2"/>
        </w:numPr>
        <w:spacing w:after="0"/>
        <w:ind w:left="990"/>
        <w:rPr>
          <w:rFonts w:cstheme="minorHAnsi"/>
          <w:iCs/>
          <w:sz w:val="24"/>
          <w:szCs w:val="24"/>
        </w:rPr>
      </w:pPr>
      <w:r w:rsidRPr="00C76C30">
        <w:rPr>
          <w:rFonts w:cstheme="minorHAnsi"/>
          <w:iCs/>
          <w:sz w:val="24"/>
          <w:szCs w:val="24"/>
        </w:rPr>
        <w:t>The State as a Partner</w:t>
      </w:r>
    </w:p>
    <w:p w14:paraId="35F793F6" w14:textId="77777777" w:rsidR="00C76C30" w:rsidRPr="006D0DF5" w:rsidRDefault="00C76C30" w:rsidP="00C76C30">
      <w:pPr>
        <w:pStyle w:val="ListParagraph"/>
        <w:spacing w:after="0"/>
        <w:rPr>
          <w:rFonts w:cstheme="minorHAnsi"/>
          <w:i/>
          <w:sz w:val="24"/>
          <w:szCs w:val="24"/>
        </w:rPr>
      </w:pPr>
    </w:p>
    <w:p w14:paraId="2079C7EE" w14:textId="01717B9E" w:rsidR="008029DF" w:rsidRPr="006D0DF5" w:rsidRDefault="008029DF" w:rsidP="00C76C30">
      <w:pPr>
        <w:spacing w:after="0" w:line="276" w:lineRule="auto"/>
        <w:rPr>
          <w:rFonts w:cstheme="minorHAnsi"/>
          <w:sz w:val="24"/>
          <w:szCs w:val="24"/>
        </w:rPr>
      </w:pPr>
      <w:r w:rsidRPr="006D0DF5">
        <w:rPr>
          <w:rFonts w:cstheme="minorHAnsi"/>
          <w:sz w:val="24"/>
          <w:szCs w:val="24"/>
        </w:rPr>
        <w:t>Below, I outline the</w:t>
      </w:r>
      <w:r w:rsidR="006243AE" w:rsidRPr="006D0DF5">
        <w:rPr>
          <w:rFonts w:cstheme="minorHAnsi"/>
          <w:sz w:val="24"/>
          <w:szCs w:val="24"/>
        </w:rPr>
        <w:t xml:space="preserve"> rationale and</w:t>
      </w:r>
      <w:r w:rsidRPr="006D0DF5">
        <w:rPr>
          <w:rFonts w:cstheme="minorHAnsi"/>
          <w:sz w:val="24"/>
          <w:szCs w:val="24"/>
        </w:rPr>
        <w:t xml:space="preserve"> work ahead for each of these themes. I then </w:t>
      </w:r>
      <w:r w:rsidR="004B217E" w:rsidRPr="006D0DF5">
        <w:rPr>
          <w:rFonts w:cstheme="minorHAnsi"/>
          <w:sz w:val="24"/>
          <w:szCs w:val="24"/>
        </w:rPr>
        <w:t xml:space="preserve">present my plan for </w:t>
      </w:r>
      <w:r w:rsidRPr="006D0DF5">
        <w:rPr>
          <w:rFonts w:cstheme="minorHAnsi"/>
          <w:sz w:val="24"/>
          <w:szCs w:val="24"/>
        </w:rPr>
        <w:t xml:space="preserve">a pilot program at DESE that will bring together educators, schools, and districts to jumpstart </w:t>
      </w:r>
      <w:r w:rsidR="00636DF2" w:rsidRPr="006D0DF5">
        <w:rPr>
          <w:rFonts w:cstheme="minorHAnsi"/>
          <w:sz w:val="24"/>
          <w:szCs w:val="24"/>
        </w:rPr>
        <w:t xml:space="preserve">work </w:t>
      </w:r>
      <w:r w:rsidRPr="006D0DF5">
        <w:rPr>
          <w:rFonts w:cstheme="minorHAnsi"/>
          <w:sz w:val="24"/>
          <w:szCs w:val="24"/>
        </w:rPr>
        <w:t xml:space="preserve">across these themes, with particular emphasis on our central theme: </w:t>
      </w:r>
      <w:r w:rsidRPr="006D0DF5">
        <w:rPr>
          <w:rFonts w:cstheme="minorHAnsi"/>
          <w:i/>
          <w:sz w:val="24"/>
          <w:szCs w:val="24"/>
        </w:rPr>
        <w:t>Deeper Learning for All</w:t>
      </w:r>
      <w:r w:rsidRPr="006D0DF5">
        <w:rPr>
          <w:rFonts w:cstheme="minorHAnsi"/>
          <w:sz w:val="24"/>
          <w:szCs w:val="24"/>
        </w:rPr>
        <w:t>.</w:t>
      </w:r>
    </w:p>
    <w:p w14:paraId="066D2AFE" w14:textId="77777777" w:rsidR="00311C41" w:rsidRPr="006D0DF5" w:rsidRDefault="00311C41" w:rsidP="00C76C30">
      <w:pPr>
        <w:spacing w:after="0"/>
        <w:rPr>
          <w:rFonts w:cstheme="minorHAnsi"/>
          <w:b/>
          <w:sz w:val="24"/>
          <w:szCs w:val="24"/>
        </w:rPr>
      </w:pPr>
    </w:p>
    <w:p w14:paraId="7AF7C748" w14:textId="69DBA046" w:rsidR="007257AC" w:rsidRPr="00605F35" w:rsidRDefault="009A00B9" w:rsidP="007B5F26">
      <w:pPr>
        <w:pStyle w:val="Heading3"/>
      </w:pPr>
      <w:r w:rsidRPr="00605F35">
        <w:t xml:space="preserve">Theme I: </w:t>
      </w:r>
      <w:r w:rsidR="008029DF" w:rsidRPr="00605F35">
        <w:t>Deeper Learning for All</w:t>
      </w:r>
      <w:r w:rsidR="004E4C18" w:rsidRPr="00605F35">
        <w:t xml:space="preserve"> </w:t>
      </w:r>
    </w:p>
    <w:p w14:paraId="29A08342" w14:textId="77777777" w:rsidR="00C76C30" w:rsidRPr="00C76C30" w:rsidRDefault="00C76C30" w:rsidP="00C76C30">
      <w:pPr>
        <w:spacing w:after="0"/>
        <w:rPr>
          <w:rFonts w:cstheme="minorHAnsi"/>
          <w:b/>
          <w:color w:val="2F5496" w:themeColor="accent1" w:themeShade="BF"/>
          <w:sz w:val="24"/>
          <w:szCs w:val="24"/>
        </w:rPr>
      </w:pPr>
    </w:p>
    <w:p w14:paraId="0EA4FC7C" w14:textId="0A70D784" w:rsidR="00A91713" w:rsidRPr="006D0DF5" w:rsidRDefault="00125007" w:rsidP="00C76C30">
      <w:pPr>
        <w:spacing w:after="0" w:line="276" w:lineRule="auto"/>
        <w:rPr>
          <w:rFonts w:cstheme="minorHAnsi"/>
          <w:sz w:val="24"/>
          <w:szCs w:val="24"/>
        </w:rPr>
      </w:pPr>
      <w:r w:rsidRPr="006D0DF5">
        <w:rPr>
          <w:rFonts w:cstheme="minorHAnsi"/>
          <w:sz w:val="24"/>
          <w:szCs w:val="24"/>
        </w:rPr>
        <w:t>As I traveled the state, educators told me that while they appreciate the rigor of our curriculum frameworks and the data from MCAS, they have also observed unintended consequences</w:t>
      </w:r>
      <w:r w:rsidR="008B5F0A" w:rsidRPr="006D0DF5">
        <w:rPr>
          <w:rFonts w:cstheme="minorHAnsi"/>
          <w:sz w:val="24"/>
          <w:szCs w:val="24"/>
        </w:rPr>
        <w:t xml:space="preserve">.  </w:t>
      </w:r>
      <w:r w:rsidR="00636DF2" w:rsidRPr="006D0DF5">
        <w:rPr>
          <w:rFonts w:cstheme="minorHAnsi"/>
          <w:sz w:val="24"/>
          <w:szCs w:val="24"/>
        </w:rPr>
        <w:t>In too many cases, they have seen</w:t>
      </w:r>
      <w:r w:rsidR="008B5F0A" w:rsidRPr="006D0DF5">
        <w:rPr>
          <w:rFonts w:cstheme="minorHAnsi"/>
          <w:sz w:val="24"/>
          <w:szCs w:val="24"/>
        </w:rPr>
        <w:t xml:space="preserve"> the c</w:t>
      </w:r>
      <w:r w:rsidR="00A91713" w:rsidRPr="006D0DF5">
        <w:rPr>
          <w:rFonts w:cstheme="minorHAnsi"/>
          <w:sz w:val="24"/>
          <w:szCs w:val="24"/>
        </w:rPr>
        <w:t>urriculum narrowed to</w:t>
      </w:r>
      <w:r w:rsidR="008B5F0A" w:rsidRPr="006D0DF5">
        <w:rPr>
          <w:rFonts w:cstheme="minorHAnsi"/>
          <w:sz w:val="24"/>
          <w:szCs w:val="24"/>
        </w:rPr>
        <w:t xml:space="preserve"> focus on</w:t>
      </w:r>
      <w:r w:rsidR="00A91713" w:rsidRPr="006D0DF5">
        <w:rPr>
          <w:rFonts w:cstheme="minorHAnsi"/>
          <w:sz w:val="24"/>
          <w:szCs w:val="24"/>
        </w:rPr>
        <w:t xml:space="preserve"> assessed subjects</w:t>
      </w:r>
      <w:r w:rsidR="00C601A2" w:rsidRPr="006D0DF5">
        <w:rPr>
          <w:rFonts w:cstheme="minorHAnsi"/>
          <w:sz w:val="24"/>
          <w:szCs w:val="24"/>
        </w:rPr>
        <w:t xml:space="preserve"> or s</w:t>
      </w:r>
      <w:r w:rsidR="008B5F0A" w:rsidRPr="006D0DF5">
        <w:rPr>
          <w:rFonts w:cstheme="minorHAnsi"/>
          <w:sz w:val="24"/>
          <w:szCs w:val="24"/>
        </w:rPr>
        <w:t>hallow coverage of content in a rush to cover all standards before MCAS</w:t>
      </w:r>
      <w:r w:rsidR="00636DF2" w:rsidRPr="006D0DF5">
        <w:rPr>
          <w:rFonts w:cstheme="minorHAnsi"/>
          <w:sz w:val="24"/>
          <w:szCs w:val="24"/>
        </w:rPr>
        <w:t xml:space="preserve"> testing</w:t>
      </w:r>
      <w:r w:rsidR="008B5F0A" w:rsidRPr="006D0DF5">
        <w:rPr>
          <w:rFonts w:cstheme="minorHAnsi"/>
          <w:sz w:val="24"/>
          <w:szCs w:val="24"/>
        </w:rPr>
        <w:t xml:space="preserve">.  </w:t>
      </w:r>
      <w:r w:rsidR="004B217E" w:rsidRPr="006D0DF5">
        <w:rPr>
          <w:rFonts w:cstheme="minorHAnsi"/>
          <w:sz w:val="24"/>
          <w:szCs w:val="24"/>
        </w:rPr>
        <w:t>They also reported</w:t>
      </w:r>
      <w:r w:rsidR="008B5F0A" w:rsidRPr="006D0DF5">
        <w:rPr>
          <w:rFonts w:cstheme="minorHAnsi"/>
          <w:sz w:val="24"/>
          <w:szCs w:val="24"/>
        </w:rPr>
        <w:t xml:space="preserve"> </w:t>
      </w:r>
      <w:r w:rsidR="00636DF2" w:rsidRPr="006D0DF5">
        <w:rPr>
          <w:rFonts w:cstheme="minorHAnsi"/>
          <w:sz w:val="24"/>
          <w:szCs w:val="24"/>
        </w:rPr>
        <w:t>instances of too</w:t>
      </w:r>
      <w:r w:rsidR="008B5F0A" w:rsidRPr="006D0DF5">
        <w:rPr>
          <w:rFonts w:cstheme="minorHAnsi"/>
          <w:sz w:val="24"/>
          <w:szCs w:val="24"/>
        </w:rPr>
        <w:t xml:space="preserve"> much </w:t>
      </w:r>
      <w:r w:rsidRPr="006D0DF5">
        <w:rPr>
          <w:rFonts w:cstheme="minorHAnsi"/>
          <w:sz w:val="24"/>
          <w:szCs w:val="24"/>
        </w:rPr>
        <w:t>time spent drilling students on tested skills</w:t>
      </w:r>
      <w:r w:rsidR="0088305F" w:rsidRPr="006D0DF5">
        <w:rPr>
          <w:rFonts w:cstheme="minorHAnsi"/>
          <w:sz w:val="24"/>
          <w:szCs w:val="24"/>
        </w:rPr>
        <w:t>,</w:t>
      </w:r>
      <w:r w:rsidRPr="006D0DF5">
        <w:rPr>
          <w:rFonts w:cstheme="minorHAnsi"/>
          <w:sz w:val="24"/>
          <w:szCs w:val="24"/>
        </w:rPr>
        <w:t xml:space="preserve"> divorced from a</w:t>
      </w:r>
      <w:r w:rsidR="008B5F0A" w:rsidRPr="006D0DF5">
        <w:rPr>
          <w:rFonts w:cstheme="minorHAnsi"/>
          <w:sz w:val="24"/>
          <w:szCs w:val="24"/>
        </w:rPr>
        <w:t xml:space="preserve"> cumulative, </w:t>
      </w:r>
      <w:r w:rsidRPr="006D0DF5">
        <w:rPr>
          <w:rFonts w:cstheme="minorHAnsi"/>
          <w:sz w:val="24"/>
          <w:szCs w:val="24"/>
        </w:rPr>
        <w:t xml:space="preserve">meaningful learning context.  </w:t>
      </w:r>
      <w:r w:rsidR="00C87AB7" w:rsidRPr="006D0DF5">
        <w:rPr>
          <w:rFonts w:cstheme="minorHAnsi"/>
          <w:sz w:val="24"/>
          <w:szCs w:val="24"/>
        </w:rPr>
        <w:t xml:space="preserve">The result is </w:t>
      </w:r>
      <w:r w:rsidR="00636DF2" w:rsidRPr="006D0DF5">
        <w:rPr>
          <w:rFonts w:cstheme="minorHAnsi"/>
          <w:sz w:val="24"/>
          <w:szCs w:val="24"/>
        </w:rPr>
        <w:t>that often</w:t>
      </w:r>
      <w:r w:rsidR="00C87AB7" w:rsidRPr="006D0DF5">
        <w:rPr>
          <w:rFonts w:cstheme="minorHAnsi"/>
          <w:sz w:val="24"/>
          <w:szCs w:val="24"/>
        </w:rPr>
        <w:t xml:space="preserve"> students are disengaged and unable to connect their</w:t>
      </w:r>
      <w:r w:rsidR="005B5088" w:rsidRPr="006D0DF5">
        <w:rPr>
          <w:rFonts w:cstheme="minorHAnsi"/>
          <w:sz w:val="24"/>
          <w:szCs w:val="24"/>
        </w:rPr>
        <w:t xml:space="preserve"> daily</w:t>
      </w:r>
      <w:r w:rsidR="00C87AB7" w:rsidRPr="006D0DF5">
        <w:rPr>
          <w:rFonts w:cstheme="minorHAnsi"/>
          <w:sz w:val="24"/>
          <w:szCs w:val="24"/>
        </w:rPr>
        <w:t xml:space="preserve"> </w:t>
      </w:r>
      <w:r w:rsidR="005B5088" w:rsidRPr="006D0DF5">
        <w:rPr>
          <w:rFonts w:cstheme="minorHAnsi"/>
          <w:sz w:val="24"/>
          <w:szCs w:val="24"/>
        </w:rPr>
        <w:t>lessons</w:t>
      </w:r>
      <w:r w:rsidR="00C87AB7" w:rsidRPr="006D0DF5">
        <w:rPr>
          <w:rFonts w:cstheme="minorHAnsi"/>
          <w:sz w:val="24"/>
          <w:szCs w:val="24"/>
        </w:rPr>
        <w:t xml:space="preserve"> with their current or future lives.</w:t>
      </w:r>
    </w:p>
    <w:p w14:paraId="3E5D518E" w14:textId="77777777" w:rsidR="00C76C30" w:rsidRDefault="00C76C30" w:rsidP="00C76C30">
      <w:pPr>
        <w:spacing w:after="0" w:line="276" w:lineRule="auto"/>
        <w:rPr>
          <w:rFonts w:cstheme="minorHAnsi"/>
          <w:sz w:val="24"/>
          <w:szCs w:val="24"/>
        </w:rPr>
      </w:pPr>
    </w:p>
    <w:p w14:paraId="6A76E71A" w14:textId="0D63F37A" w:rsidR="00FD2D50" w:rsidRPr="006D0DF5" w:rsidRDefault="004079C6" w:rsidP="00C76C30">
      <w:pPr>
        <w:spacing w:after="0" w:line="276" w:lineRule="auto"/>
        <w:rPr>
          <w:rFonts w:cstheme="minorHAnsi"/>
          <w:sz w:val="24"/>
          <w:szCs w:val="24"/>
        </w:rPr>
      </w:pPr>
      <w:r w:rsidRPr="006D0DF5">
        <w:rPr>
          <w:rFonts w:cstheme="minorHAnsi"/>
          <w:sz w:val="24"/>
          <w:szCs w:val="24"/>
        </w:rPr>
        <w:t xml:space="preserve">There is growing awareness not just in our schools – but also in the research community – that we must </w:t>
      </w:r>
      <w:r w:rsidR="00B60AAE" w:rsidRPr="006D0DF5">
        <w:rPr>
          <w:rFonts w:cstheme="minorHAnsi"/>
          <w:sz w:val="24"/>
          <w:szCs w:val="24"/>
        </w:rPr>
        <w:t xml:space="preserve">more closely </w:t>
      </w:r>
      <w:r w:rsidRPr="006D0DF5">
        <w:rPr>
          <w:rFonts w:cstheme="minorHAnsi"/>
          <w:sz w:val="24"/>
          <w:szCs w:val="24"/>
        </w:rPr>
        <w:t xml:space="preserve">match students’ daily experience in school with </w:t>
      </w:r>
      <w:r w:rsidR="00FD2D50" w:rsidRPr="006D0DF5">
        <w:rPr>
          <w:rFonts w:cstheme="minorHAnsi"/>
          <w:sz w:val="24"/>
          <w:szCs w:val="24"/>
        </w:rPr>
        <w:t xml:space="preserve">the expectations they will encounter in college, in </w:t>
      </w:r>
      <w:r w:rsidR="00A228FC">
        <w:rPr>
          <w:rFonts w:cstheme="minorHAnsi"/>
          <w:sz w:val="24"/>
          <w:szCs w:val="24"/>
        </w:rPr>
        <w:t>their careers</w:t>
      </w:r>
      <w:r w:rsidR="00FD2D50" w:rsidRPr="006D0DF5">
        <w:rPr>
          <w:rFonts w:cstheme="minorHAnsi"/>
          <w:sz w:val="24"/>
          <w:szCs w:val="24"/>
        </w:rPr>
        <w:t>, and as citizens navigating a complex world</w:t>
      </w:r>
      <w:r w:rsidR="004D0FF8" w:rsidRPr="006D0DF5">
        <w:rPr>
          <w:rFonts w:cstheme="minorHAnsi"/>
          <w:sz w:val="24"/>
          <w:szCs w:val="24"/>
        </w:rPr>
        <w:t xml:space="preserve">.  </w:t>
      </w:r>
      <w:r w:rsidR="00FD2D50" w:rsidRPr="006D0DF5">
        <w:rPr>
          <w:rFonts w:cstheme="minorHAnsi"/>
          <w:sz w:val="24"/>
          <w:szCs w:val="24"/>
        </w:rPr>
        <w:t xml:space="preserve">This means </w:t>
      </w:r>
      <w:r w:rsidR="004D0FF8" w:rsidRPr="006D0DF5">
        <w:rPr>
          <w:rFonts w:cstheme="minorHAnsi"/>
          <w:sz w:val="24"/>
          <w:szCs w:val="24"/>
        </w:rPr>
        <w:t>asking students to work</w:t>
      </w:r>
      <w:r w:rsidR="00FD2D50" w:rsidRPr="006D0DF5">
        <w:rPr>
          <w:rFonts w:cstheme="minorHAnsi"/>
          <w:sz w:val="24"/>
          <w:szCs w:val="24"/>
        </w:rPr>
        <w:t xml:space="preserve"> in ambiguous contexts</w:t>
      </w:r>
      <w:r w:rsidR="0088305F" w:rsidRPr="006D0DF5">
        <w:rPr>
          <w:rFonts w:cstheme="minorHAnsi"/>
          <w:sz w:val="24"/>
          <w:szCs w:val="24"/>
        </w:rPr>
        <w:t>,</w:t>
      </w:r>
      <w:r w:rsidR="00FD2D50" w:rsidRPr="006D0DF5">
        <w:rPr>
          <w:rFonts w:cstheme="minorHAnsi"/>
          <w:sz w:val="24"/>
          <w:szCs w:val="24"/>
        </w:rPr>
        <w:t xml:space="preserve"> on meaningful projects with larger purpose</w:t>
      </w:r>
      <w:r w:rsidR="0088305F" w:rsidRPr="006D0DF5">
        <w:rPr>
          <w:rFonts w:cstheme="minorHAnsi"/>
          <w:sz w:val="24"/>
          <w:szCs w:val="24"/>
        </w:rPr>
        <w:t>,</w:t>
      </w:r>
      <w:r w:rsidR="00FD2D50" w:rsidRPr="006D0DF5">
        <w:rPr>
          <w:rFonts w:cstheme="minorHAnsi"/>
          <w:sz w:val="24"/>
          <w:szCs w:val="24"/>
        </w:rPr>
        <w:t xml:space="preserve"> and</w:t>
      </w:r>
      <w:r w:rsidR="001558F2" w:rsidRPr="006D0DF5">
        <w:rPr>
          <w:rFonts w:cstheme="minorHAnsi"/>
          <w:sz w:val="24"/>
          <w:szCs w:val="24"/>
        </w:rPr>
        <w:t xml:space="preserve"> both</w:t>
      </w:r>
      <w:r w:rsidR="00FD2D50" w:rsidRPr="006D0DF5">
        <w:rPr>
          <w:rFonts w:cstheme="minorHAnsi"/>
          <w:sz w:val="24"/>
          <w:szCs w:val="24"/>
        </w:rPr>
        <w:t xml:space="preserve"> independently and in teams – all while </w:t>
      </w:r>
      <w:r w:rsidR="001558F2" w:rsidRPr="006D0DF5">
        <w:rPr>
          <w:rFonts w:cstheme="minorHAnsi"/>
          <w:sz w:val="24"/>
          <w:szCs w:val="24"/>
        </w:rPr>
        <w:t xml:space="preserve">connecting </w:t>
      </w:r>
      <w:r w:rsidR="00A228FC">
        <w:rPr>
          <w:rFonts w:cstheme="minorHAnsi"/>
          <w:sz w:val="24"/>
          <w:szCs w:val="24"/>
        </w:rPr>
        <w:t>these activities</w:t>
      </w:r>
      <w:r w:rsidR="00FD2D50" w:rsidRPr="006D0DF5">
        <w:rPr>
          <w:rFonts w:cstheme="minorHAnsi"/>
          <w:sz w:val="24"/>
          <w:szCs w:val="24"/>
        </w:rPr>
        <w:t xml:space="preserve"> to our state standards.</w:t>
      </w:r>
    </w:p>
    <w:p w14:paraId="53F90C11" w14:textId="77777777" w:rsidR="00C76C30" w:rsidRDefault="00C76C30" w:rsidP="00C76C30">
      <w:pPr>
        <w:spacing w:after="0" w:line="276" w:lineRule="auto"/>
        <w:rPr>
          <w:rFonts w:cstheme="minorHAnsi"/>
          <w:sz w:val="24"/>
          <w:szCs w:val="24"/>
        </w:rPr>
      </w:pPr>
    </w:p>
    <w:p w14:paraId="6E8CCA47" w14:textId="1D0E9865" w:rsidR="00491EA8" w:rsidRPr="006D0DF5" w:rsidRDefault="004D0FF8" w:rsidP="00C76C30">
      <w:pPr>
        <w:spacing w:after="0" w:line="276" w:lineRule="auto"/>
        <w:rPr>
          <w:rFonts w:cstheme="minorHAnsi"/>
          <w:sz w:val="24"/>
          <w:szCs w:val="24"/>
        </w:rPr>
      </w:pPr>
      <w:r w:rsidRPr="006D0DF5">
        <w:rPr>
          <w:rFonts w:cstheme="minorHAnsi"/>
          <w:sz w:val="24"/>
          <w:szCs w:val="24"/>
        </w:rPr>
        <w:t>Preparing our students for their futures</w:t>
      </w:r>
      <w:r w:rsidR="00915725" w:rsidRPr="006D0DF5">
        <w:rPr>
          <w:rFonts w:cstheme="minorHAnsi"/>
          <w:sz w:val="24"/>
          <w:szCs w:val="24"/>
        </w:rPr>
        <w:t xml:space="preserve"> starts with ensuring a strong grasp of challenging, grade-appropriate academic content.  </w:t>
      </w:r>
      <w:r w:rsidR="00491EA8" w:rsidRPr="006D0DF5">
        <w:rPr>
          <w:rFonts w:cstheme="minorHAnsi"/>
          <w:sz w:val="24"/>
          <w:szCs w:val="24"/>
        </w:rPr>
        <w:t>TNTP’s</w:t>
      </w:r>
      <w:r w:rsidR="00CC42A7" w:rsidRPr="006D0DF5">
        <w:rPr>
          <w:rFonts w:cstheme="minorHAnsi"/>
          <w:sz w:val="24"/>
          <w:szCs w:val="24"/>
        </w:rPr>
        <w:t xml:space="preserve"> 2018</w:t>
      </w:r>
      <w:r w:rsidR="00491EA8" w:rsidRPr="006D0DF5">
        <w:rPr>
          <w:rFonts w:cstheme="minorHAnsi"/>
          <w:sz w:val="24"/>
          <w:szCs w:val="24"/>
        </w:rPr>
        <w:t xml:space="preserve"> </w:t>
      </w:r>
      <w:hyperlink r:id="rId15" w:history="1">
        <w:r w:rsidR="00491EA8" w:rsidRPr="006D0DF5">
          <w:rPr>
            <w:rStyle w:val="Hyperlink"/>
            <w:rFonts w:cstheme="minorHAnsi"/>
            <w:i/>
            <w:sz w:val="24"/>
            <w:szCs w:val="24"/>
          </w:rPr>
          <w:t>Opportunity Myth</w:t>
        </w:r>
      </w:hyperlink>
      <w:r w:rsidR="00491EA8" w:rsidRPr="006D0DF5">
        <w:rPr>
          <w:rFonts w:cstheme="minorHAnsi"/>
          <w:sz w:val="24"/>
          <w:szCs w:val="24"/>
        </w:rPr>
        <w:t xml:space="preserve"> report</w:t>
      </w:r>
      <w:r w:rsidR="006059B0" w:rsidRPr="006D0DF5">
        <w:rPr>
          <w:rFonts w:cstheme="minorHAnsi"/>
          <w:sz w:val="24"/>
          <w:szCs w:val="24"/>
        </w:rPr>
        <w:t>,</w:t>
      </w:r>
      <w:r w:rsidR="003E4ABA" w:rsidRPr="006D0DF5">
        <w:rPr>
          <w:rFonts w:cstheme="minorHAnsi"/>
          <w:sz w:val="24"/>
          <w:szCs w:val="24"/>
        </w:rPr>
        <w:t xml:space="preserve"> </w:t>
      </w:r>
      <w:r w:rsidR="007F12F0" w:rsidRPr="006D0DF5">
        <w:rPr>
          <w:rFonts w:cstheme="minorHAnsi"/>
          <w:sz w:val="24"/>
          <w:szCs w:val="24"/>
        </w:rPr>
        <w:t>an examination of the student experience in five diverse U.S. school districts</w:t>
      </w:r>
      <w:r w:rsidR="00CC42A7" w:rsidRPr="006D0DF5">
        <w:rPr>
          <w:rFonts w:cstheme="minorHAnsi"/>
          <w:sz w:val="24"/>
          <w:szCs w:val="24"/>
        </w:rPr>
        <w:t>,</w:t>
      </w:r>
      <w:r w:rsidR="00491EA8" w:rsidRPr="006D0DF5">
        <w:rPr>
          <w:rFonts w:cstheme="minorHAnsi"/>
          <w:sz w:val="24"/>
          <w:szCs w:val="24"/>
        </w:rPr>
        <w:t xml:space="preserve"> found that </w:t>
      </w:r>
      <w:r w:rsidR="002406AE" w:rsidRPr="006D0DF5">
        <w:rPr>
          <w:rFonts w:cstheme="minorHAnsi"/>
          <w:sz w:val="24"/>
          <w:szCs w:val="24"/>
        </w:rPr>
        <w:t>a significant percentage of assignments</w:t>
      </w:r>
      <w:r w:rsidR="00CC42A7" w:rsidRPr="006D0DF5">
        <w:rPr>
          <w:rFonts w:cstheme="minorHAnsi"/>
          <w:sz w:val="24"/>
          <w:szCs w:val="24"/>
        </w:rPr>
        <w:t xml:space="preserve"> students were given</w:t>
      </w:r>
      <w:r w:rsidR="002406AE" w:rsidRPr="006D0DF5">
        <w:rPr>
          <w:rFonts w:cstheme="minorHAnsi"/>
          <w:sz w:val="24"/>
          <w:szCs w:val="24"/>
        </w:rPr>
        <w:t xml:space="preserve"> were not up to grade level standards</w:t>
      </w:r>
      <w:r w:rsidR="002406AE" w:rsidRPr="00C8230A">
        <w:rPr>
          <w:rFonts w:cstheme="minorHAnsi"/>
          <w:sz w:val="24"/>
          <w:szCs w:val="24"/>
        </w:rPr>
        <w:t>.</w:t>
      </w:r>
      <w:r w:rsidR="00C8230A" w:rsidRPr="00C8230A">
        <w:rPr>
          <w:rStyle w:val="FootnoteReference"/>
          <w:rFonts w:cstheme="minorHAnsi"/>
          <w:sz w:val="24"/>
          <w:szCs w:val="24"/>
        </w:rPr>
        <w:footnoteReference w:id="2"/>
      </w:r>
      <w:r w:rsidR="002406AE" w:rsidRPr="006D0DF5">
        <w:rPr>
          <w:rFonts w:cstheme="minorHAnsi"/>
          <w:sz w:val="24"/>
          <w:szCs w:val="24"/>
        </w:rPr>
        <w:t xml:space="preserve">  </w:t>
      </w:r>
      <w:r w:rsidR="006B6DB2" w:rsidRPr="006D0DF5">
        <w:rPr>
          <w:rFonts w:cstheme="minorHAnsi"/>
          <w:sz w:val="24"/>
          <w:szCs w:val="24"/>
        </w:rPr>
        <w:t xml:space="preserve">Moreover, </w:t>
      </w:r>
      <w:r w:rsidR="00915725" w:rsidRPr="006D0DF5">
        <w:rPr>
          <w:rFonts w:cstheme="minorHAnsi"/>
          <w:sz w:val="24"/>
          <w:szCs w:val="24"/>
        </w:rPr>
        <w:t>TNTP</w:t>
      </w:r>
      <w:r w:rsidR="006B6DB2" w:rsidRPr="006D0DF5">
        <w:rPr>
          <w:rFonts w:cstheme="minorHAnsi"/>
          <w:sz w:val="24"/>
          <w:szCs w:val="24"/>
        </w:rPr>
        <w:t xml:space="preserve"> found </w:t>
      </w:r>
      <w:r w:rsidR="00915725" w:rsidRPr="006D0DF5">
        <w:rPr>
          <w:rFonts w:cstheme="minorHAnsi"/>
          <w:sz w:val="24"/>
          <w:szCs w:val="24"/>
        </w:rPr>
        <w:t xml:space="preserve">that </w:t>
      </w:r>
      <w:r w:rsidR="006B6DB2" w:rsidRPr="006D0DF5">
        <w:rPr>
          <w:rFonts w:cstheme="minorHAnsi"/>
          <w:sz w:val="24"/>
          <w:szCs w:val="24"/>
        </w:rPr>
        <w:t xml:space="preserve">increasing the rigor of </w:t>
      </w:r>
      <w:r w:rsidR="005B5088" w:rsidRPr="006D0DF5">
        <w:rPr>
          <w:rFonts w:cstheme="minorHAnsi"/>
          <w:sz w:val="24"/>
          <w:szCs w:val="24"/>
        </w:rPr>
        <w:t>classroom</w:t>
      </w:r>
      <w:r w:rsidR="006B6DB2" w:rsidRPr="006D0DF5">
        <w:rPr>
          <w:rFonts w:cstheme="minorHAnsi"/>
          <w:sz w:val="24"/>
          <w:szCs w:val="24"/>
        </w:rPr>
        <w:t xml:space="preserve"> work, especially for students who started the school year </w:t>
      </w:r>
      <w:r w:rsidR="006B6DB2" w:rsidRPr="006D0DF5">
        <w:rPr>
          <w:rFonts w:cstheme="minorHAnsi"/>
          <w:sz w:val="24"/>
          <w:szCs w:val="24"/>
        </w:rPr>
        <w:lastRenderedPageBreak/>
        <w:t xml:space="preserve">behind, had significant </w:t>
      </w:r>
      <w:r w:rsidR="008C7C18" w:rsidRPr="006D0DF5">
        <w:rPr>
          <w:rFonts w:cstheme="minorHAnsi"/>
          <w:sz w:val="24"/>
          <w:szCs w:val="24"/>
        </w:rPr>
        <w:t xml:space="preserve">positive </w:t>
      </w:r>
      <w:r w:rsidR="006B6DB2" w:rsidRPr="006D0DF5">
        <w:rPr>
          <w:rFonts w:cstheme="minorHAnsi"/>
          <w:sz w:val="24"/>
          <w:szCs w:val="24"/>
        </w:rPr>
        <w:t xml:space="preserve">effects on student achievement. </w:t>
      </w:r>
      <w:r w:rsidRPr="006D0DF5">
        <w:rPr>
          <w:rFonts w:cstheme="minorHAnsi"/>
          <w:sz w:val="24"/>
          <w:szCs w:val="24"/>
        </w:rPr>
        <w:t xml:space="preserve"> We must do more to ensure that all students – especially those who are behind academically – have access to </w:t>
      </w:r>
      <w:r w:rsidR="001558F2" w:rsidRPr="006D0DF5">
        <w:rPr>
          <w:rFonts w:cstheme="minorHAnsi"/>
          <w:sz w:val="24"/>
          <w:szCs w:val="24"/>
        </w:rPr>
        <w:t>challenging</w:t>
      </w:r>
      <w:r w:rsidRPr="006D0DF5">
        <w:rPr>
          <w:rFonts w:cstheme="minorHAnsi"/>
          <w:sz w:val="24"/>
          <w:szCs w:val="24"/>
        </w:rPr>
        <w:t xml:space="preserve">, standards-aligned </w:t>
      </w:r>
      <w:r w:rsidR="002406AE" w:rsidRPr="006D0DF5">
        <w:rPr>
          <w:rFonts w:cstheme="minorHAnsi"/>
          <w:sz w:val="24"/>
          <w:szCs w:val="24"/>
        </w:rPr>
        <w:t>curricular materials and assignments</w:t>
      </w:r>
      <w:r w:rsidRPr="006D0DF5">
        <w:rPr>
          <w:rFonts w:cstheme="minorHAnsi"/>
          <w:sz w:val="24"/>
          <w:szCs w:val="24"/>
        </w:rPr>
        <w:t>.</w:t>
      </w:r>
    </w:p>
    <w:p w14:paraId="7D37D6B2" w14:textId="77777777" w:rsidR="00C76C30" w:rsidRDefault="00C76C30" w:rsidP="00C76C30">
      <w:pPr>
        <w:spacing w:after="0" w:line="276" w:lineRule="auto"/>
        <w:rPr>
          <w:rFonts w:cstheme="minorHAnsi"/>
          <w:sz w:val="24"/>
          <w:szCs w:val="24"/>
        </w:rPr>
      </w:pPr>
    </w:p>
    <w:p w14:paraId="2A38ECF9" w14:textId="1450DCEB" w:rsidR="004D3885" w:rsidRPr="006D0DF5" w:rsidRDefault="00915725" w:rsidP="00C76C30">
      <w:pPr>
        <w:spacing w:after="0" w:line="276" w:lineRule="auto"/>
        <w:rPr>
          <w:rFonts w:cstheme="minorHAnsi"/>
          <w:sz w:val="24"/>
          <w:szCs w:val="24"/>
        </w:rPr>
      </w:pPr>
      <w:r w:rsidRPr="006D0DF5">
        <w:rPr>
          <w:rFonts w:cstheme="minorHAnsi"/>
          <w:sz w:val="24"/>
          <w:szCs w:val="24"/>
        </w:rPr>
        <w:t xml:space="preserve">But while ensuring equitable access to </w:t>
      </w:r>
      <w:r w:rsidR="00B60AAE" w:rsidRPr="006D0DF5">
        <w:rPr>
          <w:rFonts w:cstheme="minorHAnsi"/>
          <w:sz w:val="24"/>
          <w:szCs w:val="24"/>
        </w:rPr>
        <w:t>rigorous</w:t>
      </w:r>
      <w:r w:rsidRPr="006D0DF5">
        <w:rPr>
          <w:rFonts w:cstheme="minorHAnsi"/>
          <w:sz w:val="24"/>
          <w:szCs w:val="24"/>
        </w:rPr>
        <w:t xml:space="preserve"> curricul</w:t>
      </w:r>
      <w:r w:rsidR="00B60AAE" w:rsidRPr="006D0DF5">
        <w:rPr>
          <w:rFonts w:cstheme="minorHAnsi"/>
          <w:sz w:val="24"/>
          <w:szCs w:val="24"/>
        </w:rPr>
        <w:t>a</w:t>
      </w:r>
      <w:r w:rsidR="00C87AB7" w:rsidRPr="006D0DF5">
        <w:rPr>
          <w:rFonts w:cstheme="minorHAnsi"/>
          <w:sz w:val="24"/>
          <w:szCs w:val="24"/>
        </w:rPr>
        <w:t xml:space="preserve"> </w:t>
      </w:r>
      <w:r w:rsidR="004D3885" w:rsidRPr="006D0DF5">
        <w:rPr>
          <w:rFonts w:cstheme="minorHAnsi"/>
          <w:sz w:val="24"/>
          <w:szCs w:val="24"/>
        </w:rPr>
        <w:t xml:space="preserve">is an important first step, our students will be asked to do more than </w:t>
      </w:r>
      <w:r w:rsidR="00690C84" w:rsidRPr="006D0DF5">
        <w:rPr>
          <w:rFonts w:cstheme="minorHAnsi"/>
          <w:sz w:val="24"/>
          <w:szCs w:val="24"/>
        </w:rPr>
        <w:t>demonstrate mastery of rigorous content</w:t>
      </w:r>
      <w:r w:rsidR="004D3885" w:rsidRPr="006D0DF5">
        <w:rPr>
          <w:rFonts w:cstheme="minorHAnsi"/>
          <w:sz w:val="24"/>
          <w:szCs w:val="24"/>
        </w:rPr>
        <w:t xml:space="preserve">.  </w:t>
      </w:r>
      <w:r w:rsidRPr="006D0DF5">
        <w:rPr>
          <w:rFonts w:cstheme="minorHAnsi"/>
          <w:sz w:val="24"/>
          <w:szCs w:val="24"/>
        </w:rPr>
        <w:t>They will be asked to create, to invent</w:t>
      </w:r>
      <w:r w:rsidR="0088305F" w:rsidRPr="006D0DF5">
        <w:rPr>
          <w:rFonts w:cstheme="minorHAnsi"/>
          <w:sz w:val="24"/>
          <w:szCs w:val="24"/>
        </w:rPr>
        <w:t>,</w:t>
      </w:r>
      <w:r w:rsidRPr="006D0DF5">
        <w:rPr>
          <w:rFonts w:cstheme="minorHAnsi"/>
          <w:sz w:val="24"/>
          <w:szCs w:val="24"/>
        </w:rPr>
        <w:t xml:space="preserve"> and to combine and apply concepts in new ways.</w:t>
      </w:r>
    </w:p>
    <w:p w14:paraId="0CA49E7A" w14:textId="77777777" w:rsidR="00C76C30" w:rsidRDefault="00C76C30" w:rsidP="00C76C30">
      <w:pPr>
        <w:spacing w:after="0" w:line="276" w:lineRule="auto"/>
        <w:rPr>
          <w:rFonts w:cstheme="minorHAnsi"/>
          <w:sz w:val="24"/>
          <w:szCs w:val="24"/>
        </w:rPr>
      </w:pPr>
    </w:p>
    <w:p w14:paraId="64E7C494" w14:textId="623454C3" w:rsidR="00387D79" w:rsidRPr="006D0DF5" w:rsidRDefault="00CC42A7" w:rsidP="00C76C30">
      <w:pPr>
        <w:spacing w:after="0" w:line="276" w:lineRule="auto"/>
        <w:rPr>
          <w:rFonts w:cstheme="minorHAnsi"/>
          <w:sz w:val="24"/>
          <w:szCs w:val="24"/>
        </w:rPr>
      </w:pPr>
      <w:r w:rsidRPr="006D0DF5">
        <w:rPr>
          <w:rFonts w:cstheme="minorHAnsi"/>
          <w:sz w:val="24"/>
          <w:szCs w:val="24"/>
        </w:rPr>
        <w:t xml:space="preserve">In their recent book, </w:t>
      </w:r>
      <w:hyperlink r:id="rId16" w:history="1">
        <w:r w:rsidR="006D16A4" w:rsidRPr="006D0DF5">
          <w:rPr>
            <w:rStyle w:val="Hyperlink"/>
            <w:rFonts w:cstheme="minorHAnsi"/>
            <w:i/>
            <w:sz w:val="24"/>
            <w:szCs w:val="24"/>
          </w:rPr>
          <w:t>In Search of Deeper Learning</w:t>
        </w:r>
      </w:hyperlink>
      <w:r w:rsidRPr="006D0DF5">
        <w:rPr>
          <w:rStyle w:val="Hyperlink"/>
          <w:rFonts w:cstheme="minorHAnsi"/>
          <w:i/>
          <w:sz w:val="24"/>
          <w:szCs w:val="24"/>
        </w:rPr>
        <w:t>,</w:t>
      </w:r>
      <w:r w:rsidRPr="006D0DF5">
        <w:t xml:space="preserve"> </w:t>
      </w:r>
      <w:r w:rsidRPr="006D0DF5">
        <w:rPr>
          <w:rFonts w:cstheme="minorHAnsi"/>
          <w:sz w:val="24"/>
          <w:szCs w:val="24"/>
        </w:rPr>
        <w:t>Jal Mehta and Sarah Fine describe their six-year survey of U.S. schools.</w:t>
      </w:r>
      <w:r w:rsidR="006D0DF5" w:rsidRPr="006D0DF5">
        <w:rPr>
          <w:rStyle w:val="FootnoteReference"/>
          <w:rFonts w:cstheme="minorHAnsi"/>
          <w:iCs/>
          <w:sz w:val="24"/>
          <w:szCs w:val="24"/>
        </w:rPr>
        <w:footnoteReference w:id="3"/>
      </w:r>
      <w:r w:rsidR="006D16A4" w:rsidRPr="006D0DF5">
        <w:rPr>
          <w:rFonts w:cstheme="minorHAnsi"/>
          <w:sz w:val="24"/>
          <w:szCs w:val="24"/>
        </w:rPr>
        <w:t xml:space="preserve"> </w:t>
      </w:r>
      <w:r w:rsidR="006D0DF5">
        <w:rPr>
          <w:rFonts w:cstheme="minorHAnsi"/>
          <w:sz w:val="24"/>
          <w:szCs w:val="24"/>
        </w:rPr>
        <w:t xml:space="preserve"> </w:t>
      </w:r>
      <w:r w:rsidR="006D16A4" w:rsidRPr="006D0DF5">
        <w:rPr>
          <w:rFonts w:cstheme="minorHAnsi"/>
          <w:sz w:val="24"/>
          <w:szCs w:val="24"/>
        </w:rPr>
        <w:t>They</w:t>
      </w:r>
      <w:r w:rsidR="00D6739E" w:rsidRPr="006D0DF5">
        <w:rPr>
          <w:rFonts w:cstheme="minorHAnsi"/>
          <w:sz w:val="24"/>
          <w:szCs w:val="24"/>
        </w:rPr>
        <w:t xml:space="preserve"> found that three primary </w:t>
      </w:r>
      <w:r w:rsidR="008A0CD4" w:rsidRPr="006D0DF5">
        <w:rPr>
          <w:rFonts w:cstheme="minorHAnsi"/>
          <w:sz w:val="24"/>
          <w:szCs w:val="24"/>
        </w:rPr>
        <w:t>attributes,</w:t>
      </w:r>
      <w:r w:rsidR="004D3885" w:rsidRPr="006D0DF5">
        <w:rPr>
          <w:rFonts w:cstheme="minorHAnsi"/>
          <w:sz w:val="24"/>
          <w:szCs w:val="24"/>
        </w:rPr>
        <w:t xml:space="preserve"> “mastery, identity and creativity</w:t>
      </w:r>
      <w:r w:rsidR="008A0CD4" w:rsidRPr="006D0DF5">
        <w:rPr>
          <w:rFonts w:cstheme="minorHAnsi"/>
          <w:sz w:val="24"/>
          <w:szCs w:val="24"/>
        </w:rPr>
        <w:t xml:space="preserve">,” supported by a strong learning community, </w:t>
      </w:r>
      <w:r w:rsidR="00D6739E" w:rsidRPr="006D0DF5">
        <w:rPr>
          <w:rFonts w:cstheme="minorHAnsi"/>
          <w:sz w:val="24"/>
          <w:szCs w:val="24"/>
        </w:rPr>
        <w:t>distinguish environments</w:t>
      </w:r>
      <w:r w:rsidR="00915725" w:rsidRPr="006D0DF5">
        <w:rPr>
          <w:rFonts w:cstheme="minorHAnsi"/>
          <w:sz w:val="24"/>
          <w:szCs w:val="24"/>
        </w:rPr>
        <w:t xml:space="preserve"> that ask students to think in deeper</w:t>
      </w:r>
      <w:r w:rsidR="00670821" w:rsidRPr="006D0DF5">
        <w:rPr>
          <w:rFonts w:cstheme="minorHAnsi"/>
          <w:sz w:val="24"/>
          <w:szCs w:val="24"/>
        </w:rPr>
        <w:t xml:space="preserve"> and inventive</w:t>
      </w:r>
      <w:r w:rsidR="00915725" w:rsidRPr="006D0DF5">
        <w:rPr>
          <w:rFonts w:cstheme="minorHAnsi"/>
          <w:sz w:val="24"/>
          <w:szCs w:val="24"/>
        </w:rPr>
        <w:t xml:space="preserve"> way</w:t>
      </w:r>
      <w:r w:rsidR="005B5088" w:rsidRPr="006D0DF5">
        <w:rPr>
          <w:rFonts w:cstheme="minorHAnsi"/>
          <w:sz w:val="24"/>
          <w:szCs w:val="24"/>
        </w:rPr>
        <w:t>s</w:t>
      </w:r>
      <w:r w:rsidR="006D0DF5">
        <w:rPr>
          <w:rFonts w:cstheme="minorHAnsi"/>
          <w:sz w:val="24"/>
          <w:szCs w:val="24"/>
        </w:rPr>
        <w:t>.</w:t>
      </w:r>
      <w:r w:rsidR="00F344FF" w:rsidRPr="006D0DF5">
        <w:rPr>
          <w:rFonts w:cstheme="minorHAnsi"/>
          <w:sz w:val="24"/>
          <w:szCs w:val="24"/>
        </w:rPr>
        <w:t xml:space="preserve">  </w:t>
      </w:r>
      <w:r w:rsidR="00D6739E" w:rsidRPr="006D0DF5">
        <w:rPr>
          <w:rFonts w:cstheme="minorHAnsi"/>
          <w:sz w:val="24"/>
          <w:szCs w:val="24"/>
        </w:rPr>
        <w:t xml:space="preserve">In this model, students </w:t>
      </w:r>
      <w:r w:rsidR="00F344FF" w:rsidRPr="006D0DF5">
        <w:rPr>
          <w:rFonts w:cstheme="minorHAnsi"/>
          <w:sz w:val="24"/>
          <w:szCs w:val="24"/>
        </w:rPr>
        <w:t xml:space="preserve">not only demonstrate fluency in a given academic domain, but </w:t>
      </w:r>
      <w:r w:rsidR="00C87AB7" w:rsidRPr="006D0DF5">
        <w:rPr>
          <w:rFonts w:cstheme="minorHAnsi"/>
          <w:sz w:val="24"/>
          <w:szCs w:val="24"/>
        </w:rPr>
        <w:t xml:space="preserve">also </w:t>
      </w:r>
      <w:r w:rsidR="00D6739E" w:rsidRPr="006D0DF5">
        <w:rPr>
          <w:rFonts w:cstheme="minorHAnsi"/>
          <w:sz w:val="24"/>
          <w:szCs w:val="24"/>
        </w:rPr>
        <w:t xml:space="preserve">come to identify themselves as participants </w:t>
      </w:r>
      <w:r w:rsidR="00F344FF" w:rsidRPr="006D0DF5">
        <w:rPr>
          <w:rFonts w:cstheme="minorHAnsi"/>
          <w:sz w:val="24"/>
          <w:szCs w:val="24"/>
        </w:rPr>
        <w:t xml:space="preserve">within and contributors to </w:t>
      </w:r>
      <w:r w:rsidR="005B5088" w:rsidRPr="006D0DF5">
        <w:rPr>
          <w:rFonts w:cstheme="minorHAnsi"/>
          <w:sz w:val="24"/>
          <w:szCs w:val="24"/>
        </w:rPr>
        <w:t>the domain</w:t>
      </w:r>
      <w:r w:rsidR="00690C84" w:rsidRPr="006D0DF5">
        <w:rPr>
          <w:rFonts w:cstheme="minorHAnsi"/>
          <w:sz w:val="24"/>
          <w:szCs w:val="24"/>
        </w:rPr>
        <w:t>.  Through the skilled guidance of an expert teacher, students are</w:t>
      </w:r>
      <w:r w:rsidR="00D6739E" w:rsidRPr="006D0DF5">
        <w:rPr>
          <w:rFonts w:cstheme="minorHAnsi"/>
          <w:sz w:val="24"/>
          <w:szCs w:val="24"/>
        </w:rPr>
        <w:t xml:space="preserve"> not learning </w:t>
      </w:r>
      <w:r w:rsidR="00D6739E" w:rsidRPr="006D0DF5">
        <w:rPr>
          <w:rFonts w:cstheme="minorHAnsi"/>
          <w:i/>
          <w:sz w:val="24"/>
          <w:szCs w:val="24"/>
        </w:rPr>
        <w:t>about</w:t>
      </w:r>
      <w:r w:rsidR="00D6739E" w:rsidRPr="006D0DF5">
        <w:rPr>
          <w:rFonts w:cstheme="minorHAnsi"/>
          <w:sz w:val="24"/>
          <w:szCs w:val="24"/>
        </w:rPr>
        <w:t xml:space="preserve"> history or mathematics</w:t>
      </w:r>
      <w:r w:rsidR="005B5088" w:rsidRPr="006D0DF5">
        <w:rPr>
          <w:rFonts w:cstheme="minorHAnsi"/>
          <w:sz w:val="24"/>
          <w:szCs w:val="24"/>
        </w:rPr>
        <w:t>,</w:t>
      </w:r>
      <w:r w:rsidR="00D6739E" w:rsidRPr="006D0DF5">
        <w:rPr>
          <w:rFonts w:cstheme="minorHAnsi"/>
          <w:sz w:val="24"/>
          <w:szCs w:val="24"/>
        </w:rPr>
        <w:t xml:space="preserve"> but</w:t>
      </w:r>
      <w:r w:rsidR="005B5088" w:rsidRPr="006D0DF5">
        <w:rPr>
          <w:rFonts w:cstheme="minorHAnsi"/>
          <w:sz w:val="24"/>
          <w:szCs w:val="24"/>
        </w:rPr>
        <w:t xml:space="preserve"> instead</w:t>
      </w:r>
      <w:r w:rsidR="00D6739E" w:rsidRPr="006D0DF5">
        <w:rPr>
          <w:rFonts w:cstheme="minorHAnsi"/>
          <w:sz w:val="24"/>
          <w:szCs w:val="24"/>
        </w:rPr>
        <w:t xml:space="preserve"> </w:t>
      </w:r>
      <w:r w:rsidR="00690C84" w:rsidRPr="006D0DF5">
        <w:rPr>
          <w:rFonts w:cstheme="minorHAnsi"/>
          <w:sz w:val="24"/>
          <w:szCs w:val="24"/>
        </w:rPr>
        <w:t>take on the roles of</w:t>
      </w:r>
      <w:r w:rsidR="00D6739E" w:rsidRPr="006D0DF5">
        <w:rPr>
          <w:rFonts w:cstheme="minorHAnsi"/>
          <w:sz w:val="24"/>
          <w:szCs w:val="24"/>
        </w:rPr>
        <w:t xml:space="preserve"> historians and mathematicians themselves.  </w:t>
      </w:r>
      <w:r w:rsidR="008A0CD4" w:rsidRPr="006D0DF5">
        <w:rPr>
          <w:rFonts w:cstheme="minorHAnsi"/>
          <w:sz w:val="24"/>
          <w:szCs w:val="24"/>
        </w:rPr>
        <w:t>In action, this</w:t>
      </w:r>
      <w:r w:rsidR="006059B0" w:rsidRPr="006D0DF5">
        <w:rPr>
          <w:rFonts w:cstheme="minorHAnsi"/>
          <w:sz w:val="24"/>
          <w:szCs w:val="24"/>
        </w:rPr>
        <w:t xml:space="preserve"> </w:t>
      </w:r>
      <w:r w:rsidR="008A0CD4" w:rsidRPr="006D0DF5">
        <w:rPr>
          <w:rFonts w:cstheme="minorHAnsi"/>
          <w:sz w:val="24"/>
          <w:szCs w:val="24"/>
        </w:rPr>
        <w:t>“</w:t>
      </w:r>
      <w:r w:rsidR="006059B0" w:rsidRPr="006D0DF5">
        <w:rPr>
          <w:rFonts w:cstheme="minorHAnsi"/>
          <w:sz w:val="24"/>
          <w:szCs w:val="24"/>
        </w:rPr>
        <w:t>apprenticeship model</w:t>
      </w:r>
      <w:r w:rsidR="008A0CD4" w:rsidRPr="006D0DF5">
        <w:rPr>
          <w:rFonts w:cstheme="minorHAnsi"/>
          <w:sz w:val="24"/>
          <w:szCs w:val="24"/>
        </w:rPr>
        <w:t>”</w:t>
      </w:r>
      <w:r w:rsidR="006059B0" w:rsidRPr="006D0DF5">
        <w:rPr>
          <w:rFonts w:cstheme="minorHAnsi"/>
          <w:sz w:val="24"/>
          <w:szCs w:val="24"/>
        </w:rPr>
        <w:t xml:space="preserve"> of teaching and learning</w:t>
      </w:r>
      <w:r w:rsidR="008A0CD4" w:rsidRPr="006D0DF5">
        <w:rPr>
          <w:rFonts w:cstheme="minorHAnsi"/>
          <w:sz w:val="24"/>
          <w:szCs w:val="24"/>
        </w:rPr>
        <w:t xml:space="preserve"> </w:t>
      </w:r>
      <w:r w:rsidR="006059B0" w:rsidRPr="006D0DF5">
        <w:rPr>
          <w:rFonts w:cstheme="minorHAnsi"/>
          <w:sz w:val="24"/>
          <w:szCs w:val="24"/>
        </w:rPr>
        <w:t>ask</w:t>
      </w:r>
      <w:r w:rsidR="008A0CD4" w:rsidRPr="006D0DF5">
        <w:rPr>
          <w:rFonts w:cstheme="minorHAnsi"/>
          <w:sz w:val="24"/>
          <w:szCs w:val="24"/>
        </w:rPr>
        <w:t>s students</w:t>
      </w:r>
      <w:r w:rsidR="006059B0" w:rsidRPr="006D0DF5">
        <w:rPr>
          <w:rFonts w:cstheme="minorHAnsi"/>
          <w:sz w:val="24"/>
          <w:szCs w:val="24"/>
        </w:rPr>
        <w:t xml:space="preserve"> to </w:t>
      </w:r>
      <w:r w:rsidR="004B217E" w:rsidRPr="006D0DF5">
        <w:rPr>
          <w:rFonts w:cstheme="minorHAnsi"/>
          <w:sz w:val="24"/>
          <w:szCs w:val="24"/>
        </w:rPr>
        <w:t>assume</w:t>
      </w:r>
      <w:r w:rsidR="006059B0" w:rsidRPr="006D0DF5">
        <w:rPr>
          <w:rFonts w:cstheme="minorHAnsi"/>
          <w:sz w:val="24"/>
          <w:szCs w:val="24"/>
        </w:rPr>
        <w:t xml:space="preserve"> increasing levels of responsibility, </w:t>
      </w:r>
      <w:r w:rsidR="00CA3992" w:rsidRPr="006D0DF5">
        <w:rPr>
          <w:rFonts w:cstheme="minorHAnsi"/>
          <w:sz w:val="24"/>
          <w:szCs w:val="24"/>
        </w:rPr>
        <w:t>eventually</w:t>
      </w:r>
      <w:r w:rsidR="006059B0" w:rsidRPr="006D0DF5">
        <w:rPr>
          <w:rFonts w:cstheme="minorHAnsi"/>
          <w:sz w:val="24"/>
          <w:szCs w:val="24"/>
        </w:rPr>
        <w:t xml:space="preserve"> making their own authentic contributions to the field.</w:t>
      </w:r>
    </w:p>
    <w:p w14:paraId="64BA561E" w14:textId="77777777" w:rsidR="00C76C30" w:rsidRDefault="00C76C30" w:rsidP="00C76C30">
      <w:pPr>
        <w:spacing w:after="0" w:line="276" w:lineRule="auto"/>
        <w:rPr>
          <w:rFonts w:cstheme="minorHAnsi"/>
          <w:sz w:val="24"/>
          <w:szCs w:val="24"/>
        </w:rPr>
      </w:pPr>
    </w:p>
    <w:p w14:paraId="2A6D3D7B" w14:textId="2260556F" w:rsidR="006C5402" w:rsidRPr="006D0DF5" w:rsidRDefault="006C5402" w:rsidP="00C76C30">
      <w:pPr>
        <w:spacing w:after="0" w:line="276" w:lineRule="auto"/>
        <w:rPr>
          <w:rFonts w:cstheme="minorHAnsi"/>
          <w:sz w:val="24"/>
          <w:szCs w:val="24"/>
        </w:rPr>
      </w:pPr>
      <w:r w:rsidRPr="006D0DF5">
        <w:rPr>
          <w:rFonts w:cstheme="minorHAnsi"/>
          <w:sz w:val="24"/>
          <w:szCs w:val="24"/>
        </w:rPr>
        <w:t>Mehta and Fine also highlight research by Fred Newmann</w:t>
      </w:r>
      <w:r w:rsidR="00CA3992" w:rsidRPr="006D0DF5">
        <w:rPr>
          <w:rFonts w:cstheme="minorHAnsi"/>
          <w:sz w:val="24"/>
          <w:szCs w:val="24"/>
        </w:rPr>
        <w:t xml:space="preserve"> </w:t>
      </w:r>
      <w:r w:rsidR="00670821" w:rsidRPr="006D0DF5">
        <w:rPr>
          <w:rFonts w:cstheme="minorHAnsi"/>
          <w:sz w:val="24"/>
          <w:szCs w:val="24"/>
        </w:rPr>
        <w:t>arguing that</w:t>
      </w:r>
      <w:r w:rsidRPr="006D0DF5">
        <w:rPr>
          <w:rFonts w:cstheme="minorHAnsi"/>
          <w:sz w:val="24"/>
          <w:szCs w:val="24"/>
        </w:rPr>
        <w:t xml:space="preserve"> student engagement </w:t>
      </w:r>
      <w:r w:rsidR="00CA3992" w:rsidRPr="006D0DF5">
        <w:rPr>
          <w:rFonts w:cstheme="minorHAnsi"/>
          <w:sz w:val="24"/>
          <w:szCs w:val="24"/>
        </w:rPr>
        <w:t xml:space="preserve">is core to </w:t>
      </w:r>
      <w:r w:rsidR="00670821" w:rsidRPr="006D0DF5">
        <w:rPr>
          <w:rFonts w:cstheme="minorHAnsi"/>
          <w:sz w:val="24"/>
          <w:szCs w:val="24"/>
        </w:rPr>
        <w:t>achievement</w:t>
      </w:r>
      <w:r w:rsidR="004503A3" w:rsidRPr="006D0DF5">
        <w:rPr>
          <w:rStyle w:val="FootnoteReference"/>
          <w:rFonts w:cstheme="minorHAnsi"/>
          <w:sz w:val="24"/>
          <w:szCs w:val="24"/>
        </w:rPr>
        <w:footnoteReference w:id="4"/>
      </w:r>
      <w:r w:rsidR="00CA3992" w:rsidRPr="006D0DF5">
        <w:rPr>
          <w:rFonts w:cstheme="minorHAnsi"/>
          <w:sz w:val="24"/>
          <w:szCs w:val="24"/>
        </w:rPr>
        <w:t xml:space="preserve"> </w:t>
      </w:r>
      <w:r w:rsidR="00CC42A7" w:rsidRPr="006D0DF5">
        <w:rPr>
          <w:rFonts w:cstheme="minorHAnsi"/>
          <w:sz w:val="24"/>
          <w:szCs w:val="24"/>
        </w:rPr>
        <w:t>– and yet</w:t>
      </w:r>
      <w:r w:rsidR="00CA3992" w:rsidRPr="006D0DF5">
        <w:rPr>
          <w:rFonts w:cstheme="minorHAnsi"/>
          <w:sz w:val="24"/>
          <w:szCs w:val="24"/>
        </w:rPr>
        <w:t xml:space="preserve"> engagement levels drop precipitously the longer students are in school</w:t>
      </w:r>
      <w:r w:rsidR="004B217E" w:rsidRPr="006D0DF5">
        <w:rPr>
          <w:rFonts w:cstheme="minorHAnsi"/>
          <w:sz w:val="24"/>
          <w:szCs w:val="24"/>
        </w:rPr>
        <w:t>;</w:t>
      </w:r>
      <w:r w:rsidR="009954F2" w:rsidRPr="006D0DF5">
        <w:rPr>
          <w:rFonts w:cstheme="minorHAnsi"/>
          <w:sz w:val="24"/>
          <w:szCs w:val="24"/>
        </w:rPr>
        <w:t xml:space="preserve"> </w:t>
      </w:r>
      <w:r w:rsidR="00CA3992" w:rsidRPr="006D0DF5">
        <w:rPr>
          <w:rFonts w:cstheme="minorHAnsi"/>
          <w:sz w:val="24"/>
          <w:szCs w:val="24"/>
        </w:rPr>
        <w:t>75% of fifth graders say they feel engaged as compared to 41% of ninth graders and 32% of eleventh graders.  And we also see</w:t>
      </w:r>
      <w:r w:rsidR="004B217E" w:rsidRPr="006D0DF5">
        <w:rPr>
          <w:rFonts w:cstheme="minorHAnsi"/>
          <w:sz w:val="24"/>
          <w:szCs w:val="24"/>
        </w:rPr>
        <w:t xml:space="preserve"> that</w:t>
      </w:r>
      <w:r w:rsidR="00CA3992" w:rsidRPr="006D0DF5">
        <w:rPr>
          <w:rFonts w:cstheme="minorHAnsi"/>
          <w:sz w:val="24"/>
          <w:szCs w:val="24"/>
        </w:rPr>
        <w:t xml:space="preserve"> “engagement gaps”</w:t>
      </w:r>
      <w:r w:rsidR="004B217E" w:rsidRPr="006D0DF5">
        <w:rPr>
          <w:rFonts w:cstheme="minorHAnsi"/>
          <w:sz w:val="24"/>
          <w:szCs w:val="24"/>
        </w:rPr>
        <w:t xml:space="preserve"> follow some </w:t>
      </w:r>
      <w:r w:rsidR="00CA3992" w:rsidRPr="006D0DF5">
        <w:rPr>
          <w:rFonts w:cstheme="minorHAnsi"/>
          <w:sz w:val="24"/>
          <w:szCs w:val="24"/>
        </w:rPr>
        <w:t>familiar</w:t>
      </w:r>
      <w:r w:rsidR="004B217E" w:rsidRPr="006D0DF5">
        <w:rPr>
          <w:rFonts w:cstheme="minorHAnsi"/>
          <w:sz w:val="24"/>
          <w:szCs w:val="24"/>
        </w:rPr>
        <w:t xml:space="preserve"> patterns:</w:t>
      </w:r>
      <w:r w:rsidR="00CA3992" w:rsidRPr="006D0DF5">
        <w:rPr>
          <w:rFonts w:cstheme="minorHAnsi"/>
          <w:sz w:val="24"/>
          <w:szCs w:val="24"/>
        </w:rPr>
        <w:t xml:space="preserve"> boys less engaged than girls, lower-income students less engaged than higher-income, and Latinx and black students less engaged than white and Asian students.</w:t>
      </w:r>
      <w:r w:rsidR="00C35B48" w:rsidRPr="006D0DF5">
        <w:rPr>
          <w:rStyle w:val="FootnoteReference"/>
          <w:rFonts w:cstheme="minorHAnsi"/>
          <w:sz w:val="24"/>
          <w:szCs w:val="24"/>
        </w:rPr>
        <w:footnoteReference w:id="5"/>
      </w:r>
    </w:p>
    <w:p w14:paraId="596AD320" w14:textId="77777777" w:rsidR="00C76C30" w:rsidRDefault="00C76C30" w:rsidP="00C76C30">
      <w:pPr>
        <w:spacing w:after="0" w:line="276" w:lineRule="auto"/>
        <w:rPr>
          <w:rFonts w:cstheme="minorHAnsi"/>
          <w:sz w:val="24"/>
          <w:szCs w:val="24"/>
        </w:rPr>
      </w:pPr>
    </w:p>
    <w:p w14:paraId="3BDC57BF" w14:textId="1FF4C9BD" w:rsidR="00387D79" w:rsidRDefault="008A0CD4" w:rsidP="00C76C30">
      <w:pPr>
        <w:spacing w:after="0" w:line="276" w:lineRule="auto"/>
        <w:rPr>
          <w:rFonts w:cstheme="minorHAnsi"/>
          <w:sz w:val="24"/>
          <w:szCs w:val="24"/>
        </w:rPr>
      </w:pPr>
      <w:r w:rsidRPr="006D0DF5">
        <w:rPr>
          <w:rFonts w:cstheme="minorHAnsi"/>
          <w:sz w:val="24"/>
          <w:szCs w:val="24"/>
        </w:rPr>
        <w:t xml:space="preserve">Across the Commonwealth, </w:t>
      </w:r>
      <w:r w:rsidR="00387D79" w:rsidRPr="006D0DF5">
        <w:rPr>
          <w:rFonts w:cstheme="minorHAnsi"/>
          <w:sz w:val="24"/>
          <w:szCs w:val="24"/>
        </w:rPr>
        <w:t xml:space="preserve">I have seen </w:t>
      </w:r>
      <w:r w:rsidR="00800E72" w:rsidRPr="006D0DF5">
        <w:rPr>
          <w:rFonts w:cstheme="minorHAnsi"/>
          <w:sz w:val="24"/>
          <w:szCs w:val="24"/>
        </w:rPr>
        <w:t xml:space="preserve">examples of </w:t>
      </w:r>
      <w:r w:rsidR="00387D79" w:rsidRPr="006D0DF5">
        <w:rPr>
          <w:rFonts w:cstheme="minorHAnsi"/>
          <w:sz w:val="24"/>
          <w:szCs w:val="24"/>
        </w:rPr>
        <w:t xml:space="preserve">powerful </w:t>
      </w:r>
      <w:r w:rsidR="00800E72" w:rsidRPr="006D0DF5">
        <w:rPr>
          <w:rFonts w:cstheme="minorHAnsi"/>
          <w:sz w:val="24"/>
          <w:szCs w:val="24"/>
        </w:rPr>
        <w:t xml:space="preserve">teaching </w:t>
      </w:r>
      <w:r w:rsidR="00C92990" w:rsidRPr="006D0DF5">
        <w:rPr>
          <w:rFonts w:cstheme="minorHAnsi"/>
          <w:sz w:val="24"/>
          <w:szCs w:val="24"/>
        </w:rPr>
        <w:t>and</w:t>
      </w:r>
      <w:r w:rsidR="00387483" w:rsidRPr="006D0DF5">
        <w:rPr>
          <w:rFonts w:cstheme="minorHAnsi"/>
          <w:sz w:val="24"/>
          <w:szCs w:val="24"/>
        </w:rPr>
        <w:t xml:space="preserve"> rigorous deeper learning</w:t>
      </w:r>
      <w:r w:rsidR="00C92990" w:rsidRPr="006D0DF5">
        <w:rPr>
          <w:rFonts w:cstheme="minorHAnsi"/>
          <w:sz w:val="24"/>
          <w:szCs w:val="24"/>
        </w:rPr>
        <w:t>,</w:t>
      </w:r>
      <w:r w:rsidR="00387483" w:rsidRPr="006D0DF5">
        <w:rPr>
          <w:rFonts w:cstheme="minorHAnsi"/>
          <w:sz w:val="24"/>
          <w:szCs w:val="24"/>
        </w:rPr>
        <w:t xml:space="preserve"> where students are highly</w:t>
      </w:r>
      <w:r w:rsidR="009954F2" w:rsidRPr="006D0DF5">
        <w:rPr>
          <w:rFonts w:cstheme="minorHAnsi"/>
          <w:sz w:val="24"/>
          <w:szCs w:val="24"/>
        </w:rPr>
        <w:t xml:space="preserve"> </w:t>
      </w:r>
      <w:r w:rsidR="00387483" w:rsidRPr="006D0DF5">
        <w:rPr>
          <w:rFonts w:cstheme="minorHAnsi"/>
          <w:sz w:val="24"/>
          <w:szCs w:val="24"/>
        </w:rPr>
        <w:t xml:space="preserve">engaged in substantive tasks, thinking critically and creatively, and working </w:t>
      </w:r>
      <w:r w:rsidR="00C930DF" w:rsidRPr="006D0DF5">
        <w:rPr>
          <w:rFonts w:cstheme="minorHAnsi"/>
          <w:sz w:val="24"/>
          <w:szCs w:val="24"/>
        </w:rPr>
        <w:t>collaboratively</w:t>
      </w:r>
      <w:r w:rsidR="00387483" w:rsidRPr="006D0DF5">
        <w:rPr>
          <w:rFonts w:cstheme="minorHAnsi"/>
          <w:sz w:val="24"/>
          <w:szCs w:val="24"/>
        </w:rPr>
        <w:t xml:space="preserve">. </w:t>
      </w:r>
      <w:r w:rsidR="00C92990" w:rsidRPr="006D0DF5">
        <w:rPr>
          <w:rFonts w:cstheme="minorHAnsi"/>
          <w:sz w:val="24"/>
          <w:szCs w:val="24"/>
        </w:rPr>
        <w:t xml:space="preserve"> We need to build upon </w:t>
      </w:r>
      <w:r w:rsidR="00A228FC">
        <w:rPr>
          <w:rFonts w:cstheme="minorHAnsi"/>
          <w:sz w:val="24"/>
          <w:szCs w:val="24"/>
        </w:rPr>
        <w:t>these successes</w:t>
      </w:r>
      <w:r w:rsidR="00800E72" w:rsidRPr="006D0DF5">
        <w:rPr>
          <w:rFonts w:cstheme="minorHAnsi"/>
          <w:sz w:val="24"/>
          <w:szCs w:val="24"/>
        </w:rPr>
        <w:t>.</w:t>
      </w:r>
      <w:r w:rsidR="00387D79" w:rsidRPr="006D0DF5">
        <w:rPr>
          <w:rFonts w:cstheme="minorHAnsi"/>
          <w:sz w:val="24"/>
          <w:szCs w:val="24"/>
        </w:rPr>
        <w:t xml:space="preserve">  </w:t>
      </w:r>
      <w:r w:rsidR="000A6212">
        <w:rPr>
          <w:rFonts w:cstheme="minorHAnsi"/>
          <w:sz w:val="24"/>
          <w:szCs w:val="24"/>
        </w:rPr>
        <w:t>There is</w:t>
      </w:r>
      <w:r w:rsidR="00234C03" w:rsidRPr="006D0DF5">
        <w:rPr>
          <w:rFonts w:cstheme="minorHAnsi"/>
          <w:sz w:val="24"/>
          <w:szCs w:val="24"/>
        </w:rPr>
        <w:t xml:space="preserve"> evidence that</w:t>
      </w:r>
      <w:r w:rsidR="00F15CAC" w:rsidRPr="006D0DF5">
        <w:rPr>
          <w:rFonts w:cstheme="minorHAnsi"/>
          <w:sz w:val="24"/>
          <w:szCs w:val="24"/>
        </w:rPr>
        <w:t xml:space="preserve"> deeper</w:t>
      </w:r>
      <w:r w:rsidR="00387D79" w:rsidRPr="006D0DF5">
        <w:rPr>
          <w:rFonts w:cstheme="minorHAnsi"/>
          <w:sz w:val="24"/>
          <w:szCs w:val="24"/>
        </w:rPr>
        <w:t xml:space="preserve"> learning experiences are </w:t>
      </w:r>
      <w:r w:rsidR="00F15CAC" w:rsidRPr="006D0DF5">
        <w:rPr>
          <w:rFonts w:cstheme="minorHAnsi"/>
          <w:sz w:val="24"/>
          <w:szCs w:val="24"/>
        </w:rPr>
        <w:t>more</w:t>
      </w:r>
      <w:r w:rsidR="00387D79" w:rsidRPr="006D0DF5">
        <w:rPr>
          <w:rFonts w:cstheme="minorHAnsi"/>
          <w:sz w:val="24"/>
          <w:szCs w:val="24"/>
        </w:rPr>
        <w:t xml:space="preserve"> common</w:t>
      </w:r>
      <w:r w:rsidR="00F15CAC" w:rsidRPr="006D0DF5">
        <w:rPr>
          <w:rFonts w:cstheme="minorHAnsi"/>
          <w:sz w:val="24"/>
          <w:szCs w:val="24"/>
        </w:rPr>
        <w:t xml:space="preserve"> </w:t>
      </w:r>
      <w:r w:rsidR="00387D79" w:rsidRPr="006D0DF5">
        <w:rPr>
          <w:rFonts w:cstheme="minorHAnsi"/>
          <w:sz w:val="24"/>
          <w:szCs w:val="24"/>
        </w:rPr>
        <w:t>in affluent communities and honors</w:t>
      </w:r>
      <w:r w:rsidR="004B217E" w:rsidRPr="006D0DF5">
        <w:rPr>
          <w:rFonts w:cstheme="minorHAnsi"/>
          <w:sz w:val="24"/>
          <w:szCs w:val="24"/>
        </w:rPr>
        <w:t>-</w:t>
      </w:r>
      <w:r w:rsidR="00387D79" w:rsidRPr="006D0DF5">
        <w:rPr>
          <w:rFonts w:cstheme="minorHAnsi"/>
          <w:sz w:val="24"/>
          <w:szCs w:val="24"/>
        </w:rPr>
        <w:t>track</w:t>
      </w:r>
      <w:r w:rsidR="004B217E" w:rsidRPr="006D0DF5">
        <w:rPr>
          <w:rFonts w:cstheme="minorHAnsi"/>
          <w:sz w:val="24"/>
          <w:szCs w:val="24"/>
        </w:rPr>
        <w:t xml:space="preserve"> classe</w:t>
      </w:r>
      <w:r w:rsidR="00387D79" w:rsidRPr="006D0DF5">
        <w:rPr>
          <w:rFonts w:cstheme="minorHAnsi"/>
          <w:sz w:val="24"/>
          <w:szCs w:val="24"/>
        </w:rPr>
        <w:t xml:space="preserve">s – </w:t>
      </w:r>
      <w:r w:rsidR="00F15CAC" w:rsidRPr="006D0DF5">
        <w:rPr>
          <w:rFonts w:cstheme="minorHAnsi"/>
          <w:sz w:val="24"/>
          <w:szCs w:val="24"/>
        </w:rPr>
        <w:t>school settings</w:t>
      </w:r>
      <w:r w:rsidR="00387D79" w:rsidRPr="006D0DF5">
        <w:rPr>
          <w:rFonts w:cstheme="minorHAnsi"/>
          <w:sz w:val="24"/>
          <w:szCs w:val="24"/>
        </w:rPr>
        <w:t xml:space="preserve"> to which our underprivileged students, English learners, and students with </w:t>
      </w:r>
      <w:r w:rsidR="004B217E" w:rsidRPr="006D0DF5">
        <w:rPr>
          <w:rFonts w:cstheme="minorHAnsi"/>
          <w:sz w:val="24"/>
          <w:szCs w:val="24"/>
        </w:rPr>
        <w:t>disabilities</w:t>
      </w:r>
      <w:r w:rsidR="00387D79" w:rsidRPr="006D0DF5">
        <w:rPr>
          <w:rFonts w:cstheme="minorHAnsi"/>
          <w:sz w:val="24"/>
          <w:szCs w:val="24"/>
        </w:rPr>
        <w:t xml:space="preserve"> do not always have equitable access.</w:t>
      </w:r>
      <w:r w:rsidR="008079BE" w:rsidRPr="006D0DF5">
        <w:rPr>
          <w:rStyle w:val="FootnoteReference"/>
          <w:rFonts w:cstheme="minorHAnsi"/>
          <w:sz w:val="24"/>
          <w:szCs w:val="24"/>
        </w:rPr>
        <w:footnoteReference w:id="6"/>
      </w:r>
      <w:r w:rsidR="00387D79" w:rsidRPr="006D0DF5">
        <w:rPr>
          <w:rFonts w:cstheme="minorHAnsi"/>
          <w:sz w:val="24"/>
          <w:szCs w:val="24"/>
        </w:rPr>
        <w:t xml:space="preserve">  </w:t>
      </w:r>
      <w:r w:rsidR="00A228FC" w:rsidRPr="006D0DF5">
        <w:rPr>
          <w:rFonts w:cstheme="minorHAnsi"/>
          <w:sz w:val="24"/>
          <w:szCs w:val="24"/>
        </w:rPr>
        <w:t xml:space="preserve">We must work together </w:t>
      </w:r>
      <w:r w:rsidR="00A228FC">
        <w:rPr>
          <w:rFonts w:cstheme="minorHAnsi"/>
          <w:sz w:val="24"/>
          <w:szCs w:val="24"/>
        </w:rPr>
        <w:t>ensure these</w:t>
      </w:r>
      <w:r w:rsidR="00A228FC" w:rsidRPr="006D0DF5">
        <w:rPr>
          <w:rFonts w:cstheme="minorHAnsi"/>
          <w:sz w:val="24"/>
          <w:szCs w:val="24"/>
        </w:rPr>
        <w:t xml:space="preserve"> types of engaging deeper learning experiences </w:t>
      </w:r>
      <w:r w:rsidR="00A228FC">
        <w:rPr>
          <w:rFonts w:cstheme="minorHAnsi"/>
          <w:sz w:val="24"/>
          <w:szCs w:val="24"/>
        </w:rPr>
        <w:t>are accessible to</w:t>
      </w:r>
      <w:r w:rsidR="00A228FC" w:rsidRPr="006D0DF5">
        <w:rPr>
          <w:rFonts w:cstheme="minorHAnsi"/>
          <w:sz w:val="24"/>
          <w:szCs w:val="24"/>
        </w:rPr>
        <w:t xml:space="preserve"> all students.</w:t>
      </w:r>
    </w:p>
    <w:p w14:paraId="0F1F1FD8" w14:textId="72326A5C" w:rsidR="00387D79" w:rsidRDefault="00387D79" w:rsidP="00C76C30">
      <w:pPr>
        <w:spacing w:after="0" w:line="276" w:lineRule="auto"/>
        <w:rPr>
          <w:rFonts w:cstheme="minorHAnsi"/>
          <w:sz w:val="24"/>
          <w:szCs w:val="24"/>
        </w:rPr>
      </w:pPr>
      <w:r w:rsidRPr="006D0DF5">
        <w:rPr>
          <w:rFonts w:cstheme="minorHAnsi"/>
          <w:sz w:val="24"/>
          <w:szCs w:val="24"/>
        </w:rPr>
        <w:lastRenderedPageBreak/>
        <w:t>The shifts</w:t>
      </w:r>
      <w:r w:rsidR="00F15CAC" w:rsidRPr="006D0DF5">
        <w:rPr>
          <w:rFonts w:cstheme="minorHAnsi"/>
          <w:sz w:val="24"/>
          <w:szCs w:val="24"/>
        </w:rPr>
        <w:t xml:space="preserve"> required to support a statewide move to deeper learning</w:t>
      </w:r>
      <w:r w:rsidRPr="006D0DF5">
        <w:rPr>
          <w:rFonts w:cstheme="minorHAnsi"/>
          <w:sz w:val="24"/>
          <w:szCs w:val="24"/>
        </w:rPr>
        <w:t xml:space="preserve"> are not trivial, </w:t>
      </w:r>
      <w:r w:rsidR="00F15CAC" w:rsidRPr="006D0DF5">
        <w:rPr>
          <w:rFonts w:cstheme="minorHAnsi"/>
          <w:sz w:val="24"/>
          <w:szCs w:val="24"/>
        </w:rPr>
        <w:t xml:space="preserve">and they will require </w:t>
      </w:r>
      <w:r w:rsidR="00F5714C" w:rsidRPr="006D0DF5">
        <w:rPr>
          <w:rFonts w:cstheme="minorHAnsi"/>
          <w:sz w:val="24"/>
          <w:szCs w:val="24"/>
        </w:rPr>
        <w:t xml:space="preserve">partnerships across </w:t>
      </w:r>
      <w:r w:rsidR="00F15CAC" w:rsidRPr="006D0DF5">
        <w:rPr>
          <w:rFonts w:cstheme="minorHAnsi"/>
          <w:sz w:val="24"/>
          <w:szCs w:val="24"/>
        </w:rPr>
        <w:t>all levels of the education system</w:t>
      </w:r>
      <w:r w:rsidR="00F5714C" w:rsidRPr="006D0DF5">
        <w:rPr>
          <w:rFonts w:cstheme="minorHAnsi"/>
          <w:sz w:val="24"/>
          <w:szCs w:val="24"/>
        </w:rPr>
        <w:t>:</w:t>
      </w:r>
    </w:p>
    <w:p w14:paraId="13272F4E" w14:textId="77777777" w:rsidR="00C76C30" w:rsidRPr="006D0DF5" w:rsidRDefault="00C76C30" w:rsidP="00C76C30">
      <w:pPr>
        <w:spacing w:after="0" w:line="276" w:lineRule="auto"/>
        <w:rPr>
          <w:rFonts w:cstheme="minorHAnsi"/>
          <w:sz w:val="24"/>
          <w:szCs w:val="24"/>
        </w:rPr>
      </w:pPr>
    </w:p>
    <w:p w14:paraId="381552B3" w14:textId="3B07C9AA" w:rsidR="00387483" w:rsidRPr="006D0DF5" w:rsidRDefault="00963A84" w:rsidP="00C76C30">
      <w:pPr>
        <w:spacing w:after="0" w:line="276" w:lineRule="auto"/>
        <w:rPr>
          <w:rFonts w:cstheme="minorHAnsi"/>
          <w:sz w:val="24"/>
          <w:szCs w:val="24"/>
        </w:rPr>
      </w:pPr>
      <w:r w:rsidRPr="00C76C30">
        <w:rPr>
          <w:rFonts w:cstheme="minorHAnsi"/>
          <w:b/>
          <w:bCs/>
          <w:sz w:val="24"/>
          <w:szCs w:val="24"/>
        </w:rPr>
        <w:t>In the Classroom</w:t>
      </w:r>
      <w:r w:rsidR="00F5714C" w:rsidRPr="00C76C30">
        <w:rPr>
          <w:rFonts w:cstheme="minorHAnsi"/>
          <w:b/>
          <w:bCs/>
          <w:sz w:val="24"/>
          <w:szCs w:val="24"/>
        </w:rPr>
        <w:t xml:space="preserve">: </w:t>
      </w:r>
      <w:r w:rsidR="004B5402" w:rsidRPr="00C76C30">
        <w:rPr>
          <w:rFonts w:cstheme="minorHAnsi"/>
          <w:b/>
          <w:bCs/>
          <w:sz w:val="24"/>
          <w:szCs w:val="24"/>
        </w:rPr>
        <w:t xml:space="preserve">Focusing on </w:t>
      </w:r>
      <w:r w:rsidR="00F46695" w:rsidRPr="00C76C30">
        <w:rPr>
          <w:rFonts w:cstheme="minorHAnsi"/>
          <w:b/>
          <w:bCs/>
          <w:sz w:val="24"/>
          <w:szCs w:val="24"/>
        </w:rPr>
        <w:t>Deeper Learning Tasks</w:t>
      </w:r>
      <w:r w:rsidR="00907C8A" w:rsidRPr="00C76C30">
        <w:rPr>
          <w:rFonts w:cstheme="minorHAnsi"/>
          <w:b/>
          <w:bCs/>
          <w:sz w:val="24"/>
          <w:szCs w:val="24"/>
        </w:rPr>
        <w:t>.</w:t>
      </w:r>
      <w:r w:rsidR="00F46695" w:rsidRPr="006D0DF5">
        <w:rPr>
          <w:rFonts w:cstheme="minorHAnsi"/>
          <w:sz w:val="24"/>
          <w:szCs w:val="24"/>
        </w:rPr>
        <w:t xml:space="preserve"> </w:t>
      </w:r>
      <w:r w:rsidR="006D16A4" w:rsidRPr="006D0DF5">
        <w:rPr>
          <w:rFonts w:cstheme="minorHAnsi"/>
          <w:sz w:val="24"/>
          <w:szCs w:val="24"/>
        </w:rPr>
        <w:t xml:space="preserve">As a state, we </w:t>
      </w:r>
      <w:r w:rsidR="00FD2D50" w:rsidRPr="006D0DF5">
        <w:rPr>
          <w:rFonts w:cstheme="minorHAnsi"/>
          <w:sz w:val="24"/>
          <w:szCs w:val="24"/>
        </w:rPr>
        <w:t>must</w:t>
      </w:r>
      <w:r w:rsidR="003C0071" w:rsidRPr="006D0DF5">
        <w:rPr>
          <w:rFonts w:cstheme="minorHAnsi"/>
          <w:sz w:val="24"/>
          <w:szCs w:val="24"/>
        </w:rPr>
        <w:t xml:space="preserve"> intensify our</w:t>
      </w:r>
      <w:r w:rsidR="00FB304E" w:rsidRPr="006D0DF5">
        <w:rPr>
          <w:rFonts w:cstheme="minorHAnsi"/>
          <w:sz w:val="24"/>
          <w:szCs w:val="24"/>
        </w:rPr>
        <w:t xml:space="preserve"> focus on the </w:t>
      </w:r>
      <w:r w:rsidR="004D0FF8" w:rsidRPr="006D0DF5">
        <w:rPr>
          <w:rFonts w:cstheme="minorHAnsi"/>
          <w:sz w:val="24"/>
          <w:szCs w:val="24"/>
        </w:rPr>
        <w:t>tasks and activities that students are working on</w:t>
      </w:r>
      <w:r w:rsidR="002A0B90" w:rsidRPr="006D0DF5">
        <w:rPr>
          <w:rFonts w:cstheme="minorHAnsi"/>
          <w:sz w:val="24"/>
          <w:szCs w:val="24"/>
        </w:rPr>
        <w:t xml:space="preserve"> in the classroom</w:t>
      </w:r>
      <w:r w:rsidR="00FB304E" w:rsidRPr="006D0DF5">
        <w:rPr>
          <w:rFonts w:cstheme="minorHAnsi"/>
          <w:sz w:val="24"/>
          <w:szCs w:val="24"/>
        </w:rPr>
        <w:t xml:space="preserve">.  </w:t>
      </w:r>
      <w:r w:rsidR="00234C03" w:rsidRPr="006D0DF5">
        <w:rPr>
          <w:rFonts w:cstheme="minorHAnsi"/>
          <w:sz w:val="24"/>
          <w:szCs w:val="24"/>
        </w:rPr>
        <w:t>As Richard Elmore has stated,</w:t>
      </w:r>
      <w:r w:rsidR="00690C84" w:rsidRPr="006D0DF5">
        <w:rPr>
          <w:rFonts w:cstheme="minorHAnsi"/>
          <w:sz w:val="24"/>
          <w:szCs w:val="24"/>
        </w:rPr>
        <w:t xml:space="preserve"> “task predicts performance” – that </w:t>
      </w:r>
      <w:r w:rsidR="00234C03" w:rsidRPr="006D0DF5">
        <w:rPr>
          <w:rFonts w:cstheme="minorHAnsi"/>
          <w:sz w:val="24"/>
          <w:szCs w:val="24"/>
        </w:rPr>
        <w:t>is, the</w:t>
      </w:r>
      <w:r w:rsidR="00690C84" w:rsidRPr="006D0DF5">
        <w:rPr>
          <w:rFonts w:cstheme="minorHAnsi"/>
          <w:sz w:val="24"/>
          <w:szCs w:val="24"/>
        </w:rPr>
        <w:t xml:space="preserve"> quality of the </w:t>
      </w:r>
      <w:proofErr w:type="gramStart"/>
      <w:r w:rsidR="00690C84" w:rsidRPr="006D0DF5">
        <w:rPr>
          <w:rFonts w:cstheme="minorHAnsi"/>
          <w:sz w:val="24"/>
          <w:szCs w:val="24"/>
        </w:rPr>
        <w:t>activit</w:t>
      </w:r>
      <w:r w:rsidR="005B5088" w:rsidRPr="006D0DF5">
        <w:rPr>
          <w:rFonts w:cstheme="minorHAnsi"/>
          <w:sz w:val="24"/>
          <w:szCs w:val="24"/>
        </w:rPr>
        <w:t>ies</w:t>
      </w:r>
      <w:proofErr w:type="gramEnd"/>
      <w:r w:rsidR="00690C84" w:rsidRPr="006D0DF5">
        <w:rPr>
          <w:rFonts w:cstheme="minorHAnsi"/>
          <w:sz w:val="24"/>
          <w:szCs w:val="24"/>
        </w:rPr>
        <w:t xml:space="preserve"> students </w:t>
      </w:r>
      <w:r w:rsidR="00193E94" w:rsidRPr="006D0DF5">
        <w:rPr>
          <w:rFonts w:cstheme="minorHAnsi"/>
          <w:sz w:val="24"/>
          <w:szCs w:val="24"/>
        </w:rPr>
        <w:t xml:space="preserve">engage </w:t>
      </w:r>
      <w:r w:rsidR="00670821" w:rsidRPr="006D0DF5">
        <w:rPr>
          <w:rFonts w:cstheme="minorHAnsi"/>
          <w:sz w:val="24"/>
          <w:szCs w:val="24"/>
        </w:rPr>
        <w:t>in</w:t>
      </w:r>
      <w:r w:rsidR="00690C84" w:rsidRPr="006D0DF5">
        <w:rPr>
          <w:rFonts w:cstheme="minorHAnsi"/>
          <w:sz w:val="24"/>
          <w:szCs w:val="24"/>
        </w:rPr>
        <w:t xml:space="preserve"> will determine how well </w:t>
      </w:r>
      <w:r w:rsidR="00193E94" w:rsidRPr="006D0DF5">
        <w:rPr>
          <w:rFonts w:cstheme="minorHAnsi"/>
          <w:sz w:val="24"/>
          <w:szCs w:val="24"/>
        </w:rPr>
        <w:t>they</w:t>
      </w:r>
      <w:r w:rsidR="00690C84" w:rsidRPr="006D0DF5">
        <w:rPr>
          <w:rFonts w:cstheme="minorHAnsi"/>
          <w:sz w:val="24"/>
          <w:szCs w:val="24"/>
        </w:rPr>
        <w:t xml:space="preserve"> learn the material.</w:t>
      </w:r>
      <w:r w:rsidR="00A955D9" w:rsidRPr="006D0DF5">
        <w:rPr>
          <w:rStyle w:val="FootnoteReference"/>
          <w:rFonts w:cstheme="minorHAnsi"/>
          <w:sz w:val="24"/>
          <w:szCs w:val="24"/>
        </w:rPr>
        <w:footnoteReference w:id="7"/>
      </w:r>
      <w:r w:rsidR="00690C84" w:rsidRPr="006D0DF5">
        <w:rPr>
          <w:rFonts w:cstheme="minorHAnsi"/>
          <w:sz w:val="24"/>
          <w:szCs w:val="24"/>
        </w:rPr>
        <w:t xml:space="preserve">  </w:t>
      </w:r>
      <w:r w:rsidR="00234C03" w:rsidRPr="006D0DF5">
        <w:rPr>
          <w:rFonts w:cstheme="minorHAnsi"/>
          <w:sz w:val="24"/>
          <w:szCs w:val="24"/>
        </w:rPr>
        <w:t>Every teacher</w:t>
      </w:r>
      <w:r w:rsidR="004D0FF8" w:rsidRPr="006D0DF5">
        <w:rPr>
          <w:rFonts w:cstheme="minorHAnsi"/>
          <w:sz w:val="24"/>
          <w:szCs w:val="24"/>
        </w:rPr>
        <w:t xml:space="preserve"> should </w:t>
      </w:r>
      <w:r w:rsidR="00234C03" w:rsidRPr="006D0DF5">
        <w:rPr>
          <w:rFonts w:cstheme="minorHAnsi"/>
          <w:sz w:val="24"/>
          <w:szCs w:val="24"/>
        </w:rPr>
        <w:t>be equipped with a rigorous</w:t>
      </w:r>
      <w:r w:rsidR="004D0FF8" w:rsidRPr="006D0DF5">
        <w:rPr>
          <w:rFonts w:cstheme="minorHAnsi"/>
          <w:sz w:val="24"/>
          <w:szCs w:val="24"/>
        </w:rPr>
        <w:t xml:space="preserve"> curriculum </w:t>
      </w:r>
      <w:r w:rsidR="00234C03" w:rsidRPr="006D0DF5">
        <w:rPr>
          <w:rFonts w:cstheme="minorHAnsi"/>
          <w:sz w:val="24"/>
          <w:szCs w:val="24"/>
        </w:rPr>
        <w:t xml:space="preserve">that is aligned </w:t>
      </w:r>
      <w:r w:rsidR="000A6212">
        <w:rPr>
          <w:rFonts w:cstheme="minorHAnsi"/>
          <w:sz w:val="24"/>
          <w:szCs w:val="24"/>
        </w:rPr>
        <w:t>to</w:t>
      </w:r>
      <w:r w:rsidR="00234C03" w:rsidRPr="006D0DF5">
        <w:rPr>
          <w:rFonts w:cstheme="minorHAnsi"/>
          <w:sz w:val="24"/>
          <w:szCs w:val="24"/>
        </w:rPr>
        <w:t xml:space="preserve"> state standards</w:t>
      </w:r>
      <w:r w:rsidR="004D0FF8" w:rsidRPr="006D0DF5">
        <w:rPr>
          <w:rFonts w:cstheme="minorHAnsi"/>
          <w:sz w:val="24"/>
          <w:szCs w:val="24"/>
        </w:rPr>
        <w:t xml:space="preserve">.  </w:t>
      </w:r>
      <w:r w:rsidR="00234C03" w:rsidRPr="006D0DF5">
        <w:rPr>
          <w:rFonts w:cstheme="minorHAnsi"/>
          <w:sz w:val="24"/>
          <w:szCs w:val="24"/>
        </w:rPr>
        <w:t>After</w:t>
      </w:r>
      <w:r w:rsidR="004D0FF8" w:rsidRPr="006D0DF5">
        <w:rPr>
          <w:rFonts w:cstheme="minorHAnsi"/>
          <w:sz w:val="24"/>
          <w:szCs w:val="24"/>
        </w:rPr>
        <w:t xml:space="preserve"> mastering that curriculum, teachers can innovate further</w:t>
      </w:r>
      <w:r w:rsidR="00387483" w:rsidRPr="006D0DF5">
        <w:rPr>
          <w:rFonts w:cstheme="minorHAnsi"/>
          <w:sz w:val="24"/>
          <w:szCs w:val="24"/>
        </w:rPr>
        <w:t xml:space="preserve">.  </w:t>
      </w:r>
      <w:r w:rsidR="003B7E01" w:rsidRPr="006D0DF5">
        <w:rPr>
          <w:rFonts w:cstheme="minorHAnsi"/>
          <w:sz w:val="24"/>
          <w:szCs w:val="24"/>
        </w:rPr>
        <w:t xml:space="preserve">Leveraging our </w:t>
      </w:r>
      <w:r w:rsidR="00234C03" w:rsidRPr="006D0DF5">
        <w:rPr>
          <w:rFonts w:cstheme="minorHAnsi"/>
          <w:sz w:val="24"/>
          <w:szCs w:val="24"/>
        </w:rPr>
        <w:t>expert</w:t>
      </w:r>
      <w:r w:rsidR="003B7E01" w:rsidRPr="006D0DF5">
        <w:rPr>
          <w:rFonts w:cstheme="minorHAnsi"/>
          <w:sz w:val="24"/>
          <w:szCs w:val="24"/>
        </w:rPr>
        <w:t xml:space="preserve"> educators and vetted partner-created resources, w</w:t>
      </w:r>
      <w:r w:rsidR="00387483" w:rsidRPr="006D0DF5">
        <w:rPr>
          <w:rFonts w:cstheme="minorHAnsi"/>
          <w:sz w:val="24"/>
          <w:szCs w:val="24"/>
        </w:rPr>
        <w:t>e must develop</w:t>
      </w:r>
      <w:r w:rsidR="004B5402" w:rsidRPr="006D0DF5">
        <w:rPr>
          <w:rFonts w:cstheme="minorHAnsi"/>
          <w:sz w:val="24"/>
          <w:szCs w:val="24"/>
        </w:rPr>
        <w:t xml:space="preserve"> statewide models of </w:t>
      </w:r>
      <w:r w:rsidR="001558F2" w:rsidRPr="006D0DF5">
        <w:rPr>
          <w:rFonts w:cstheme="minorHAnsi"/>
          <w:sz w:val="24"/>
          <w:szCs w:val="24"/>
        </w:rPr>
        <w:t>engaging</w:t>
      </w:r>
      <w:r w:rsidR="004B5402" w:rsidRPr="006D0DF5">
        <w:rPr>
          <w:rFonts w:cstheme="minorHAnsi"/>
          <w:sz w:val="24"/>
          <w:szCs w:val="24"/>
        </w:rPr>
        <w:t xml:space="preserve"> tasks</w:t>
      </w:r>
      <w:r w:rsidR="003B7E01" w:rsidRPr="006D0DF5">
        <w:rPr>
          <w:rFonts w:cstheme="minorHAnsi"/>
          <w:sz w:val="24"/>
          <w:szCs w:val="24"/>
        </w:rPr>
        <w:t xml:space="preserve"> – activities </w:t>
      </w:r>
      <w:r w:rsidR="001558F2" w:rsidRPr="006D0DF5">
        <w:rPr>
          <w:rFonts w:cstheme="minorHAnsi"/>
          <w:sz w:val="24"/>
          <w:szCs w:val="24"/>
        </w:rPr>
        <w:t>that ask students to master content knowledge and life skills through the creation of meaningful</w:t>
      </w:r>
      <w:r w:rsidR="003B7E01" w:rsidRPr="006D0DF5">
        <w:rPr>
          <w:rFonts w:cstheme="minorHAnsi"/>
          <w:sz w:val="24"/>
          <w:szCs w:val="24"/>
        </w:rPr>
        <w:t xml:space="preserve">, </w:t>
      </w:r>
      <w:r w:rsidR="001558F2" w:rsidRPr="006D0DF5">
        <w:rPr>
          <w:rFonts w:cstheme="minorHAnsi"/>
          <w:sz w:val="24"/>
          <w:szCs w:val="24"/>
        </w:rPr>
        <w:t>original work products</w:t>
      </w:r>
      <w:r w:rsidRPr="006D0DF5">
        <w:rPr>
          <w:rFonts w:cstheme="minorHAnsi"/>
          <w:sz w:val="24"/>
          <w:szCs w:val="24"/>
        </w:rPr>
        <w:t xml:space="preserve">.  </w:t>
      </w:r>
      <w:r w:rsidR="00C930DF" w:rsidRPr="006D0DF5">
        <w:rPr>
          <w:rFonts w:cstheme="minorHAnsi"/>
          <w:sz w:val="24"/>
          <w:szCs w:val="24"/>
        </w:rPr>
        <w:t xml:space="preserve">We must also ensure that our school communities hold high expectations that </w:t>
      </w:r>
      <w:r w:rsidR="00C930DF" w:rsidRPr="006D0DF5">
        <w:rPr>
          <w:rFonts w:cstheme="minorHAnsi"/>
          <w:i/>
          <w:iCs/>
          <w:sz w:val="24"/>
          <w:szCs w:val="24"/>
        </w:rPr>
        <w:t>all</w:t>
      </w:r>
      <w:r w:rsidR="00C930DF" w:rsidRPr="006D0DF5">
        <w:rPr>
          <w:rFonts w:cstheme="minorHAnsi"/>
          <w:sz w:val="24"/>
          <w:szCs w:val="24"/>
        </w:rPr>
        <w:t xml:space="preserve"> students can effectively engage in higher-order tasks.</w:t>
      </w:r>
    </w:p>
    <w:p w14:paraId="1AEE92B4" w14:textId="77777777" w:rsidR="00C76C30" w:rsidRDefault="00C76C30" w:rsidP="00C76C30">
      <w:pPr>
        <w:spacing w:after="0" w:line="276" w:lineRule="auto"/>
        <w:rPr>
          <w:rFonts w:cstheme="minorHAnsi"/>
          <w:sz w:val="24"/>
          <w:szCs w:val="24"/>
          <w:u w:val="single"/>
        </w:rPr>
      </w:pPr>
    </w:p>
    <w:p w14:paraId="25125D78" w14:textId="4D7EB2F8" w:rsidR="00963A84" w:rsidRDefault="00963A84" w:rsidP="00C76C30">
      <w:pPr>
        <w:spacing w:after="0" w:line="276" w:lineRule="auto"/>
        <w:rPr>
          <w:rFonts w:cstheme="minorHAnsi"/>
          <w:sz w:val="24"/>
          <w:szCs w:val="24"/>
        </w:rPr>
      </w:pPr>
      <w:r w:rsidRPr="00C76C30">
        <w:rPr>
          <w:rFonts w:cstheme="minorHAnsi"/>
          <w:b/>
          <w:bCs/>
          <w:sz w:val="24"/>
          <w:szCs w:val="24"/>
        </w:rPr>
        <w:t xml:space="preserve">At the </w:t>
      </w:r>
      <w:r w:rsidR="00193E94" w:rsidRPr="00C76C30">
        <w:rPr>
          <w:rFonts w:cstheme="minorHAnsi"/>
          <w:b/>
          <w:bCs/>
          <w:sz w:val="24"/>
          <w:szCs w:val="24"/>
        </w:rPr>
        <w:t>Schoo</w:t>
      </w:r>
      <w:r w:rsidR="00F5714C" w:rsidRPr="00C76C30">
        <w:rPr>
          <w:rFonts w:cstheme="minorHAnsi"/>
          <w:b/>
          <w:bCs/>
          <w:sz w:val="24"/>
          <w:szCs w:val="24"/>
        </w:rPr>
        <w:t>l: Establishing Conditions for Deeper Learning</w:t>
      </w:r>
      <w:r w:rsidR="00F5714C" w:rsidRPr="00C76C30">
        <w:rPr>
          <w:rFonts w:cstheme="minorHAnsi"/>
          <w:b/>
          <w:bCs/>
          <w:i/>
          <w:sz w:val="24"/>
          <w:szCs w:val="24"/>
        </w:rPr>
        <w:t>.</w:t>
      </w:r>
      <w:r w:rsidR="00F5714C" w:rsidRPr="006D0DF5">
        <w:rPr>
          <w:rFonts w:cstheme="minorHAnsi"/>
          <w:b/>
          <w:i/>
          <w:sz w:val="24"/>
          <w:szCs w:val="24"/>
        </w:rPr>
        <w:t xml:space="preserve">  </w:t>
      </w:r>
      <w:r w:rsidR="00F5714C" w:rsidRPr="006D0DF5">
        <w:rPr>
          <w:rFonts w:cstheme="minorHAnsi"/>
          <w:sz w:val="24"/>
          <w:szCs w:val="24"/>
        </w:rPr>
        <w:t xml:space="preserve">Principals play a critical role in </w:t>
      </w:r>
      <w:r w:rsidR="00234C03" w:rsidRPr="006D0DF5">
        <w:rPr>
          <w:rFonts w:cstheme="minorHAnsi"/>
          <w:sz w:val="24"/>
          <w:szCs w:val="24"/>
        </w:rPr>
        <w:t>shaping</w:t>
      </w:r>
      <w:r w:rsidR="00F5714C" w:rsidRPr="006D0DF5">
        <w:rPr>
          <w:rFonts w:cstheme="minorHAnsi"/>
          <w:sz w:val="24"/>
          <w:szCs w:val="24"/>
        </w:rPr>
        <w:t xml:space="preserve"> </w:t>
      </w:r>
      <w:r w:rsidR="006C5402" w:rsidRPr="006D0DF5">
        <w:rPr>
          <w:rFonts w:cstheme="minorHAnsi"/>
          <w:sz w:val="24"/>
          <w:szCs w:val="24"/>
        </w:rPr>
        <w:t xml:space="preserve">school </w:t>
      </w:r>
      <w:r w:rsidR="00F5714C" w:rsidRPr="006D0DF5">
        <w:rPr>
          <w:rFonts w:cstheme="minorHAnsi"/>
          <w:sz w:val="24"/>
          <w:szCs w:val="24"/>
        </w:rPr>
        <w:t xml:space="preserve">environments </w:t>
      </w:r>
      <w:r w:rsidR="002A0B90" w:rsidRPr="006D0DF5">
        <w:rPr>
          <w:rFonts w:cstheme="minorHAnsi"/>
          <w:sz w:val="24"/>
          <w:szCs w:val="24"/>
        </w:rPr>
        <w:t>that promote</w:t>
      </w:r>
      <w:r w:rsidR="00F5714C" w:rsidRPr="006D0DF5">
        <w:rPr>
          <w:rFonts w:cstheme="minorHAnsi"/>
          <w:sz w:val="24"/>
          <w:szCs w:val="24"/>
        </w:rPr>
        <w:t xml:space="preserve"> deeper learning.  </w:t>
      </w:r>
      <w:r w:rsidR="00717C93" w:rsidRPr="006D0DF5">
        <w:rPr>
          <w:rFonts w:cstheme="minorHAnsi"/>
          <w:sz w:val="24"/>
          <w:szCs w:val="24"/>
        </w:rPr>
        <w:t>T</w:t>
      </w:r>
      <w:r w:rsidR="00F5714C" w:rsidRPr="006D0DF5">
        <w:rPr>
          <w:rFonts w:cstheme="minorHAnsi"/>
          <w:sz w:val="24"/>
          <w:szCs w:val="24"/>
        </w:rPr>
        <w:t>he length of periods in the</w:t>
      </w:r>
      <w:r w:rsidR="006C5402" w:rsidRPr="006D0DF5">
        <w:rPr>
          <w:rFonts w:cstheme="minorHAnsi"/>
          <w:sz w:val="24"/>
          <w:szCs w:val="24"/>
        </w:rPr>
        <w:t xml:space="preserve"> school</w:t>
      </w:r>
      <w:r w:rsidR="00F5714C" w:rsidRPr="006D0DF5">
        <w:rPr>
          <w:rFonts w:cstheme="minorHAnsi"/>
          <w:sz w:val="24"/>
          <w:szCs w:val="24"/>
        </w:rPr>
        <w:t xml:space="preserve"> schedule</w:t>
      </w:r>
      <w:r w:rsidR="00800E72" w:rsidRPr="006D0DF5">
        <w:rPr>
          <w:rFonts w:cstheme="minorHAnsi"/>
          <w:sz w:val="24"/>
          <w:szCs w:val="24"/>
        </w:rPr>
        <w:t xml:space="preserve">, </w:t>
      </w:r>
      <w:r w:rsidR="005C307F" w:rsidRPr="006D0DF5">
        <w:rPr>
          <w:rFonts w:cstheme="minorHAnsi"/>
          <w:sz w:val="24"/>
          <w:szCs w:val="24"/>
        </w:rPr>
        <w:t xml:space="preserve">how cross-teacher sharing and </w:t>
      </w:r>
      <w:r w:rsidR="00F5714C" w:rsidRPr="006D0DF5">
        <w:rPr>
          <w:rFonts w:cstheme="minorHAnsi"/>
          <w:sz w:val="24"/>
          <w:szCs w:val="24"/>
        </w:rPr>
        <w:t xml:space="preserve">professional development </w:t>
      </w:r>
      <w:r w:rsidR="002A0B90" w:rsidRPr="006D0DF5">
        <w:rPr>
          <w:rFonts w:cstheme="minorHAnsi"/>
          <w:sz w:val="24"/>
          <w:szCs w:val="24"/>
        </w:rPr>
        <w:t>are</w:t>
      </w:r>
      <w:r w:rsidR="0088305F" w:rsidRPr="006D0DF5">
        <w:rPr>
          <w:rFonts w:cstheme="minorHAnsi"/>
          <w:sz w:val="24"/>
          <w:szCs w:val="24"/>
        </w:rPr>
        <w:t xml:space="preserve"> </w:t>
      </w:r>
      <w:r w:rsidR="00F5714C" w:rsidRPr="006D0DF5">
        <w:rPr>
          <w:rFonts w:cstheme="minorHAnsi"/>
          <w:sz w:val="24"/>
          <w:szCs w:val="24"/>
        </w:rPr>
        <w:t xml:space="preserve">organized, </w:t>
      </w:r>
      <w:r w:rsidR="006C5402" w:rsidRPr="006D0DF5">
        <w:rPr>
          <w:rFonts w:cstheme="minorHAnsi"/>
          <w:sz w:val="24"/>
          <w:szCs w:val="24"/>
        </w:rPr>
        <w:t xml:space="preserve">the quality of </w:t>
      </w:r>
      <w:r w:rsidR="00F5714C" w:rsidRPr="006D0DF5">
        <w:rPr>
          <w:rFonts w:cstheme="minorHAnsi"/>
          <w:sz w:val="24"/>
          <w:szCs w:val="24"/>
        </w:rPr>
        <w:t>curricular choices</w:t>
      </w:r>
      <w:r w:rsidR="00287653" w:rsidRPr="006D0DF5">
        <w:rPr>
          <w:rFonts w:cstheme="minorHAnsi"/>
          <w:sz w:val="24"/>
          <w:szCs w:val="24"/>
        </w:rPr>
        <w:t xml:space="preserve"> </w:t>
      </w:r>
      <w:r w:rsidR="00387483" w:rsidRPr="006D0DF5">
        <w:rPr>
          <w:rFonts w:cstheme="minorHAnsi"/>
          <w:sz w:val="24"/>
          <w:szCs w:val="24"/>
        </w:rPr>
        <w:t>– all of th</w:t>
      </w:r>
      <w:r w:rsidR="004973CB" w:rsidRPr="006D0DF5">
        <w:rPr>
          <w:rFonts w:cstheme="minorHAnsi"/>
          <w:sz w:val="24"/>
          <w:szCs w:val="24"/>
        </w:rPr>
        <w:t>ese and more</w:t>
      </w:r>
      <w:r w:rsidR="00387483" w:rsidRPr="006D0DF5">
        <w:rPr>
          <w:rFonts w:cstheme="minorHAnsi"/>
          <w:sz w:val="24"/>
          <w:szCs w:val="24"/>
        </w:rPr>
        <w:t xml:space="preserve"> </w:t>
      </w:r>
      <w:r w:rsidR="006C5402" w:rsidRPr="006D0DF5">
        <w:rPr>
          <w:rFonts w:cstheme="minorHAnsi"/>
          <w:sz w:val="24"/>
          <w:szCs w:val="24"/>
        </w:rPr>
        <w:t>matter a great deal in this effort</w:t>
      </w:r>
      <w:r w:rsidR="00F5714C" w:rsidRPr="006D0DF5">
        <w:rPr>
          <w:rFonts w:cstheme="minorHAnsi"/>
          <w:sz w:val="24"/>
          <w:szCs w:val="24"/>
        </w:rPr>
        <w:t xml:space="preserve">.  Policies and practices established by </w:t>
      </w:r>
      <w:r w:rsidR="00670821" w:rsidRPr="006D0DF5">
        <w:rPr>
          <w:rFonts w:cstheme="minorHAnsi"/>
          <w:sz w:val="24"/>
          <w:szCs w:val="24"/>
        </w:rPr>
        <w:t>s</w:t>
      </w:r>
      <w:r w:rsidR="00F5714C" w:rsidRPr="006D0DF5">
        <w:rPr>
          <w:rFonts w:cstheme="minorHAnsi"/>
          <w:sz w:val="24"/>
          <w:szCs w:val="24"/>
        </w:rPr>
        <w:t xml:space="preserve">uperintendents and </w:t>
      </w:r>
      <w:r w:rsidR="00670821" w:rsidRPr="006D0DF5">
        <w:rPr>
          <w:rFonts w:cstheme="minorHAnsi"/>
          <w:sz w:val="24"/>
          <w:szCs w:val="24"/>
        </w:rPr>
        <w:t>s</w:t>
      </w:r>
      <w:r w:rsidR="00F5714C" w:rsidRPr="006D0DF5">
        <w:rPr>
          <w:rFonts w:cstheme="minorHAnsi"/>
          <w:sz w:val="24"/>
          <w:szCs w:val="24"/>
        </w:rPr>
        <w:t xml:space="preserve">chool </w:t>
      </w:r>
      <w:r w:rsidR="00670821" w:rsidRPr="006D0DF5">
        <w:rPr>
          <w:rFonts w:cstheme="minorHAnsi"/>
          <w:sz w:val="24"/>
          <w:szCs w:val="24"/>
        </w:rPr>
        <w:t>c</w:t>
      </w:r>
      <w:r w:rsidR="00F5714C" w:rsidRPr="006D0DF5">
        <w:rPr>
          <w:rFonts w:cstheme="minorHAnsi"/>
          <w:sz w:val="24"/>
          <w:szCs w:val="24"/>
        </w:rPr>
        <w:t xml:space="preserve">ommittees – and the degree of autonomy they </w:t>
      </w:r>
      <w:r w:rsidR="00670821" w:rsidRPr="006D0DF5">
        <w:rPr>
          <w:rFonts w:cstheme="minorHAnsi"/>
          <w:sz w:val="24"/>
          <w:szCs w:val="24"/>
        </w:rPr>
        <w:t xml:space="preserve">in turn </w:t>
      </w:r>
      <w:r w:rsidR="00F5714C" w:rsidRPr="006D0DF5">
        <w:rPr>
          <w:rFonts w:cstheme="minorHAnsi"/>
          <w:sz w:val="24"/>
          <w:szCs w:val="24"/>
        </w:rPr>
        <w:t xml:space="preserve">provide </w:t>
      </w:r>
      <w:r w:rsidR="00234C03" w:rsidRPr="006D0DF5">
        <w:rPr>
          <w:rFonts w:cstheme="minorHAnsi"/>
          <w:sz w:val="24"/>
          <w:szCs w:val="24"/>
        </w:rPr>
        <w:t>to schools</w:t>
      </w:r>
      <w:r w:rsidR="004973CB" w:rsidRPr="006D0DF5">
        <w:rPr>
          <w:rFonts w:cstheme="minorHAnsi"/>
          <w:sz w:val="24"/>
          <w:szCs w:val="24"/>
        </w:rPr>
        <w:t xml:space="preserve"> </w:t>
      </w:r>
      <w:r w:rsidR="00287653" w:rsidRPr="006D0DF5">
        <w:rPr>
          <w:rFonts w:cstheme="minorHAnsi"/>
          <w:sz w:val="24"/>
          <w:szCs w:val="24"/>
        </w:rPr>
        <w:t xml:space="preserve">to meet student needs </w:t>
      </w:r>
      <w:r w:rsidR="00F5714C" w:rsidRPr="006D0DF5">
        <w:rPr>
          <w:rFonts w:cstheme="minorHAnsi"/>
          <w:sz w:val="24"/>
          <w:szCs w:val="24"/>
        </w:rPr>
        <w:t>– also play a pivotal role.</w:t>
      </w:r>
      <w:r w:rsidR="001558F2" w:rsidRPr="006D0DF5">
        <w:rPr>
          <w:rFonts w:cstheme="minorHAnsi"/>
          <w:sz w:val="24"/>
          <w:szCs w:val="24"/>
        </w:rPr>
        <w:t xml:space="preserve">  </w:t>
      </w:r>
      <w:r w:rsidR="008C7ED2" w:rsidRPr="006D0DF5">
        <w:rPr>
          <w:rFonts w:cstheme="minorHAnsi"/>
          <w:sz w:val="24"/>
          <w:szCs w:val="24"/>
        </w:rPr>
        <w:t xml:space="preserve">Beyond systems and structures, school and district leaders set the tone for education, projecting the norms and values that animate a learning community for children and adults. </w:t>
      </w:r>
    </w:p>
    <w:p w14:paraId="10A4BB0C" w14:textId="77777777" w:rsidR="00C76C30" w:rsidRPr="006D0DF5" w:rsidRDefault="00C76C30" w:rsidP="00C76C30">
      <w:pPr>
        <w:spacing w:after="0" w:line="276" w:lineRule="auto"/>
        <w:rPr>
          <w:rFonts w:cstheme="minorHAnsi"/>
          <w:sz w:val="24"/>
          <w:szCs w:val="24"/>
        </w:rPr>
      </w:pPr>
    </w:p>
    <w:p w14:paraId="4C988029" w14:textId="05E93C5A" w:rsidR="00915725" w:rsidRPr="006D0DF5" w:rsidRDefault="00963A84" w:rsidP="00C76C30">
      <w:pPr>
        <w:spacing w:after="0" w:line="276" w:lineRule="auto"/>
        <w:rPr>
          <w:rFonts w:cstheme="minorHAnsi"/>
          <w:sz w:val="24"/>
          <w:szCs w:val="24"/>
        </w:rPr>
      </w:pPr>
      <w:r w:rsidRPr="00C76C30">
        <w:rPr>
          <w:rFonts w:cstheme="minorHAnsi"/>
          <w:b/>
          <w:bCs/>
          <w:sz w:val="24"/>
          <w:szCs w:val="24"/>
        </w:rPr>
        <w:t xml:space="preserve">With the </w:t>
      </w:r>
      <w:r w:rsidR="00193E94" w:rsidRPr="00C76C30">
        <w:rPr>
          <w:rFonts w:cstheme="minorHAnsi"/>
          <w:b/>
          <w:bCs/>
          <w:sz w:val="24"/>
          <w:szCs w:val="24"/>
        </w:rPr>
        <w:t xml:space="preserve">Community: </w:t>
      </w:r>
      <w:r w:rsidR="00F5714C" w:rsidRPr="00C76C30">
        <w:rPr>
          <w:rFonts w:cstheme="minorHAnsi"/>
          <w:b/>
          <w:bCs/>
          <w:sz w:val="24"/>
          <w:szCs w:val="24"/>
        </w:rPr>
        <w:t>Building Relevance and Connections</w:t>
      </w:r>
      <w:r w:rsidR="0088305F" w:rsidRPr="00C76C30">
        <w:rPr>
          <w:rFonts w:cstheme="minorHAnsi"/>
          <w:b/>
          <w:bCs/>
          <w:sz w:val="24"/>
          <w:szCs w:val="24"/>
        </w:rPr>
        <w:t>.</w:t>
      </w:r>
      <w:r w:rsidR="0088305F" w:rsidRPr="006D0DF5">
        <w:rPr>
          <w:rFonts w:cstheme="minorHAnsi"/>
          <w:sz w:val="24"/>
          <w:szCs w:val="24"/>
        </w:rPr>
        <w:t xml:space="preserve"> </w:t>
      </w:r>
      <w:r w:rsidR="00F344FF" w:rsidRPr="006D0DF5">
        <w:rPr>
          <w:rFonts w:cstheme="minorHAnsi"/>
          <w:sz w:val="24"/>
          <w:szCs w:val="24"/>
        </w:rPr>
        <w:t xml:space="preserve">We must </w:t>
      </w:r>
      <w:r w:rsidR="003906F1" w:rsidRPr="006D0DF5">
        <w:rPr>
          <w:rFonts w:cstheme="minorHAnsi"/>
          <w:sz w:val="24"/>
          <w:szCs w:val="24"/>
        </w:rPr>
        <w:t xml:space="preserve">also </w:t>
      </w:r>
      <w:r w:rsidR="00F344FF" w:rsidRPr="006D0DF5">
        <w:rPr>
          <w:rFonts w:cstheme="minorHAnsi"/>
          <w:sz w:val="24"/>
          <w:szCs w:val="24"/>
        </w:rPr>
        <w:t xml:space="preserve">accelerate our efforts to connect students to relevant learning </w:t>
      </w:r>
      <w:r w:rsidR="005B5088" w:rsidRPr="006D0DF5">
        <w:rPr>
          <w:rFonts w:cstheme="minorHAnsi"/>
          <w:sz w:val="24"/>
          <w:szCs w:val="24"/>
        </w:rPr>
        <w:t xml:space="preserve">opportunities </w:t>
      </w:r>
      <w:r w:rsidR="00F344FF" w:rsidRPr="006D0DF5">
        <w:rPr>
          <w:rFonts w:cstheme="minorHAnsi"/>
          <w:sz w:val="24"/>
          <w:szCs w:val="24"/>
        </w:rPr>
        <w:t>beyond the classroom</w:t>
      </w:r>
      <w:r w:rsidR="005B5088" w:rsidRPr="006D0DF5">
        <w:rPr>
          <w:rFonts w:cstheme="minorHAnsi"/>
          <w:sz w:val="24"/>
          <w:szCs w:val="24"/>
        </w:rPr>
        <w:t xml:space="preserve">, such as </w:t>
      </w:r>
      <w:r w:rsidR="00F344FF" w:rsidRPr="006D0DF5">
        <w:rPr>
          <w:rFonts w:cstheme="minorHAnsi"/>
          <w:sz w:val="24"/>
          <w:szCs w:val="24"/>
        </w:rPr>
        <w:t>internships, community-based learning, innovation pathways</w:t>
      </w:r>
      <w:r w:rsidR="00F5714C" w:rsidRPr="006D0DF5">
        <w:rPr>
          <w:rFonts w:cstheme="minorHAnsi"/>
          <w:sz w:val="24"/>
          <w:szCs w:val="24"/>
        </w:rPr>
        <w:t>, early college</w:t>
      </w:r>
      <w:r w:rsidR="0088305F" w:rsidRPr="006D0DF5">
        <w:rPr>
          <w:rFonts w:cstheme="minorHAnsi"/>
          <w:sz w:val="24"/>
          <w:szCs w:val="24"/>
        </w:rPr>
        <w:t>,</w:t>
      </w:r>
      <w:r w:rsidR="00F344FF" w:rsidRPr="006D0DF5">
        <w:rPr>
          <w:rFonts w:cstheme="minorHAnsi"/>
          <w:sz w:val="24"/>
          <w:szCs w:val="24"/>
        </w:rPr>
        <w:t xml:space="preserve"> and vocational education. </w:t>
      </w:r>
      <w:r w:rsidR="00665D39" w:rsidRPr="006D0DF5">
        <w:rPr>
          <w:rFonts w:cstheme="minorHAnsi"/>
          <w:sz w:val="24"/>
          <w:szCs w:val="24"/>
        </w:rPr>
        <w:t xml:space="preserve"> These experiences</w:t>
      </w:r>
      <w:r w:rsidR="00915725" w:rsidRPr="006D0DF5">
        <w:rPr>
          <w:rFonts w:cstheme="minorHAnsi"/>
          <w:sz w:val="24"/>
          <w:szCs w:val="24"/>
        </w:rPr>
        <w:t xml:space="preserve"> </w:t>
      </w:r>
      <w:r w:rsidR="008C7ED2" w:rsidRPr="006D0DF5">
        <w:rPr>
          <w:rFonts w:cstheme="minorHAnsi"/>
          <w:sz w:val="24"/>
          <w:szCs w:val="24"/>
        </w:rPr>
        <w:t xml:space="preserve">break down the barriers separating education from work, </w:t>
      </w:r>
      <w:r w:rsidR="00FC3BCD" w:rsidRPr="006D0DF5">
        <w:rPr>
          <w:rFonts w:cstheme="minorHAnsi"/>
          <w:sz w:val="24"/>
          <w:szCs w:val="24"/>
        </w:rPr>
        <w:t>enabl</w:t>
      </w:r>
      <w:r w:rsidR="008C7ED2" w:rsidRPr="006D0DF5">
        <w:rPr>
          <w:rFonts w:cstheme="minorHAnsi"/>
          <w:sz w:val="24"/>
          <w:szCs w:val="24"/>
        </w:rPr>
        <w:t>ing</w:t>
      </w:r>
      <w:r w:rsidR="00FC3BCD" w:rsidRPr="006D0DF5">
        <w:rPr>
          <w:rFonts w:cstheme="minorHAnsi"/>
          <w:sz w:val="24"/>
          <w:szCs w:val="24"/>
        </w:rPr>
        <w:t xml:space="preserve"> students to further build their skills and </w:t>
      </w:r>
      <w:r w:rsidR="006C5402" w:rsidRPr="006D0DF5">
        <w:rPr>
          <w:rFonts w:cstheme="minorHAnsi"/>
          <w:sz w:val="24"/>
          <w:szCs w:val="24"/>
        </w:rPr>
        <w:t>apply</w:t>
      </w:r>
      <w:r w:rsidR="00915725" w:rsidRPr="006D0DF5">
        <w:rPr>
          <w:rFonts w:cstheme="minorHAnsi"/>
          <w:sz w:val="24"/>
          <w:szCs w:val="24"/>
        </w:rPr>
        <w:t xml:space="preserve"> </w:t>
      </w:r>
      <w:r w:rsidR="00FC3BCD" w:rsidRPr="006D0DF5">
        <w:rPr>
          <w:rFonts w:cstheme="minorHAnsi"/>
          <w:sz w:val="24"/>
          <w:szCs w:val="24"/>
        </w:rPr>
        <w:t>their growing expertise in real</w:t>
      </w:r>
      <w:r w:rsidR="00717C93" w:rsidRPr="006D0DF5">
        <w:rPr>
          <w:rFonts w:cstheme="minorHAnsi"/>
          <w:sz w:val="24"/>
          <w:szCs w:val="24"/>
        </w:rPr>
        <w:t>-</w:t>
      </w:r>
      <w:r w:rsidR="00FC3BCD" w:rsidRPr="006D0DF5">
        <w:rPr>
          <w:rFonts w:cstheme="minorHAnsi"/>
          <w:sz w:val="24"/>
          <w:szCs w:val="24"/>
        </w:rPr>
        <w:t>world settings</w:t>
      </w:r>
      <w:r w:rsidR="005B5088" w:rsidRPr="006D0DF5">
        <w:rPr>
          <w:rFonts w:cstheme="minorHAnsi"/>
          <w:sz w:val="24"/>
          <w:szCs w:val="24"/>
        </w:rPr>
        <w:t xml:space="preserve">.  </w:t>
      </w:r>
      <w:r w:rsidR="005A155C" w:rsidRPr="006D0DF5">
        <w:rPr>
          <w:rFonts w:cstheme="minorHAnsi"/>
          <w:sz w:val="24"/>
          <w:szCs w:val="24"/>
        </w:rPr>
        <w:t>And they</w:t>
      </w:r>
      <w:r w:rsidR="005B5088" w:rsidRPr="006D0DF5">
        <w:rPr>
          <w:rFonts w:cstheme="minorHAnsi"/>
          <w:sz w:val="24"/>
          <w:szCs w:val="24"/>
        </w:rPr>
        <w:t xml:space="preserve"> support students in </w:t>
      </w:r>
      <w:r w:rsidR="00915725" w:rsidRPr="006D0DF5">
        <w:rPr>
          <w:rFonts w:cstheme="minorHAnsi"/>
          <w:sz w:val="24"/>
          <w:szCs w:val="24"/>
        </w:rPr>
        <w:t>build</w:t>
      </w:r>
      <w:r w:rsidR="005B5088" w:rsidRPr="006D0DF5">
        <w:rPr>
          <w:rFonts w:cstheme="minorHAnsi"/>
          <w:sz w:val="24"/>
          <w:szCs w:val="24"/>
        </w:rPr>
        <w:t xml:space="preserve">ing </w:t>
      </w:r>
      <w:r w:rsidR="00915725" w:rsidRPr="006D0DF5">
        <w:rPr>
          <w:rFonts w:cstheme="minorHAnsi"/>
          <w:sz w:val="24"/>
          <w:szCs w:val="24"/>
        </w:rPr>
        <w:t xml:space="preserve">their emerging </w:t>
      </w:r>
      <w:r w:rsidR="005B5088" w:rsidRPr="006D0DF5">
        <w:rPr>
          <w:rFonts w:cstheme="minorHAnsi"/>
          <w:sz w:val="24"/>
          <w:szCs w:val="24"/>
        </w:rPr>
        <w:t>identities</w:t>
      </w:r>
      <w:r w:rsidR="00915725" w:rsidRPr="006D0DF5">
        <w:rPr>
          <w:rFonts w:cstheme="minorHAnsi"/>
          <w:sz w:val="24"/>
          <w:szCs w:val="24"/>
        </w:rPr>
        <w:t xml:space="preserve">, </w:t>
      </w:r>
      <w:r w:rsidR="00206F67" w:rsidRPr="006D0DF5">
        <w:rPr>
          <w:rFonts w:cstheme="minorHAnsi"/>
          <w:sz w:val="24"/>
          <w:szCs w:val="24"/>
        </w:rPr>
        <w:t>better preparing them to map</w:t>
      </w:r>
      <w:r w:rsidR="00915725" w:rsidRPr="006D0DF5">
        <w:rPr>
          <w:rFonts w:cstheme="minorHAnsi"/>
          <w:sz w:val="24"/>
          <w:szCs w:val="24"/>
        </w:rPr>
        <w:t xml:space="preserve"> their </w:t>
      </w:r>
      <w:r w:rsidR="00206F67" w:rsidRPr="006D0DF5">
        <w:rPr>
          <w:rFonts w:cstheme="minorHAnsi"/>
          <w:sz w:val="24"/>
          <w:szCs w:val="24"/>
        </w:rPr>
        <w:t>own</w:t>
      </w:r>
      <w:r w:rsidR="00915725" w:rsidRPr="006D0DF5">
        <w:rPr>
          <w:rFonts w:cstheme="minorHAnsi"/>
          <w:sz w:val="24"/>
          <w:szCs w:val="24"/>
        </w:rPr>
        <w:t xml:space="preserve"> pathways to </w:t>
      </w:r>
      <w:r w:rsidR="00717C93" w:rsidRPr="006D0DF5">
        <w:rPr>
          <w:rFonts w:cstheme="minorHAnsi"/>
          <w:sz w:val="24"/>
          <w:szCs w:val="24"/>
        </w:rPr>
        <w:t xml:space="preserve">higher education </w:t>
      </w:r>
      <w:r w:rsidR="00915725" w:rsidRPr="006D0DF5">
        <w:rPr>
          <w:rFonts w:cstheme="minorHAnsi"/>
          <w:sz w:val="24"/>
          <w:szCs w:val="24"/>
        </w:rPr>
        <w:t xml:space="preserve">and </w:t>
      </w:r>
      <w:r w:rsidR="00234C03" w:rsidRPr="006D0DF5">
        <w:rPr>
          <w:rFonts w:cstheme="minorHAnsi"/>
          <w:sz w:val="24"/>
          <w:szCs w:val="24"/>
        </w:rPr>
        <w:t>employment</w:t>
      </w:r>
      <w:r w:rsidR="00915725" w:rsidRPr="006D0DF5">
        <w:rPr>
          <w:rFonts w:cstheme="minorHAnsi"/>
          <w:sz w:val="24"/>
          <w:szCs w:val="24"/>
        </w:rPr>
        <w:t>.</w:t>
      </w:r>
    </w:p>
    <w:p w14:paraId="4DFDF364" w14:textId="77777777" w:rsidR="00C76C30" w:rsidRDefault="00C76C30" w:rsidP="00C76C30">
      <w:pPr>
        <w:spacing w:after="0" w:line="276" w:lineRule="auto"/>
        <w:rPr>
          <w:rFonts w:cstheme="minorHAnsi"/>
          <w:sz w:val="24"/>
          <w:szCs w:val="24"/>
          <w:u w:val="single"/>
        </w:rPr>
      </w:pPr>
    </w:p>
    <w:p w14:paraId="11798E3F" w14:textId="226F2CC1" w:rsidR="009B7A95" w:rsidRDefault="00F5714C" w:rsidP="00C76C30">
      <w:pPr>
        <w:spacing w:after="0" w:line="276" w:lineRule="auto"/>
        <w:rPr>
          <w:rFonts w:cstheme="minorHAnsi"/>
          <w:sz w:val="24"/>
          <w:szCs w:val="24"/>
        </w:rPr>
      </w:pPr>
      <w:r w:rsidRPr="00C76C30">
        <w:rPr>
          <w:rFonts w:cstheme="minorHAnsi"/>
          <w:b/>
          <w:bCs/>
          <w:sz w:val="24"/>
          <w:szCs w:val="24"/>
        </w:rPr>
        <w:t xml:space="preserve">At DESE: </w:t>
      </w:r>
      <w:r w:rsidR="00F46695" w:rsidRPr="00C76C30">
        <w:rPr>
          <w:rFonts w:cstheme="minorHAnsi"/>
          <w:b/>
          <w:bCs/>
          <w:sz w:val="24"/>
          <w:szCs w:val="24"/>
        </w:rPr>
        <w:t xml:space="preserve">Re-thinking </w:t>
      </w:r>
      <w:r w:rsidRPr="00C76C30">
        <w:rPr>
          <w:rFonts w:cstheme="minorHAnsi"/>
          <w:b/>
          <w:bCs/>
          <w:sz w:val="24"/>
          <w:szCs w:val="24"/>
        </w:rPr>
        <w:t>Policy Conditions</w:t>
      </w:r>
      <w:r w:rsidR="0088305F" w:rsidRPr="00C76C30">
        <w:rPr>
          <w:rFonts w:cstheme="minorHAnsi"/>
          <w:b/>
          <w:bCs/>
          <w:sz w:val="24"/>
          <w:szCs w:val="24"/>
        </w:rPr>
        <w:t>.</w:t>
      </w:r>
      <w:r w:rsidR="00F46695" w:rsidRPr="006D0DF5">
        <w:rPr>
          <w:rFonts w:cstheme="minorHAnsi"/>
          <w:sz w:val="24"/>
          <w:szCs w:val="24"/>
        </w:rPr>
        <w:t xml:space="preserve"> Finally, we must acknowledge </w:t>
      </w:r>
      <w:r w:rsidR="00032E9C" w:rsidRPr="006D0DF5">
        <w:rPr>
          <w:rFonts w:cstheme="minorHAnsi"/>
          <w:sz w:val="24"/>
          <w:szCs w:val="24"/>
        </w:rPr>
        <w:t xml:space="preserve">that some state policies may </w:t>
      </w:r>
      <w:r w:rsidR="009B7A95" w:rsidRPr="006D0DF5">
        <w:rPr>
          <w:rFonts w:cstheme="minorHAnsi"/>
          <w:sz w:val="24"/>
          <w:szCs w:val="24"/>
        </w:rPr>
        <w:t>pose</w:t>
      </w:r>
      <w:r w:rsidR="00032E9C" w:rsidRPr="006D0DF5">
        <w:rPr>
          <w:rFonts w:cstheme="minorHAnsi"/>
          <w:sz w:val="24"/>
          <w:szCs w:val="24"/>
        </w:rPr>
        <w:t xml:space="preserve"> real or perceived </w:t>
      </w:r>
      <w:r w:rsidR="009B7A95" w:rsidRPr="006D0DF5">
        <w:rPr>
          <w:rFonts w:cstheme="minorHAnsi"/>
          <w:sz w:val="24"/>
          <w:szCs w:val="24"/>
        </w:rPr>
        <w:t>challenges</w:t>
      </w:r>
      <w:r w:rsidR="00032E9C" w:rsidRPr="006D0DF5">
        <w:rPr>
          <w:rFonts w:cstheme="minorHAnsi"/>
          <w:sz w:val="24"/>
          <w:szCs w:val="24"/>
        </w:rPr>
        <w:t xml:space="preserve"> to </w:t>
      </w:r>
      <w:r w:rsidR="009B7A95" w:rsidRPr="006D0DF5">
        <w:rPr>
          <w:rFonts w:cstheme="minorHAnsi"/>
          <w:sz w:val="24"/>
          <w:szCs w:val="24"/>
        </w:rPr>
        <w:t xml:space="preserve">implementing </w:t>
      </w:r>
      <w:r w:rsidR="00032E9C" w:rsidRPr="006D0DF5">
        <w:rPr>
          <w:rFonts w:cstheme="minorHAnsi"/>
          <w:sz w:val="24"/>
          <w:szCs w:val="24"/>
        </w:rPr>
        <w:t>deeper learning at scale</w:t>
      </w:r>
      <w:r w:rsidR="00752FE1" w:rsidRPr="006D0DF5">
        <w:rPr>
          <w:rFonts w:cstheme="minorHAnsi"/>
          <w:sz w:val="24"/>
          <w:szCs w:val="24"/>
        </w:rPr>
        <w:t>.</w:t>
      </w:r>
      <w:r w:rsidR="00F46695" w:rsidRPr="006D0DF5">
        <w:rPr>
          <w:rFonts w:cstheme="minorHAnsi"/>
          <w:sz w:val="24"/>
          <w:szCs w:val="24"/>
        </w:rPr>
        <w:t xml:space="preserve"> </w:t>
      </w:r>
      <w:r w:rsidR="009B7A95" w:rsidRPr="006D0DF5">
        <w:rPr>
          <w:rFonts w:cstheme="minorHAnsi"/>
          <w:sz w:val="24"/>
          <w:szCs w:val="24"/>
        </w:rPr>
        <w:t xml:space="preserve"> A serious effort to </w:t>
      </w:r>
      <w:r w:rsidR="006C5402" w:rsidRPr="006D0DF5">
        <w:rPr>
          <w:rFonts w:cstheme="minorHAnsi"/>
          <w:sz w:val="24"/>
          <w:szCs w:val="24"/>
        </w:rPr>
        <w:t>broaden</w:t>
      </w:r>
      <w:r w:rsidR="009B7A95" w:rsidRPr="006D0DF5">
        <w:rPr>
          <w:rFonts w:cstheme="minorHAnsi"/>
          <w:sz w:val="24"/>
          <w:szCs w:val="24"/>
        </w:rPr>
        <w:t xml:space="preserve"> deeper learning statewide will require us to examine </w:t>
      </w:r>
      <w:r w:rsidR="006C5402" w:rsidRPr="006D0DF5">
        <w:rPr>
          <w:rFonts w:cstheme="minorHAnsi"/>
          <w:sz w:val="24"/>
          <w:szCs w:val="24"/>
        </w:rPr>
        <w:t>the incentives</w:t>
      </w:r>
      <w:r w:rsidR="008C7ED2" w:rsidRPr="006D0DF5">
        <w:rPr>
          <w:rFonts w:cstheme="minorHAnsi"/>
          <w:sz w:val="24"/>
          <w:szCs w:val="24"/>
        </w:rPr>
        <w:t xml:space="preserve"> and constraints </w:t>
      </w:r>
      <w:r w:rsidR="008C7ED2" w:rsidRPr="006D0DF5">
        <w:rPr>
          <w:rFonts w:cstheme="minorHAnsi"/>
          <w:sz w:val="24"/>
          <w:szCs w:val="24"/>
        </w:rPr>
        <w:lastRenderedPageBreak/>
        <w:t>within</w:t>
      </w:r>
      <w:r w:rsidR="006C5402" w:rsidRPr="006D0DF5">
        <w:rPr>
          <w:rFonts w:cstheme="minorHAnsi"/>
          <w:sz w:val="24"/>
          <w:szCs w:val="24"/>
        </w:rPr>
        <w:t xml:space="preserve"> </w:t>
      </w:r>
      <w:r w:rsidR="00752FE1" w:rsidRPr="006D0DF5">
        <w:rPr>
          <w:rFonts w:cstheme="minorHAnsi"/>
          <w:sz w:val="24"/>
          <w:szCs w:val="24"/>
        </w:rPr>
        <w:t>our</w:t>
      </w:r>
      <w:r w:rsidR="006C5402" w:rsidRPr="006D0DF5">
        <w:rPr>
          <w:rFonts w:cstheme="minorHAnsi"/>
          <w:sz w:val="24"/>
          <w:szCs w:val="24"/>
        </w:rPr>
        <w:t xml:space="preserve"> systems and re-align </w:t>
      </w:r>
      <w:r w:rsidR="008C7ED2" w:rsidRPr="006D0DF5">
        <w:rPr>
          <w:rFonts w:cstheme="minorHAnsi"/>
          <w:sz w:val="24"/>
          <w:szCs w:val="24"/>
        </w:rPr>
        <w:t>these systems</w:t>
      </w:r>
      <w:r w:rsidR="006C5402" w:rsidRPr="006D0DF5">
        <w:rPr>
          <w:rFonts w:cstheme="minorHAnsi"/>
          <w:sz w:val="24"/>
          <w:szCs w:val="24"/>
        </w:rPr>
        <w:t xml:space="preserve"> </w:t>
      </w:r>
      <w:r w:rsidR="00234C03" w:rsidRPr="006D0DF5">
        <w:rPr>
          <w:rFonts w:cstheme="minorHAnsi"/>
          <w:sz w:val="24"/>
          <w:szCs w:val="24"/>
        </w:rPr>
        <w:t>as needed to</w:t>
      </w:r>
      <w:r w:rsidR="006C5402" w:rsidRPr="006D0DF5">
        <w:rPr>
          <w:rFonts w:cstheme="minorHAnsi"/>
          <w:sz w:val="24"/>
          <w:szCs w:val="24"/>
        </w:rPr>
        <w:t xml:space="preserve"> support deeper learning </w:t>
      </w:r>
      <w:r w:rsidR="008C7ED2" w:rsidRPr="006D0DF5">
        <w:rPr>
          <w:rFonts w:cstheme="minorHAnsi"/>
          <w:sz w:val="24"/>
          <w:szCs w:val="24"/>
        </w:rPr>
        <w:t>initiatives</w:t>
      </w:r>
      <w:r w:rsidR="006C5402" w:rsidRPr="006D0DF5">
        <w:rPr>
          <w:rFonts w:cstheme="minorHAnsi"/>
          <w:sz w:val="24"/>
          <w:szCs w:val="24"/>
        </w:rPr>
        <w:t xml:space="preserve"> in schools.</w:t>
      </w:r>
    </w:p>
    <w:p w14:paraId="1E14B165" w14:textId="77777777" w:rsidR="00C76C30" w:rsidRPr="006D0DF5" w:rsidRDefault="00C76C30" w:rsidP="00C76C30">
      <w:pPr>
        <w:spacing w:after="0" w:line="276" w:lineRule="auto"/>
        <w:rPr>
          <w:rFonts w:cstheme="minorHAnsi"/>
          <w:sz w:val="24"/>
          <w:szCs w:val="24"/>
        </w:rPr>
      </w:pPr>
    </w:p>
    <w:p w14:paraId="31EA82DF" w14:textId="71060B70" w:rsidR="004F1C3A" w:rsidRPr="006D0DF5" w:rsidRDefault="00387483" w:rsidP="00C76C30">
      <w:pPr>
        <w:spacing w:after="0" w:line="276" w:lineRule="auto"/>
        <w:rPr>
          <w:rFonts w:cstheme="minorHAnsi"/>
          <w:b/>
          <w:sz w:val="24"/>
          <w:szCs w:val="24"/>
        </w:rPr>
      </w:pPr>
      <w:r w:rsidRPr="006D0DF5">
        <w:rPr>
          <w:rFonts w:cstheme="minorHAnsi"/>
          <w:sz w:val="24"/>
          <w:szCs w:val="24"/>
        </w:rPr>
        <w:t>Through</w:t>
      </w:r>
      <w:r w:rsidR="009A00B9" w:rsidRPr="006D0DF5">
        <w:rPr>
          <w:rFonts w:cstheme="minorHAnsi"/>
          <w:sz w:val="24"/>
          <w:szCs w:val="24"/>
        </w:rPr>
        <w:t xml:space="preserve"> the pilot program described in the second half of this </w:t>
      </w:r>
      <w:r w:rsidR="00C930DF" w:rsidRPr="006D0DF5">
        <w:rPr>
          <w:rFonts w:cstheme="minorHAnsi"/>
          <w:sz w:val="24"/>
          <w:szCs w:val="24"/>
        </w:rPr>
        <w:t>paper</w:t>
      </w:r>
      <w:r w:rsidR="00D6739E" w:rsidRPr="006D0DF5">
        <w:rPr>
          <w:rFonts w:cstheme="minorHAnsi"/>
          <w:sz w:val="24"/>
          <w:szCs w:val="24"/>
        </w:rPr>
        <w:t xml:space="preserve">, </w:t>
      </w:r>
      <w:r w:rsidR="00403513" w:rsidRPr="006D0DF5">
        <w:rPr>
          <w:rFonts w:cstheme="minorHAnsi"/>
          <w:sz w:val="24"/>
          <w:szCs w:val="24"/>
        </w:rPr>
        <w:t>we</w:t>
      </w:r>
      <w:r w:rsidR="00D6739E" w:rsidRPr="006D0DF5">
        <w:rPr>
          <w:rFonts w:cstheme="minorHAnsi"/>
          <w:sz w:val="24"/>
          <w:szCs w:val="24"/>
        </w:rPr>
        <w:t xml:space="preserve"> will </w:t>
      </w:r>
      <w:r w:rsidR="00C930DF" w:rsidRPr="006D0DF5">
        <w:rPr>
          <w:rFonts w:cstheme="minorHAnsi"/>
          <w:sz w:val="24"/>
          <w:szCs w:val="24"/>
        </w:rPr>
        <w:t>enlist</w:t>
      </w:r>
      <w:r w:rsidR="00D6739E" w:rsidRPr="006D0DF5">
        <w:rPr>
          <w:rFonts w:cstheme="minorHAnsi"/>
          <w:sz w:val="24"/>
          <w:szCs w:val="24"/>
        </w:rPr>
        <w:t xml:space="preserve"> districts, schools</w:t>
      </w:r>
      <w:r w:rsidR="00F5714C" w:rsidRPr="006D0DF5">
        <w:rPr>
          <w:rFonts w:cstheme="minorHAnsi"/>
          <w:sz w:val="24"/>
          <w:szCs w:val="24"/>
        </w:rPr>
        <w:t xml:space="preserve">, </w:t>
      </w:r>
      <w:r w:rsidR="00D6739E" w:rsidRPr="006D0DF5">
        <w:rPr>
          <w:rFonts w:cstheme="minorHAnsi"/>
          <w:sz w:val="24"/>
          <w:szCs w:val="24"/>
        </w:rPr>
        <w:t>educators</w:t>
      </w:r>
      <w:r w:rsidR="0088305F" w:rsidRPr="006D0DF5">
        <w:rPr>
          <w:rFonts w:cstheme="minorHAnsi"/>
          <w:sz w:val="24"/>
          <w:szCs w:val="24"/>
        </w:rPr>
        <w:t>,</w:t>
      </w:r>
      <w:r w:rsidR="00F5714C" w:rsidRPr="006D0DF5">
        <w:rPr>
          <w:rFonts w:cstheme="minorHAnsi"/>
          <w:sz w:val="24"/>
          <w:szCs w:val="24"/>
        </w:rPr>
        <w:t xml:space="preserve"> and </w:t>
      </w:r>
      <w:r w:rsidR="00D36E5D" w:rsidRPr="006D0DF5">
        <w:rPr>
          <w:rFonts w:cstheme="minorHAnsi"/>
          <w:sz w:val="24"/>
          <w:szCs w:val="24"/>
        </w:rPr>
        <w:t>communities</w:t>
      </w:r>
      <w:r w:rsidR="00D6739E" w:rsidRPr="006D0DF5">
        <w:rPr>
          <w:rFonts w:cstheme="minorHAnsi"/>
          <w:sz w:val="24"/>
          <w:szCs w:val="24"/>
        </w:rPr>
        <w:t xml:space="preserve"> to </w:t>
      </w:r>
      <w:r w:rsidR="00327AA8" w:rsidRPr="006D0DF5">
        <w:rPr>
          <w:rFonts w:cstheme="minorHAnsi"/>
          <w:sz w:val="24"/>
          <w:szCs w:val="24"/>
        </w:rPr>
        <w:t>further</w:t>
      </w:r>
      <w:r w:rsidR="00F344FF" w:rsidRPr="006D0DF5">
        <w:rPr>
          <w:rFonts w:cstheme="minorHAnsi"/>
          <w:sz w:val="24"/>
          <w:szCs w:val="24"/>
        </w:rPr>
        <w:t xml:space="preserve"> define this work </w:t>
      </w:r>
      <w:r w:rsidR="00032E9C" w:rsidRPr="006D0DF5">
        <w:rPr>
          <w:rFonts w:cstheme="minorHAnsi"/>
          <w:sz w:val="24"/>
          <w:szCs w:val="24"/>
        </w:rPr>
        <w:t xml:space="preserve">– at the </w:t>
      </w:r>
      <w:r w:rsidR="00234C03" w:rsidRPr="006D0DF5">
        <w:rPr>
          <w:rFonts w:cstheme="minorHAnsi"/>
          <w:sz w:val="24"/>
          <w:szCs w:val="24"/>
        </w:rPr>
        <w:t>local and state</w:t>
      </w:r>
      <w:r w:rsidR="00032E9C" w:rsidRPr="006D0DF5">
        <w:rPr>
          <w:rFonts w:cstheme="minorHAnsi"/>
          <w:sz w:val="24"/>
          <w:szCs w:val="24"/>
        </w:rPr>
        <w:t xml:space="preserve"> levels – </w:t>
      </w:r>
      <w:r w:rsidR="00F344FF" w:rsidRPr="006D0DF5">
        <w:rPr>
          <w:rFonts w:cstheme="minorHAnsi"/>
          <w:sz w:val="24"/>
          <w:szCs w:val="24"/>
        </w:rPr>
        <w:t>together.</w:t>
      </w:r>
    </w:p>
    <w:p w14:paraId="1316E752" w14:textId="77777777" w:rsidR="00C76C30" w:rsidRDefault="00C76C30" w:rsidP="00C76C30">
      <w:pPr>
        <w:spacing w:after="0" w:line="276" w:lineRule="auto"/>
        <w:rPr>
          <w:rFonts w:cstheme="minorHAnsi"/>
          <w:b/>
          <w:color w:val="2F5496" w:themeColor="accent1" w:themeShade="BF"/>
          <w:sz w:val="24"/>
          <w:szCs w:val="24"/>
        </w:rPr>
      </w:pPr>
    </w:p>
    <w:p w14:paraId="78108F90" w14:textId="46B1487A" w:rsidR="00820744" w:rsidRDefault="009A00B9" w:rsidP="007B5F26">
      <w:pPr>
        <w:pStyle w:val="Heading3"/>
      </w:pPr>
      <w:r w:rsidRPr="00C76C30">
        <w:t xml:space="preserve">Theme </w:t>
      </w:r>
      <w:r w:rsidR="007C7FD4" w:rsidRPr="00C76C30">
        <w:t>I</w:t>
      </w:r>
      <w:r w:rsidRPr="00C76C30">
        <w:t xml:space="preserve">I: </w:t>
      </w:r>
      <w:r w:rsidR="0015723E" w:rsidRPr="00C76C30">
        <w:t xml:space="preserve">Holistic Support </w:t>
      </w:r>
      <w:r w:rsidR="00126351" w:rsidRPr="00C76C30">
        <w:t>and</w:t>
      </w:r>
      <w:r w:rsidR="0015723E" w:rsidRPr="00C76C30">
        <w:t xml:space="preserve"> Enrichment</w:t>
      </w:r>
    </w:p>
    <w:p w14:paraId="560C415A" w14:textId="77777777" w:rsidR="00C76C30" w:rsidRPr="00C76C30" w:rsidRDefault="00C76C30" w:rsidP="00C76C30">
      <w:pPr>
        <w:spacing w:after="0" w:line="276" w:lineRule="auto"/>
        <w:rPr>
          <w:rFonts w:cstheme="minorHAnsi"/>
          <w:b/>
          <w:color w:val="2F5496" w:themeColor="accent1" w:themeShade="BF"/>
          <w:sz w:val="24"/>
          <w:szCs w:val="24"/>
        </w:rPr>
      </w:pPr>
    </w:p>
    <w:p w14:paraId="2E6072B0" w14:textId="22815A5F" w:rsidR="000526BF" w:rsidRPr="006D0DF5" w:rsidRDefault="00E53EB3" w:rsidP="00C76C30">
      <w:pPr>
        <w:spacing w:after="0" w:line="276" w:lineRule="auto"/>
        <w:rPr>
          <w:rFonts w:cstheme="minorHAnsi"/>
          <w:sz w:val="24"/>
          <w:szCs w:val="24"/>
        </w:rPr>
      </w:pPr>
      <w:r w:rsidRPr="006D0DF5">
        <w:rPr>
          <w:rFonts w:cstheme="minorHAnsi"/>
          <w:sz w:val="24"/>
          <w:szCs w:val="24"/>
        </w:rPr>
        <w:t xml:space="preserve">In my visits to </w:t>
      </w:r>
      <w:r w:rsidR="00193E94" w:rsidRPr="006D0DF5">
        <w:rPr>
          <w:rFonts w:cstheme="minorHAnsi"/>
          <w:sz w:val="24"/>
          <w:szCs w:val="24"/>
        </w:rPr>
        <w:t>schools across the</w:t>
      </w:r>
      <w:r w:rsidR="00F46695" w:rsidRPr="006D0DF5">
        <w:rPr>
          <w:rFonts w:cstheme="minorHAnsi"/>
          <w:sz w:val="24"/>
          <w:szCs w:val="24"/>
        </w:rPr>
        <w:t xml:space="preserve"> state, I heard clearly and consistently that</w:t>
      </w:r>
      <w:r w:rsidR="006E7AD2" w:rsidRPr="006D0DF5">
        <w:rPr>
          <w:rFonts w:cstheme="minorHAnsi"/>
          <w:sz w:val="24"/>
          <w:szCs w:val="24"/>
        </w:rPr>
        <w:t xml:space="preserve"> students’</w:t>
      </w:r>
      <w:r w:rsidR="00F46695" w:rsidRPr="006D0DF5">
        <w:rPr>
          <w:rFonts w:cstheme="minorHAnsi"/>
          <w:sz w:val="24"/>
          <w:szCs w:val="24"/>
        </w:rPr>
        <w:t xml:space="preserve"> social</w:t>
      </w:r>
      <w:r w:rsidR="00D82F34" w:rsidRPr="006D0DF5">
        <w:rPr>
          <w:rFonts w:cstheme="minorHAnsi"/>
          <w:sz w:val="24"/>
          <w:szCs w:val="24"/>
        </w:rPr>
        <w:t>-</w:t>
      </w:r>
      <w:r w:rsidR="00F46695" w:rsidRPr="006D0DF5">
        <w:rPr>
          <w:rFonts w:cstheme="minorHAnsi"/>
          <w:sz w:val="24"/>
          <w:szCs w:val="24"/>
        </w:rPr>
        <w:t>emotional health and wellness needs are intensifying across urban, rural</w:t>
      </w:r>
      <w:r w:rsidR="0088305F" w:rsidRPr="006D0DF5">
        <w:rPr>
          <w:rFonts w:cstheme="minorHAnsi"/>
          <w:sz w:val="24"/>
          <w:szCs w:val="24"/>
        </w:rPr>
        <w:t>,</w:t>
      </w:r>
      <w:r w:rsidR="00F46695" w:rsidRPr="006D0DF5">
        <w:rPr>
          <w:rFonts w:cstheme="minorHAnsi"/>
          <w:sz w:val="24"/>
          <w:szCs w:val="24"/>
        </w:rPr>
        <w:t xml:space="preserve"> and suburban </w:t>
      </w:r>
      <w:r w:rsidR="00F0225A" w:rsidRPr="006D0DF5">
        <w:rPr>
          <w:rFonts w:cstheme="minorHAnsi"/>
          <w:sz w:val="24"/>
          <w:szCs w:val="24"/>
        </w:rPr>
        <w:t>schools</w:t>
      </w:r>
      <w:r w:rsidR="00F46695" w:rsidRPr="006D0DF5">
        <w:rPr>
          <w:rFonts w:cstheme="minorHAnsi"/>
          <w:sz w:val="24"/>
          <w:szCs w:val="24"/>
        </w:rPr>
        <w:t xml:space="preserve"> – and presenting at earlier ages.  </w:t>
      </w:r>
      <w:r w:rsidR="00D1078C" w:rsidRPr="006D0DF5">
        <w:rPr>
          <w:rFonts w:cstheme="minorHAnsi"/>
          <w:sz w:val="24"/>
          <w:szCs w:val="24"/>
        </w:rPr>
        <w:t>If</w:t>
      </w:r>
      <w:r w:rsidR="005355D1" w:rsidRPr="006D0DF5">
        <w:rPr>
          <w:rFonts w:cstheme="minorHAnsi"/>
          <w:sz w:val="24"/>
          <w:szCs w:val="24"/>
        </w:rPr>
        <w:t xml:space="preserve"> </w:t>
      </w:r>
      <w:r w:rsidR="00D1078C" w:rsidRPr="006D0DF5">
        <w:rPr>
          <w:rFonts w:cstheme="minorHAnsi"/>
          <w:sz w:val="24"/>
          <w:szCs w:val="24"/>
        </w:rPr>
        <w:t>w</w:t>
      </w:r>
      <w:r w:rsidR="000526BF" w:rsidRPr="006D0DF5">
        <w:rPr>
          <w:rFonts w:cstheme="minorHAnsi"/>
          <w:sz w:val="24"/>
          <w:szCs w:val="24"/>
        </w:rPr>
        <w:t xml:space="preserve">e are to provide equitable </w:t>
      </w:r>
      <w:r w:rsidR="006243AE" w:rsidRPr="006D0DF5">
        <w:rPr>
          <w:rFonts w:cstheme="minorHAnsi"/>
          <w:sz w:val="24"/>
          <w:szCs w:val="24"/>
        </w:rPr>
        <w:t xml:space="preserve">access to </w:t>
      </w:r>
      <w:r w:rsidR="000526BF" w:rsidRPr="006D0DF5">
        <w:rPr>
          <w:rFonts w:cstheme="minorHAnsi"/>
          <w:sz w:val="24"/>
          <w:szCs w:val="24"/>
        </w:rPr>
        <w:t>deeper learning for all, we need to ensure</w:t>
      </w:r>
      <w:r w:rsidR="006243AE" w:rsidRPr="006D0DF5">
        <w:rPr>
          <w:rFonts w:cstheme="minorHAnsi"/>
          <w:sz w:val="24"/>
          <w:szCs w:val="24"/>
        </w:rPr>
        <w:t xml:space="preserve"> all students receive </w:t>
      </w:r>
      <w:r w:rsidR="000526BF" w:rsidRPr="006D0DF5">
        <w:rPr>
          <w:rFonts w:cstheme="minorHAnsi"/>
          <w:sz w:val="24"/>
          <w:szCs w:val="24"/>
        </w:rPr>
        <w:t>strong foundational supports and enriching experiences</w:t>
      </w:r>
      <w:r w:rsidR="00E12D4A" w:rsidRPr="006D0DF5">
        <w:rPr>
          <w:rFonts w:cstheme="minorHAnsi"/>
          <w:sz w:val="24"/>
          <w:szCs w:val="24"/>
        </w:rPr>
        <w:t xml:space="preserve"> beyond core academics</w:t>
      </w:r>
      <w:r w:rsidR="006E7AD2" w:rsidRPr="006D0DF5">
        <w:rPr>
          <w:rFonts w:cstheme="minorHAnsi"/>
          <w:sz w:val="24"/>
          <w:szCs w:val="24"/>
        </w:rPr>
        <w:t>.</w:t>
      </w:r>
    </w:p>
    <w:p w14:paraId="78AACE13" w14:textId="77777777" w:rsidR="00C76C30" w:rsidRDefault="00C76C30" w:rsidP="00C76C30">
      <w:pPr>
        <w:spacing w:after="0" w:line="276" w:lineRule="auto"/>
        <w:rPr>
          <w:rFonts w:cstheme="minorHAnsi"/>
          <w:sz w:val="24"/>
          <w:szCs w:val="24"/>
        </w:rPr>
      </w:pPr>
    </w:p>
    <w:p w14:paraId="451C88A7" w14:textId="78C106C2" w:rsidR="008531BE" w:rsidRDefault="00D1078C" w:rsidP="00C76C30">
      <w:pPr>
        <w:spacing w:after="0" w:line="276" w:lineRule="auto"/>
        <w:rPr>
          <w:rFonts w:cstheme="minorHAnsi"/>
          <w:b/>
          <w:bCs/>
          <w:sz w:val="24"/>
          <w:szCs w:val="24"/>
        </w:rPr>
      </w:pPr>
      <w:r w:rsidRPr="006D0DF5">
        <w:rPr>
          <w:rFonts w:cstheme="minorHAnsi"/>
          <w:sz w:val="24"/>
          <w:szCs w:val="24"/>
        </w:rPr>
        <w:t xml:space="preserve">As Elaine Weiss and Paul Reville </w:t>
      </w:r>
      <w:r w:rsidR="006E7AD2" w:rsidRPr="006D0DF5">
        <w:rPr>
          <w:rFonts w:cstheme="minorHAnsi"/>
          <w:sz w:val="24"/>
          <w:szCs w:val="24"/>
        </w:rPr>
        <w:t>contend</w:t>
      </w:r>
      <w:r w:rsidRPr="006D0DF5">
        <w:rPr>
          <w:rFonts w:cstheme="minorHAnsi"/>
          <w:sz w:val="24"/>
          <w:szCs w:val="24"/>
        </w:rPr>
        <w:t xml:space="preserve"> in </w:t>
      </w:r>
      <w:r w:rsidR="006E7AD2" w:rsidRPr="006D0DF5">
        <w:rPr>
          <w:rFonts w:cstheme="minorHAnsi"/>
          <w:sz w:val="24"/>
          <w:szCs w:val="24"/>
        </w:rPr>
        <w:t>their</w:t>
      </w:r>
      <w:r w:rsidRPr="006D0DF5">
        <w:rPr>
          <w:rFonts w:cstheme="minorHAnsi"/>
          <w:sz w:val="24"/>
          <w:szCs w:val="24"/>
        </w:rPr>
        <w:t xml:space="preserve"> book </w:t>
      </w:r>
      <w:hyperlink r:id="rId17" w:history="1">
        <w:r w:rsidRPr="006D0DF5">
          <w:rPr>
            <w:rStyle w:val="Hyperlink"/>
            <w:rFonts w:cstheme="minorHAnsi"/>
            <w:i/>
            <w:iCs/>
            <w:sz w:val="24"/>
            <w:szCs w:val="24"/>
          </w:rPr>
          <w:t>Broader, Bolder, Better: How Schools and Communities Help Students Overcome the Disadvantages of Poverty</w:t>
        </w:r>
      </w:hyperlink>
      <w:r w:rsidRPr="006D0DF5">
        <w:rPr>
          <w:rFonts w:cstheme="minorHAnsi"/>
          <w:sz w:val="24"/>
          <w:szCs w:val="24"/>
        </w:rPr>
        <w:t>, we need “systems of integrated student supports” to “free children up to engage in the type of critical thinking and deeper learning to which our schools and education systems aspire.”</w:t>
      </w:r>
      <w:r w:rsidRPr="006D0DF5">
        <w:rPr>
          <w:rStyle w:val="FootnoteReference"/>
          <w:rFonts w:cstheme="minorHAnsi"/>
          <w:sz w:val="24"/>
          <w:szCs w:val="24"/>
        </w:rPr>
        <w:footnoteReference w:id="8"/>
      </w:r>
      <w:r w:rsidR="00C76C30">
        <w:rPr>
          <w:rFonts w:cstheme="minorHAnsi"/>
          <w:sz w:val="24"/>
          <w:szCs w:val="24"/>
        </w:rPr>
        <w:t xml:space="preserve">  </w:t>
      </w:r>
      <w:r w:rsidR="004E4C18" w:rsidRPr="006D0DF5">
        <w:rPr>
          <w:rFonts w:cstheme="minorHAnsi"/>
          <w:sz w:val="24"/>
          <w:szCs w:val="24"/>
        </w:rPr>
        <w:t>All children</w:t>
      </w:r>
      <w:r w:rsidR="008531BE" w:rsidRPr="006D0DF5">
        <w:rPr>
          <w:rFonts w:cstheme="minorHAnsi"/>
          <w:sz w:val="24"/>
          <w:szCs w:val="24"/>
        </w:rPr>
        <w:t xml:space="preserve"> need</w:t>
      </w:r>
      <w:r w:rsidR="009954F2" w:rsidRPr="006D0DF5">
        <w:rPr>
          <w:rFonts w:cstheme="minorHAnsi"/>
          <w:sz w:val="24"/>
          <w:szCs w:val="24"/>
        </w:rPr>
        <w:t xml:space="preserve"> appropriate</w:t>
      </w:r>
      <w:r w:rsidR="008531BE" w:rsidRPr="006D0DF5">
        <w:rPr>
          <w:rFonts w:cstheme="minorHAnsi"/>
          <w:sz w:val="24"/>
          <w:szCs w:val="24"/>
        </w:rPr>
        <w:t xml:space="preserve"> </w:t>
      </w:r>
      <w:r w:rsidR="00E12D4A" w:rsidRPr="006D0DF5">
        <w:rPr>
          <w:rFonts w:cstheme="minorHAnsi"/>
          <w:sz w:val="24"/>
          <w:szCs w:val="24"/>
        </w:rPr>
        <w:t xml:space="preserve">mental and physical health </w:t>
      </w:r>
      <w:r w:rsidR="008531BE" w:rsidRPr="006D0DF5">
        <w:rPr>
          <w:rFonts w:cstheme="minorHAnsi"/>
          <w:sz w:val="24"/>
          <w:szCs w:val="24"/>
        </w:rPr>
        <w:t>supports</w:t>
      </w:r>
      <w:r w:rsidR="00880537" w:rsidRPr="006D0DF5">
        <w:rPr>
          <w:rFonts w:cstheme="minorHAnsi"/>
          <w:sz w:val="24"/>
          <w:szCs w:val="24"/>
        </w:rPr>
        <w:t xml:space="preserve">, </w:t>
      </w:r>
      <w:r w:rsidR="006E7AD2" w:rsidRPr="006D0DF5">
        <w:rPr>
          <w:rFonts w:cstheme="minorHAnsi"/>
          <w:sz w:val="24"/>
          <w:szCs w:val="24"/>
        </w:rPr>
        <w:t>grounded in</w:t>
      </w:r>
      <w:r w:rsidR="00880537" w:rsidRPr="006D0DF5">
        <w:rPr>
          <w:rFonts w:cstheme="minorHAnsi"/>
          <w:sz w:val="24"/>
          <w:szCs w:val="24"/>
        </w:rPr>
        <w:t xml:space="preserve"> safe and supportive school cultures,</w:t>
      </w:r>
      <w:r w:rsidR="008531BE" w:rsidRPr="006D0DF5">
        <w:rPr>
          <w:rFonts w:cstheme="minorHAnsi"/>
          <w:sz w:val="24"/>
          <w:szCs w:val="24"/>
        </w:rPr>
        <w:t xml:space="preserve"> </w:t>
      </w:r>
      <w:r w:rsidR="00C94698" w:rsidRPr="006D0DF5">
        <w:rPr>
          <w:rFonts w:cstheme="minorHAnsi"/>
          <w:sz w:val="24"/>
          <w:szCs w:val="24"/>
        </w:rPr>
        <w:t>so they can</w:t>
      </w:r>
      <w:r w:rsidR="00270295" w:rsidRPr="006D0DF5">
        <w:rPr>
          <w:rFonts w:cstheme="minorHAnsi"/>
          <w:sz w:val="24"/>
          <w:szCs w:val="24"/>
        </w:rPr>
        <w:t xml:space="preserve"> enter the classroom </w:t>
      </w:r>
      <w:r w:rsidR="008531BE" w:rsidRPr="006D0DF5">
        <w:rPr>
          <w:rFonts w:cstheme="minorHAnsi"/>
          <w:sz w:val="24"/>
          <w:szCs w:val="24"/>
        </w:rPr>
        <w:t>genuinely ready to learn.</w:t>
      </w:r>
      <w:r w:rsidR="004E4C18" w:rsidRPr="006D0DF5">
        <w:rPr>
          <w:rFonts w:cstheme="minorHAnsi"/>
          <w:sz w:val="24"/>
          <w:szCs w:val="24"/>
        </w:rPr>
        <w:t xml:space="preserve">  </w:t>
      </w:r>
      <w:r w:rsidR="009954F2" w:rsidRPr="006D0DF5">
        <w:rPr>
          <w:rFonts w:cstheme="minorHAnsi"/>
          <w:sz w:val="24"/>
          <w:szCs w:val="24"/>
        </w:rPr>
        <w:t xml:space="preserve">Robust support services are </w:t>
      </w:r>
      <w:r w:rsidR="008531BE" w:rsidRPr="006D0DF5">
        <w:rPr>
          <w:rFonts w:cstheme="minorHAnsi"/>
          <w:sz w:val="24"/>
          <w:szCs w:val="24"/>
        </w:rPr>
        <w:t xml:space="preserve">especially </w:t>
      </w:r>
      <w:r w:rsidR="009954F2" w:rsidRPr="006D0DF5">
        <w:rPr>
          <w:rFonts w:cstheme="minorHAnsi"/>
          <w:sz w:val="24"/>
          <w:szCs w:val="24"/>
        </w:rPr>
        <w:t>necessary</w:t>
      </w:r>
      <w:r w:rsidR="008531BE" w:rsidRPr="006D0DF5">
        <w:rPr>
          <w:rFonts w:cstheme="minorHAnsi"/>
          <w:sz w:val="24"/>
          <w:szCs w:val="24"/>
        </w:rPr>
        <w:t xml:space="preserve"> for students</w:t>
      </w:r>
      <w:r w:rsidR="004E4C18" w:rsidRPr="006D0DF5">
        <w:rPr>
          <w:rFonts w:cstheme="minorHAnsi"/>
          <w:sz w:val="24"/>
          <w:szCs w:val="24"/>
        </w:rPr>
        <w:t xml:space="preserve"> who have unique challenges </w:t>
      </w:r>
      <w:r w:rsidR="00E53EB3" w:rsidRPr="006D0DF5">
        <w:rPr>
          <w:rFonts w:cstheme="minorHAnsi"/>
          <w:sz w:val="24"/>
          <w:szCs w:val="24"/>
        </w:rPr>
        <w:t xml:space="preserve">or </w:t>
      </w:r>
      <w:r w:rsidR="004E4C18" w:rsidRPr="006D0DF5">
        <w:rPr>
          <w:rFonts w:cstheme="minorHAnsi"/>
          <w:sz w:val="24"/>
          <w:szCs w:val="24"/>
        </w:rPr>
        <w:t>are</w:t>
      </w:r>
      <w:r w:rsidR="008531BE" w:rsidRPr="006D0DF5">
        <w:rPr>
          <w:rFonts w:cstheme="minorHAnsi"/>
          <w:sz w:val="24"/>
          <w:szCs w:val="24"/>
        </w:rPr>
        <w:t xml:space="preserve"> suffering from and distracted by trauma and toxic stress</w:t>
      </w:r>
      <w:r w:rsidR="008531BE" w:rsidRPr="006D0DF5">
        <w:rPr>
          <w:rFonts w:cstheme="minorHAnsi"/>
          <w:b/>
          <w:bCs/>
          <w:sz w:val="24"/>
          <w:szCs w:val="24"/>
        </w:rPr>
        <w:t>.</w:t>
      </w:r>
    </w:p>
    <w:p w14:paraId="52B38225" w14:textId="77777777" w:rsidR="00C76C30" w:rsidRPr="006D0DF5" w:rsidRDefault="00C76C30" w:rsidP="00C76C30">
      <w:pPr>
        <w:spacing w:after="0" w:line="276" w:lineRule="auto"/>
        <w:rPr>
          <w:rFonts w:cstheme="minorHAnsi"/>
          <w:sz w:val="24"/>
          <w:szCs w:val="24"/>
        </w:rPr>
      </w:pPr>
    </w:p>
    <w:p w14:paraId="0DBC03BE" w14:textId="31F85F59" w:rsidR="004355CF" w:rsidRDefault="00880537" w:rsidP="00C76C30">
      <w:pPr>
        <w:spacing w:after="0" w:line="276" w:lineRule="auto"/>
        <w:rPr>
          <w:rFonts w:cstheme="minorHAnsi"/>
          <w:sz w:val="24"/>
          <w:szCs w:val="24"/>
        </w:rPr>
      </w:pPr>
      <w:r w:rsidRPr="006D0DF5">
        <w:rPr>
          <w:rFonts w:cstheme="minorHAnsi"/>
          <w:sz w:val="24"/>
          <w:szCs w:val="24"/>
        </w:rPr>
        <w:t>In order to thrive, a</w:t>
      </w:r>
      <w:r w:rsidR="00F0225A" w:rsidRPr="006D0DF5">
        <w:rPr>
          <w:rFonts w:cstheme="minorHAnsi"/>
          <w:sz w:val="24"/>
          <w:szCs w:val="24"/>
        </w:rPr>
        <w:t>ll students also</w:t>
      </w:r>
      <w:r w:rsidR="008531BE" w:rsidRPr="006D0DF5">
        <w:rPr>
          <w:rFonts w:cstheme="minorHAnsi"/>
          <w:sz w:val="24"/>
          <w:szCs w:val="24"/>
        </w:rPr>
        <w:t xml:space="preserve"> need enriching experiences</w:t>
      </w:r>
      <w:r w:rsidRPr="006D0DF5">
        <w:rPr>
          <w:rFonts w:cstheme="minorHAnsi"/>
          <w:sz w:val="24"/>
          <w:szCs w:val="24"/>
        </w:rPr>
        <w:t xml:space="preserve"> – arts, music, and opportunities for civic engagement, among others –</w:t>
      </w:r>
      <w:r w:rsidR="008531BE" w:rsidRPr="006D0DF5">
        <w:rPr>
          <w:rFonts w:cstheme="minorHAnsi"/>
          <w:sz w:val="24"/>
          <w:szCs w:val="24"/>
        </w:rPr>
        <w:t xml:space="preserve"> both within and beyond the traditional school day.</w:t>
      </w:r>
      <w:r w:rsidR="0051688A" w:rsidRPr="006D0DF5">
        <w:rPr>
          <w:rFonts w:cstheme="minorHAnsi"/>
          <w:sz w:val="24"/>
          <w:szCs w:val="24"/>
        </w:rPr>
        <w:t xml:space="preserve">  </w:t>
      </w:r>
      <w:r w:rsidR="00C94698" w:rsidRPr="006D0DF5">
        <w:rPr>
          <w:rStyle w:val="Hyperlink"/>
          <w:rFonts w:cstheme="minorHAnsi"/>
          <w:color w:val="auto"/>
          <w:sz w:val="24"/>
          <w:szCs w:val="24"/>
          <w:u w:val="none"/>
        </w:rPr>
        <w:t>C</w:t>
      </w:r>
      <w:r w:rsidR="006D0DF5" w:rsidRPr="006D0DF5">
        <w:rPr>
          <w:rStyle w:val="Hyperlink"/>
          <w:rFonts w:cstheme="minorHAnsi"/>
          <w:color w:val="auto"/>
          <w:sz w:val="24"/>
          <w:szCs w:val="24"/>
          <w:u w:val="none"/>
        </w:rPr>
        <w:t>hildren</w:t>
      </w:r>
      <w:r w:rsidR="006D0DF5" w:rsidRPr="006D0DF5">
        <w:rPr>
          <w:rStyle w:val="Hyperlink"/>
          <w:rFonts w:cstheme="minorHAnsi"/>
          <w:color w:val="auto"/>
          <w:sz w:val="24"/>
          <w:szCs w:val="24"/>
        </w:rPr>
        <w:t xml:space="preserve"> </w:t>
      </w:r>
      <w:r w:rsidR="00D1078C" w:rsidRPr="006D0DF5">
        <w:rPr>
          <w:rFonts w:cstheme="minorHAnsi"/>
          <w:sz w:val="24"/>
          <w:szCs w:val="24"/>
        </w:rPr>
        <w:t>from more advantaged backgrounds are more likely than economically disadvantaged students to have access to a rich array of extracurriculars, clubs, sports, and other opportunities after school.</w:t>
      </w:r>
      <w:r w:rsidR="00830F52" w:rsidRPr="006D0DF5">
        <w:rPr>
          <w:rStyle w:val="FootnoteReference"/>
          <w:rFonts w:cstheme="minorHAnsi"/>
          <w:sz w:val="24"/>
          <w:szCs w:val="24"/>
        </w:rPr>
        <w:footnoteReference w:id="9"/>
      </w:r>
      <w:r w:rsidR="00F0225A" w:rsidRPr="006D0DF5">
        <w:rPr>
          <w:rFonts w:cstheme="minorHAnsi"/>
          <w:sz w:val="24"/>
          <w:szCs w:val="24"/>
        </w:rPr>
        <w:t xml:space="preserve">  </w:t>
      </w:r>
      <w:r w:rsidR="003C442B" w:rsidRPr="006D0DF5">
        <w:rPr>
          <w:rFonts w:cstheme="minorHAnsi"/>
          <w:sz w:val="24"/>
          <w:szCs w:val="24"/>
        </w:rPr>
        <w:t xml:space="preserve">Many of these enriching experiences </w:t>
      </w:r>
      <w:r w:rsidR="00E53EB3" w:rsidRPr="006D0DF5">
        <w:rPr>
          <w:rFonts w:cstheme="minorHAnsi"/>
          <w:sz w:val="24"/>
          <w:szCs w:val="24"/>
        </w:rPr>
        <w:t xml:space="preserve">promote </w:t>
      </w:r>
      <w:r w:rsidR="003C442B" w:rsidRPr="006D0DF5">
        <w:rPr>
          <w:rFonts w:cstheme="minorHAnsi"/>
          <w:sz w:val="24"/>
          <w:szCs w:val="24"/>
        </w:rPr>
        <w:t>deeper learning, as they engage students as hands-on participants in the creative process.</w:t>
      </w:r>
    </w:p>
    <w:p w14:paraId="67502FBE" w14:textId="77777777" w:rsidR="004355CF" w:rsidRDefault="004355CF" w:rsidP="00C76C30">
      <w:pPr>
        <w:spacing w:after="0" w:line="276" w:lineRule="auto"/>
        <w:rPr>
          <w:rFonts w:cstheme="minorHAnsi"/>
          <w:sz w:val="24"/>
          <w:szCs w:val="24"/>
        </w:rPr>
      </w:pPr>
    </w:p>
    <w:p w14:paraId="632252B3" w14:textId="5218CDF1" w:rsidR="00193E94" w:rsidRDefault="004355CF" w:rsidP="00C76C30">
      <w:pPr>
        <w:spacing w:after="0" w:line="276" w:lineRule="auto"/>
        <w:rPr>
          <w:rFonts w:cstheme="minorHAnsi"/>
          <w:sz w:val="24"/>
          <w:szCs w:val="24"/>
        </w:rPr>
      </w:pPr>
      <w:r>
        <w:rPr>
          <w:rFonts w:cstheme="minorHAnsi"/>
          <w:sz w:val="24"/>
          <w:szCs w:val="24"/>
        </w:rPr>
        <w:t>I</w:t>
      </w:r>
      <w:r w:rsidR="00206F67" w:rsidRPr="006D0DF5">
        <w:rPr>
          <w:rFonts w:cstheme="minorHAnsi"/>
          <w:sz w:val="24"/>
          <w:szCs w:val="24"/>
        </w:rPr>
        <w:t>n most cases, schools alone cannot deliver these experiences for all students.</w:t>
      </w:r>
      <w:r>
        <w:rPr>
          <w:rFonts w:cstheme="minorHAnsi"/>
          <w:sz w:val="24"/>
          <w:szCs w:val="24"/>
        </w:rPr>
        <w:t xml:space="preserve">  </w:t>
      </w:r>
      <w:r w:rsidR="00193E94" w:rsidRPr="006D0DF5">
        <w:rPr>
          <w:rFonts w:cstheme="minorHAnsi"/>
          <w:sz w:val="24"/>
          <w:szCs w:val="24"/>
        </w:rPr>
        <w:t xml:space="preserve">Families are schools’ first essential partner.  </w:t>
      </w:r>
      <w:r w:rsidR="00206F67" w:rsidRPr="006D0DF5">
        <w:rPr>
          <w:rFonts w:cstheme="minorHAnsi"/>
          <w:sz w:val="24"/>
          <w:szCs w:val="24"/>
        </w:rPr>
        <w:t>Principals and teachers must</w:t>
      </w:r>
      <w:r w:rsidR="00F46695" w:rsidRPr="006D0DF5">
        <w:rPr>
          <w:rFonts w:cstheme="minorHAnsi"/>
          <w:sz w:val="24"/>
          <w:szCs w:val="24"/>
        </w:rPr>
        <w:t xml:space="preserve"> engag</w:t>
      </w:r>
      <w:r w:rsidR="00206F67" w:rsidRPr="006D0DF5">
        <w:rPr>
          <w:rFonts w:cstheme="minorHAnsi"/>
          <w:sz w:val="24"/>
          <w:szCs w:val="24"/>
        </w:rPr>
        <w:t xml:space="preserve">e </w:t>
      </w:r>
      <w:r w:rsidR="00F46695" w:rsidRPr="006D0DF5">
        <w:rPr>
          <w:rFonts w:cstheme="minorHAnsi"/>
          <w:sz w:val="24"/>
          <w:szCs w:val="24"/>
        </w:rPr>
        <w:t xml:space="preserve">our families as true partners, </w:t>
      </w:r>
      <w:r w:rsidR="00206F67" w:rsidRPr="006D0DF5">
        <w:rPr>
          <w:rFonts w:cstheme="minorHAnsi"/>
          <w:sz w:val="24"/>
          <w:szCs w:val="24"/>
        </w:rPr>
        <w:lastRenderedPageBreak/>
        <w:t xml:space="preserve">both </w:t>
      </w:r>
      <w:r w:rsidR="00F46695" w:rsidRPr="006D0DF5">
        <w:rPr>
          <w:rFonts w:cstheme="minorHAnsi"/>
          <w:sz w:val="24"/>
          <w:szCs w:val="24"/>
        </w:rPr>
        <w:t>by listening and responding to their dreams for their child</w:t>
      </w:r>
      <w:r w:rsidR="00E53EB3" w:rsidRPr="006D0DF5">
        <w:rPr>
          <w:rFonts w:cstheme="minorHAnsi"/>
          <w:sz w:val="24"/>
          <w:szCs w:val="24"/>
        </w:rPr>
        <w:t>ren</w:t>
      </w:r>
      <w:r w:rsidR="00F46695" w:rsidRPr="006D0DF5">
        <w:rPr>
          <w:rFonts w:cstheme="minorHAnsi"/>
          <w:sz w:val="24"/>
          <w:szCs w:val="24"/>
        </w:rPr>
        <w:t xml:space="preserve"> and equipping them to support their child</w:t>
      </w:r>
      <w:r w:rsidR="00E53EB3" w:rsidRPr="006D0DF5">
        <w:rPr>
          <w:rFonts w:cstheme="minorHAnsi"/>
          <w:sz w:val="24"/>
          <w:szCs w:val="24"/>
        </w:rPr>
        <w:t>ren</w:t>
      </w:r>
      <w:r w:rsidR="00F46695" w:rsidRPr="006D0DF5">
        <w:rPr>
          <w:rFonts w:cstheme="minorHAnsi"/>
          <w:sz w:val="24"/>
          <w:szCs w:val="24"/>
        </w:rPr>
        <w:t xml:space="preserve">’s growth and development at home.  </w:t>
      </w:r>
      <w:r w:rsidR="00193E94" w:rsidRPr="006D0DF5">
        <w:rPr>
          <w:rFonts w:cstheme="minorHAnsi"/>
          <w:sz w:val="24"/>
          <w:szCs w:val="24"/>
        </w:rPr>
        <w:t xml:space="preserve">Community-based non-profits, employers, </w:t>
      </w:r>
      <w:r w:rsidR="00206F67" w:rsidRPr="006D0DF5">
        <w:rPr>
          <w:rFonts w:cstheme="minorHAnsi"/>
          <w:sz w:val="24"/>
          <w:szCs w:val="24"/>
        </w:rPr>
        <w:t xml:space="preserve">and </w:t>
      </w:r>
      <w:r w:rsidR="00193E94" w:rsidRPr="006D0DF5">
        <w:rPr>
          <w:rFonts w:cstheme="minorHAnsi"/>
          <w:sz w:val="24"/>
          <w:szCs w:val="24"/>
        </w:rPr>
        <w:t>universities</w:t>
      </w:r>
      <w:r w:rsidR="00206F67" w:rsidRPr="006D0DF5">
        <w:rPr>
          <w:rFonts w:cstheme="minorHAnsi"/>
          <w:sz w:val="24"/>
          <w:szCs w:val="24"/>
        </w:rPr>
        <w:t xml:space="preserve"> also</w:t>
      </w:r>
      <w:r w:rsidR="00193E94" w:rsidRPr="006D0DF5">
        <w:rPr>
          <w:rFonts w:cstheme="minorHAnsi"/>
          <w:sz w:val="24"/>
          <w:szCs w:val="24"/>
        </w:rPr>
        <w:t xml:space="preserve"> </w:t>
      </w:r>
      <w:r w:rsidR="00E53EB3" w:rsidRPr="006D0DF5">
        <w:rPr>
          <w:rFonts w:cstheme="minorHAnsi"/>
          <w:sz w:val="24"/>
          <w:szCs w:val="24"/>
        </w:rPr>
        <w:t xml:space="preserve">play </w:t>
      </w:r>
      <w:r w:rsidR="00193E94" w:rsidRPr="006D0DF5">
        <w:rPr>
          <w:rFonts w:cstheme="minorHAnsi"/>
          <w:sz w:val="24"/>
          <w:szCs w:val="24"/>
        </w:rPr>
        <w:t>a critical role in partnering with schools to support students in holistic ways</w:t>
      </w:r>
      <w:r w:rsidR="00206F67" w:rsidRPr="006D0DF5">
        <w:rPr>
          <w:rFonts w:cstheme="minorHAnsi"/>
          <w:sz w:val="24"/>
          <w:szCs w:val="24"/>
        </w:rPr>
        <w:t>, from</w:t>
      </w:r>
      <w:r w:rsidR="00193E94" w:rsidRPr="006D0DF5">
        <w:rPr>
          <w:rFonts w:cstheme="minorHAnsi"/>
          <w:sz w:val="24"/>
          <w:szCs w:val="24"/>
        </w:rPr>
        <w:t xml:space="preserve"> wraparound supports</w:t>
      </w:r>
      <w:r w:rsidR="00206F67" w:rsidRPr="006D0DF5">
        <w:rPr>
          <w:rFonts w:cstheme="minorHAnsi"/>
          <w:sz w:val="24"/>
          <w:szCs w:val="24"/>
        </w:rPr>
        <w:t xml:space="preserve"> to </w:t>
      </w:r>
      <w:r w:rsidR="00193E94" w:rsidRPr="006D0DF5">
        <w:rPr>
          <w:rFonts w:cstheme="minorHAnsi"/>
          <w:sz w:val="24"/>
          <w:szCs w:val="24"/>
        </w:rPr>
        <w:t xml:space="preserve">quality afterschool </w:t>
      </w:r>
      <w:r w:rsidR="00206F67" w:rsidRPr="006D0DF5">
        <w:rPr>
          <w:rFonts w:cstheme="minorHAnsi"/>
          <w:sz w:val="24"/>
          <w:szCs w:val="24"/>
        </w:rPr>
        <w:t xml:space="preserve">and summer learning </w:t>
      </w:r>
      <w:r w:rsidR="00193E94" w:rsidRPr="006D0DF5">
        <w:rPr>
          <w:rFonts w:cstheme="minorHAnsi"/>
          <w:sz w:val="24"/>
          <w:szCs w:val="24"/>
        </w:rPr>
        <w:t xml:space="preserve">programs, </w:t>
      </w:r>
      <w:r w:rsidR="00206F67" w:rsidRPr="006D0DF5">
        <w:rPr>
          <w:rFonts w:cstheme="minorHAnsi"/>
          <w:sz w:val="24"/>
          <w:szCs w:val="24"/>
        </w:rPr>
        <w:t xml:space="preserve">from </w:t>
      </w:r>
      <w:r w:rsidR="00193E94" w:rsidRPr="006D0DF5">
        <w:rPr>
          <w:rFonts w:cstheme="minorHAnsi"/>
          <w:sz w:val="24"/>
          <w:szCs w:val="24"/>
        </w:rPr>
        <w:t>athletics</w:t>
      </w:r>
      <w:r w:rsidR="00206F67" w:rsidRPr="006D0DF5">
        <w:rPr>
          <w:rFonts w:cstheme="minorHAnsi"/>
          <w:sz w:val="24"/>
          <w:szCs w:val="24"/>
        </w:rPr>
        <w:t xml:space="preserve"> and enrichment to mentorship programs</w:t>
      </w:r>
      <w:r w:rsidR="00193E94" w:rsidRPr="006D0DF5">
        <w:rPr>
          <w:rFonts w:cstheme="minorHAnsi"/>
          <w:sz w:val="24"/>
          <w:szCs w:val="24"/>
        </w:rPr>
        <w:t>.</w:t>
      </w:r>
    </w:p>
    <w:p w14:paraId="0946AEB8" w14:textId="77777777" w:rsidR="00C76C30" w:rsidRPr="006D0DF5" w:rsidRDefault="00C76C30" w:rsidP="00C76C30">
      <w:pPr>
        <w:spacing w:after="0" w:line="276" w:lineRule="auto"/>
        <w:rPr>
          <w:rFonts w:cstheme="minorHAnsi"/>
          <w:sz w:val="24"/>
          <w:szCs w:val="24"/>
        </w:rPr>
      </w:pPr>
    </w:p>
    <w:p w14:paraId="36CB7D29" w14:textId="15C91247" w:rsidR="00193E94" w:rsidRPr="006D0DF5" w:rsidRDefault="00F0225A" w:rsidP="00C76C30">
      <w:pPr>
        <w:spacing w:after="0" w:line="276" w:lineRule="auto"/>
        <w:rPr>
          <w:rFonts w:cstheme="minorHAnsi"/>
          <w:sz w:val="24"/>
          <w:szCs w:val="24"/>
        </w:rPr>
      </w:pPr>
      <w:r w:rsidRPr="006D0DF5">
        <w:rPr>
          <w:rFonts w:cstheme="minorHAnsi"/>
          <w:sz w:val="24"/>
          <w:szCs w:val="24"/>
        </w:rPr>
        <w:t xml:space="preserve">DESE can </w:t>
      </w:r>
      <w:r w:rsidR="00206F67" w:rsidRPr="006D0DF5">
        <w:rPr>
          <w:rFonts w:cstheme="minorHAnsi"/>
          <w:sz w:val="24"/>
          <w:szCs w:val="24"/>
        </w:rPr>
        <w:t>also d</w:t>
      </w:r>
      <w:r w:rsidRPr="006D0DF5">
        <w:rPr>
          <w:rFonts w:cstheme="minorHAnsi"/>
          <w:sz w:val="24"/>
          <w:szCs w:val="24"/>
        </w:rPr>
        <w:t xml:space="preserve">o more to develop </w:t>
      </w:r>
      <w:r w:rsidR="004101A5" w:rsidRPr="006D0DF5">
        <w:rPr>
          <w:rFonts w:cstheme="minorHAnsi"/>
          <w:sz w:val="24"/>
          <w:szCs w:val="24"/>
        </w:rPr>
        <w:t xml:space="preserve">networks of principals, </w:t>
      </w:r>
      <w:r w:rsidR="003C67D7" w:rsidRPr="006D0DF5">
        <w:rPr>
          <w:rFonts w:cstheme="minorHAnsi"/>
          <w:sz w:val="24"/>
          <w:szCs w:val="24"/>
        </w:rPr>
        <w:t>superintendents and district leaders</w:t>
      </w:r>
      <w:r w:rsidR="004101A5" w:rsidRPr="006D0DF5">
        <w:rPr>
          <w:rFonts w:cstheme="minorHAnsi"/>
          <w:sz w:val="24"/>
          <w:szCs w:val="24"/>
        </w:rPr>
        <w:t xml:space="preserve">, </w:t>
      </w:r>
      <w:r w:rsidR="006243AE" w:rsidRPr="006D0DF5">
        <w:rPr>
          <w:rFonts w:cstheme="minorHAnsi"/>
          <w:sz w:val="24"/>
          <w:szCs w:val="24"/>
        </w:rPr>
        <w:t xml:space="preserve">school committee members, </w:t>
      </w:r>
      <w:r w:rsidR="004101A5" w:rsidRPr="006D0DF5">
        <w:rPr>
          <w:rFonts w:cstheme="minorHAnsi"/>
          <w:sz w:val="24"/>
          <w:szCs w:val="24"/>
        </w:rPr>
        <w:t>and charter</w:t>
      </w:r>
      <w:r w:rsidR="003C442B" w:rsidRPr="006D0DF5">
        <w:rPr>
          <w:rFonts w:cstheme="minorHAnsi"/>
          <w:sz w:val="24"/>
          <w:szCs w:val="24"/>
        </w:rPr>
        <w:t xml:space="preserve"> </w:t>
      </w:r>
      <w:r w:rsidR="004101A5" w:rsidRPr="006D0DF5">
        <w:rPr>
          <w:rFonts w:cstheme="minorHAnsi"/>
          <w:sz w:val="24"/>
          <w:szCs w:val="24"/>
        </w:rPr>
        <w:t>and vocational leaders</w:t>
      </w:r>
      <w:r w:rsidR="003C442B" w:rsidRPr="006D0DF5">
        <w:rPr>
          <w:rFonts w:cstheme="minorHAnsi"/>
          <w:sz w:val="24"/>
          <w:szCs w:val="24"/>
        </w:rPr>
        <w:t xml:space="preserve"> working to address these challenges</w:t>
      </w:r>
      <w:r w:rsidRPr="006D0DF5">
        <w:rPr>
          <w:rFonts w:cstheme="minorHAnsi"/>
          <w:sz w:val="24"/>
          <w:szCs w:val="24"/>
        </w:rPr>
        <w:t>.</w:t>
      </w:r>
      <w:r w:rsidR="00E12D4A" w:rsidRPr="006D0DF5">
        <w:rPr>
          <w:rFonts w:cstheme="minorHAnsi"/>
          <w:sz w:val="24"/>
          <w:szCs w:val="24"/>
        </w:rPr>
        <w:t xml:space="preserve"> </w:t>
      </w:r>
      <w:r w:rsidRPr="006D0DF5">
        <w:rPr>
          <w:rFonts w:cstheme="minorHAnsi"/>
          <w:sz w:val="24"/>
          <w:szCs w:val="24"/>
        </w:rPr>
        <w:t xml:space="preserve"> The state can</w:t>
      </w:r>
      <w:r w:rsidR="00180196" w:rsidRPr="006D0DF5">
        <w:rPr>
          <w:rFonts w:cstheme="minorHAnsi"/>
          <w:sz w:val="24"/>
          <w:szCs w:val="24"/>
        </w:rPr>
        <w:t xml:space="preserve"> help to identify quality support partners and convene</w:t>
      </w:r>
      <w:r w:rsidRPr="006D0DF5">
        <w:rPr>
          <w:rFonts w:cstheme="minorHAnsi"/>
          <w:sz w:val="24"/>
          <w:szCs w:val="24"/>
        </w:rPr>
        <w:t xml:space="preserve"> </w:t>
      </w:r>
      <w:r w:rsidR="00180196" w:rsidRPr="006D0DF5">
        <w:rPr>
          <w:rFonts w:cstheme="minorHAnsi"/>
          <w:sz w:val="24"/>
          <w:szCs w:val="24"/>
        </w:rPr>
        <w:t xml:space="preserve">education </w:t>
      </w:r>
      <w:r w:rsidR="004101A5" w:rsidRPr="006D0DF5">
        <w:rPr>
          <w:rFonts w:cstheme="minorHAnsi"/>
          <w:sz w:val="24"/>
          <w:szCs w:val="24"/>
        </w:rPr>
        <w:t>practitioners</w:t>
      </w:r>
      <w:r w:rsidRPr="006D0DF5">
        <w:rPr>
          <w:rFonts w:cstheme="minorHAnsi"/>
          <w:sz w:val="24"/>
          <w:szCs w:val="24"/>
        </w:rPr>
        <w:t xml:space="preserve"> </w:t>
      </w:r>
      <w:r w:rsidR="0003474A" w:rsidRPr="006D0DF5">
        <w:rPr>
          <w:rFonts w:cstheme="minorHAnsi"/>
          <w:sz w:val="24"/>
          <w:szCs w:val="24"/>
        </w:rPr>
        <w:t xml:space="preserve">to </w:t>
      </w:r>
      <w:r w:rsidRPr="006D0DF5">
        <w:rPr>
          <w:rFonts w:cstheme="minorHAnsi"/>
          <w:sz w:val="24"/>
          <w:szCs w:val="24"/>
        </w:rPr>
        <w:t>shar</w:t>
      </w:r>
      <w:r w:rsidR="003C442B" w:rsidRPr="006D0DF5">
        <w:rPr>
          <w:rFonts w:cstheme="minorHAnsi"/>
          <w:sz w:val="24"/>
          <w:szCs w:val="24"/>
        </w:rPr>
        <w:t>e</w:t>
      </w:r>
      <w:r w:rsidRPr="006D0DF5">
        <w:rPr>
          <w:rFonts w:cstheme="minorHAnsi"/>
          <w:sz w:val="24"/>
          <w:szCs w:val="24"/>
        </w:rPr>
        <w:t xml:space="preserve"> promising strategies, especially in </w:t>
      </w:r>
      <w:r w:rsidR="00FB117A" w:rsidRPr="006D0DF5">
        <w:rPr>
          <w:rFonts w:cstheme="minorHAnsi"/>
          <w:sz w:val="24"/>
          <w:szCs w:val="24"/>
        </w:rPr>
        <w:t xml:space="preserve">districts </w:t>
      </w:r>
      <w:r w:rsidR="004101A5" w:rsidRPr="006D0DF5">
        <w:rPr>
          <w:rFonts w:cstheme="minorHAnsi"/>
          <w:sz w:val="24"/>
          <w:szCs w:val="24"/>
        </w:rPr>
        <w:t>serving</w:t>
      </w:r>
      <w:r w:rsidR="00FB117A" w:rsidRPr="006D0DF5">
        <w:rPr>
          <w:rFonts w:cstheme="minorHAnsi"/>
          <w:sz w:val="24"/>
          <w:szCs w:val="24"/>
        </w:rPr>
        <w:t xml:space="preserve"> significant populations of high</w:t>
      </w:r>
      <w:r w:rsidR="00E53EB3" w:rsidRPr="006D0DF5">
        <w:rPr>
          <w:rFonts w:cstheme="minorHAnsi"/>
          <w:sz w:val="24"/>
          <w:szCs w:val="24"/>
        </w:rPr>
        <w:t>-</w:t>
      </w:r>
      <w:r w:rsidR="00FB117A" w:rsidRPr="006D0DF5">
        <w:rPr>
          <w:rFonts w:cstheme="minorHAnsi"/>
          <w:sz w:val="24"/>
          <w:szCs w:val="24"/>
        </w:rPr>
        <w:t>needs students, or</w:t>
      </w:r>
      <w:r w:rsidR="004101A5" w:rsidRPr="006D0DF5">
        <w:rPr>
          <w:rFonts w:cstheme="minorHAnsi"/>
          <w:sz w:val="24"/>
          <w:szCs w:val="24"/>
        </w:rPr>
        <w:t xml:space="preserve"> those</w:t>
      </w:r>
      <w:r w:rsidR="00FB117A" w:rsidRPr="006D0DF5">
        <w:rPr>
          <w:rFonts w:cstheme="minorHAnsi"/>
          <w:sz w:val="24"/>
          <w:szCs w:val="24"/>
        </w:rPr>
        <w:t xml:space="preserve"> beginning to experience </w:t>
      </w:r>
      <w:r w:rsidR="004101A5" w:rsidRPr="006D0DF5">
        <w:rPr>
          <w:rFonts w:cstheme="minorHAnsi"/>
          <w:sz w:val="24"/>
          <w:szCs w:val="24"/>
        </w:rPr>
        <w:t>demographic shifts that will require increased student supports.</w:t>
      </w:r>
      <w:r w:rsidR="00290177" w:rsidRPr="006D0DF5">
        <w:rPr>
          <w:rFonts w:cstheme="minorHAnsi"/>
          <w:sz w:val="24"/>
          <w:szCs w:val="24"/>
        </w:rPr>
        <w:t xml:space="preserve">  </w:t>
      </w:r>
      <w:r w:rsidR="00193E94" w:rsidRPr="006D0DF5">
        <w:rPr>
          <w:rFonts w:cstheme="minorHAnsi"/>
          <w:sz w:val="24"/>
          <w:szCs w:val="24"/>
        </w:rPr>
        <w:t>Finally, we can also work more collaboratively across</w:t>
      </w:r>
      <w:r w:rsidR="00E53EB3" w:rsidRPr="006D0DF5">
        <w:rPr>
          <w:rFonts w:cstheme="minorHAnsi"/>
          <w:sz w:val="24"/>
          <w:szCs w:val="24"/>
        </w:rPr>
        <w:t xml:space="preserve"> </w:t>
      </w:r>
      <w:r w:rsidR="00193E94" w:rsidRPr="006D0DF5">
        <w:rPr>
          <w:rFonts w:cstheme="minorHAnsi"/>
          <w:sz w:val="24"/>
          <w:szCs w:val="24"/>
        </w:rPr>
        <w:t xml:space="preserve">state agencies </w:t>
      </w:r>
      <w:r w:rsidR="00E53EB3" w:rsidRPr="006D0DF5">
        <w:rPr>
          <w:rFonts w:cstheme="minorHAnsi"/>
          <w:sz w:val="24"/>
          <w:szCs w:val="24"/>
        </w:rPr>
        <w:t xml:space="preserve">that serve </w:t>
      </w:r>
      <w:r w:rsidR="00800707" w:rsidRPr="006D0DF5">
        <w:rPr>
          <w:rFonts w:cstheme="minorHAnsi"/>
          <w:sz w:val="24"/>
          <w:szCs w:val="24"/>
        </w:rPr>
        <w:t xml:space="preserve">children </w:t>
      </w:r>
      <w:r w:rsidR="00E53EB3" w:rsidRPr="006D0DF5">
        <w:rPr>
          <w:rFonts w:cstheme="minorHAnsi"/>
          <w:sz w:val="24"/>
          <w:szCs w:val="24"/>
        </w:rPr>
        <w:t xml:space="preserve">and families, finding ways to </w:t>
      </w:r>
      <w:r w:rsidR="00800707" w:rsidRPr="006D0DF5">
        <w:rPr>
          <w:rFonts w:cstheme="minorHAnsi"/>
          <w:sz w:val="24"/>
          <w:szCs w:val="24"/>
        </w:rPr>
        <w:t xml:space="preserve">coordinate services and data </w:t>
      </w:r>
      <w:r w:rsidR="00193E94" w:rsidRPr="006D0DF5">
        <w:rPr>
          <w:rFonts w:cstheme="minorHAnsi"/>
          <w:sz w:val="24"/>
          <w:szCs w:val="24"/>
        </w:rPr>
        <w:t xml:space="preserve">so we can respond </w:t>
      </w:r>
      <w:r w:rsidR="00800707" w:rsidRPr="006D0DF5">
        <w:rPr>
          <w:rFonts w:cstheme="minorHAnsi"/>
          <w:sz w:val="24"/>
          <w:szCs w:val="24"/>
        </w:rPr>
        <w:t xml:space="preserve">effectively </w:t>
      </w:r>
      <w:r w:rsidR="00193E94" w:rsidRPr="006D0DF5">
        <w:rPr>
          <w:rFonts w:cstheme="minorHAnsi"/>
          <w:sz w:val="24"/>
          <w:szCs w:val="24"/>
        </w:rPr>
        <w:t xml:space="preserve">to </w:t>
      </w:r>
      <w:r w:rsidR="00800707" w:rsidRPr="006D0DF5">
        <w:rPr>
          <w:rFonts w:cstheme="minorHAnsi"/>
          <w:sz w:val="24"/>
          <w:szCs w:val="24"/>
        </w:rPr>
        <w:t xml:space="preserve">students’ </w:t>
      </w:r>
      <w:r w:rsidR="00193E94" w:rsidRPr="006D0DF5">
        <w:rPr>
          <w:rFonts w:cstheme="minorHAnsi"/>
          <w:sz w:val="24"/>
          <w:szCs w:val="24"/>
        </w:rPr>
        <w:t>needs</w:t>
      </w:r>
      <w:r w:rsidR="0088305F" w:rsidRPr="006D0DF5">
        <w:rPr>
          <w:rFonts w:cstheme="minorHAnsi"/>
          <w:sz w:val="24"/>
          <w:szCs w:val="24"/>
        </w:rPr>
        <w:t>.</w:t>
      </w:r>
    </w:p>
    <w:p w14:paraId="378D6975" w14:textId="77777777" w:rsidR="00295F48" w:rsidRPr="006D0DF5" w:rsidRDefault="00295F48" w:rsidP="00C76C30">
      <w:pPr>
        <w:spacing w:after="0" w:line="276" w:lineRule="auto"/>
        <w:rPr>
          <w:rFonts w:cstheme="minorHAnsi"/>
          <w:sz w:val="24"/>
          <w:szCs w:val="24"/>
        </w:rPr>
      </w:pPr>
    </w:p>
    <w:p w14:paraId="471385FE" w14:textId="1BD3D9AD" w:rsidR="00295F48" w:rsidRPr="00C76C30" w:rsidRDefault="00295F48" w:rsidP="007B5F26">
      <w:pPr>
        <w:pStyle w:val="Heading3"/>
      </w:pPr>
      <w:r w:rsidRPr="00C76C30">
        <w:t xml:space="preserve">Theme III: Innovation </w:t>
      </w:r>
      <w:r w:rsidR="00126351" w:rsidRPr="00C76C30">
        <w:t>and</w:t>
      </w:r>
      <w:r w:rsidRPr="00C76C30">
        <w:t xml:space="preserve"> Evidence-based Practices </w:t>
      </w:r>
    </w:p>
    <w:p w14:paraId="3C485512" w14:textId="77777777" w:rsidR="00C76C30" w:rsidRDefault="00C76C30" w:rsidP="00C76C30">
      <w:pPr>
        <w:spacing w:after="0"/>
        <w:rPr>
          <w:rFonts w:cstheme="minorHAnsi"/>
          <w:sz w:val="24"/>
          <w:szCs w:val="24"/>
        </w:rPr>
      </w:pPr>
    </w:p>
    <w:p w14:paraId="00CA56F1" w14:textId="76D7AFB7" w:rsidR="00295F48" w:rsidRDefault="00295F48" w:rsidP="00C76C30">
      <w:pPr>
        <w:spacing w:after="0"/>
        <w:rPr>
          <w:rFonts w:cstheme="minorHAnsi"/>
          <w:sz w:val="24"/>
          <w:szCs w:val="24"/>
        </w:rPr>
      </w:pPr>
      <w:r w:rsidRPr="006D0DF5">
        <w:rPr>
          <w:rFonts w:cstheme="minorHAnsi"/>
          <w:sz w:val="24"/>
          <w:szCs w:val="24"/>
        </w:rPr>
        <w:t xml:space="preserve">I see great things happening in schools and classrooms across the state, but </w:t>
      </w:r>
      <w:r w:rsidR="00800707" w:rsidRPr="006D0DF5">
        <w:rPr>
          <w:rFonts w:cstheme="minorHAnsi"/>
          <w:sz w:val="24"/>
          <w:szCs w:val="24"/>
        </w:rPr>
        <w:t xml:space="preserve">currently </w:t>
      </w:r>
      <w:r w:rsidRPr="006D0DF5">
        <w:rPr>
          <w:rFonts w:cstheme="minorHAnsi"/>
          <w:sz w:val="24"/>
          <w:szCs w:val="24"/>
        </w:rPr>
        <w:t xml:space="preserve">there are limited ways for </w:t>
      </w:r>
      <w:r w:rsidR="00800707" w:rsidRPr="006D0DF5">
        <w:rPr>
          <w:rFonts w:cstheme="minorHAnsi"/>
          <w:sz w:val="24"/>
          <w:szCs w:val="24"/>
        </w:rPr>
        <w:t>educators</w:t>
      </w:r>
      <w:r w:rsidR="007D6B37" w:rsidRPr="006D0DF5">
        <w:rPr>
          <w:rFonts w:cstheme="minorHAnsi"/>
          <w:sz w:val="24"/>
          <w:szCs w:val="24"/>
        </w:rPr>
        <w:t xml:space="preserve"> </w:t>
      </w:r>
      <w:r w:rsidRPr="006D0DF5">
        <w:rPr>
          <w:rFonts w:cstheme="minorHAnsi"/>
          <w:sz w:val="24"/>
          <w:szCs w:val="24"/>
        </w:rPr>
        <w:t xml:space="preserve">across cities and towns to find out what others are working on, let alone understand </w:t>
      </w:r>
      <w:r w:rsidR="00800707" w:rsidRPr="006D0DF5">
        <w:rPr>
          <w:rFonts w:cstheme="minorHAnsi"/>
          <w:sz w:val="24"/>
          <w:szCs w:val="24"/>
        </w:rPr>
        <w:t xml:space="preserve">which </w:t>
      </w:r>
      <w:r w:rsidRPr="006D0DF5">
        <w:rPr>
          <w:rFonts w:cstheme="minorHAnsi"/>
          <w:sz w:val="24"/>
          <w:szCs w:val="24"/>
        </w:rPr>
        <w:t xml:space="preserve">practices are leading to success with students.  Right now, our K-12 education system lacks a systematic way to measure the impact of innovations and incorporate strong practices into a collective body of evidence.  </w:t>
      </w:r>
      <w:r w:rsidR="00800707" w:rsidRPr="006D0DF5">
        <w:rPr>
          <w:rFonts w:cstheme="minorHAnsi"/>
          <w:sz w:val="24"/>
          <w:szCs w:val="24"/>
        </w:rPr>
        <w:t>This i</w:t>
      </w:r>
      <w:r w:rsidRPr="006D0DF5">
        <w:rPr>
          <w:rFonts w:cstheme="minorHAnsi"/>
          <w:sz w:val="24"/>
          <w:szCs w:val="24"/>
        </w:rPr>
        <w:t>s a huge missed opportunity to elevate and learn from the countless examples of positive work happening in our schools each day.  In the coming year, as part of our deeper learning pilot program, we will begin to introduce a more systematic way to incentivize and learn from innovation in our schools.</w:t>
      </w:r>
    </w:p>
    <w:p w14:paraId="623AD4C2" w14:textId="77777777" w:rsidR="00C76C30" w:rsidRPr="006D0DF5" w:rsidRDefault="00C76C30" w:rsidP="00C76C30">
      <w:pPr>
        <w:spacing w:after="0"/>
        <w:rPr>
          <w:rFonts w:cstheme="minorHAnsi"/>
          <w:sz w:val="24"/>
          <w:szCs w:val="24"/>
        </w:rPr>
      </w:pPr>
    </w:p>
    <w:p w14:paraId="6D75FCAB" w14:textId="72160CCB" w:rsidR="00295F48" w:rsidRPr="006D0DF5" w:rsidRDefault="00295F48" w:rsidP="00C76C30">
      <w:pPr>
        <w:spacing w:after="0"/>
        <w:rPr>
          <w:rFonts w:cstheme="minorHAnsi"/>
          <w:sz w:val="24"/>
          <w:szCs w:val="24"/>
        </w:rPr>
      </w:pPr>
      <w:r w:rsidRPr="006D0DF5">
        <w:rPr>
          <w:rFonts w:cstheme="minorHAnsi"/>
          <w:sz w:val="24"/>
          <w:szCs w:val="24"/>
        </w:rPr>
        <w:t>In addition to learning from home-grown innovation, we must also broaden awareness of evidence-based strategies from research, highlight examples of this work in action, and use the resources of the state to support further adoption.  Districts and schools should expect continued DESE support in areas such as educator workforce diversity, standards-aligned curricula through our CURATE initiative, and expanded access to early college partnerships, among others.  We will also</w:t>
      </w:r>
      <w:r w:rsidR="00980353" w:rsidRPr="006D0DF5">
        <w:rPr>
          <w:rFonts w:cstheme="minorHAnsi"/>
          <w:sz w:val="24"/>
          <w:szCs w:val="24"/>
        </w:rPr>
        <w:t xml:space="preserve"> direct </w:t>
      </w:r>
      <w:r w:rsidR="00BF074B" w:rsidRPr="006D0DF5">
        <w:rPr>
          <w:rFonts w:cstheme="minorHAnsi"/>
          <w:sz w:val="24"/>
          <w:szCs w:val="24"/>
        </w:rPr>
        <w:t>seed</w:t>
      </w:r>
      <w:r w:rsidR="00980353" w:rsidRPr="006D0DF5">
        <w:rPr>
          <w:rFonts w:cstheme="minorHAnsi"/>
          <w:sz w:val="24"/>
          <w:szCs w:val="24"/>
        </w:rPr>
        <w:t xml:space="preserve"> funding</w:t>
      </w:r>
      <w:r w:rsidR="008C7ED2" w:rsidRPr="006D0DF5">
        <w:rPr>
          <w:rFonts w:cstheme="minorHAnsi"/>
          <w:sz w:val="24"/>
          <w:szCs w:val="24"/>
        </w:rPr>
        <w:t xml:space="preserve">, </w:t>
      </w:r>
      <w:r w:rsidR="00980353" w:rsidRPr="006D0DF5">
        <w:rPr>
          <w:rFonts w:cstheme="minorHAnsi"/>
          <w:sz w:val="24"/>
          <w:szCs w:val="24"/>
        </w:rPr>
        <w:t>foster</w:t>
      </w:r>
      <w:r w:rsidRPr="006D0DF5">
        <w:rPr>
          <w:rFonts w:cstheme="minorHAnsi"/>
          <w:sz w:val="24"/>
          <w:szCs w:val="24"/>
        </w:rPr>
        <w:t xml:space="preserve"> supports</w:t>
      </w:r>
      <w:r w:rsidR="008C7ED2" w:rsidRPr="006D0DF5">
        <w:rPr>
          <w:rFonts w:cstheme="minorHAnsi"/>
          <w:sz w:val="24"/>
          <w:szCs w:val="24"/>
        </w:rPr>
        <w:t>, and monitor outcomes</w:t>
      </w:r>
      <w:r w:rsidRPr="006D0DF5">
        <w:rPr>
          <w:rFonts w:cstheme="minorHAnsi"/>
          <w:sz w:val="24"/>
          <w:szCs w:val="24"/>
        </w:rPr>
        <w:t xml:space="preserve"> in new areas backed by current and emerging research such as the </w:t>
      </w:r>
      <w:r w:rsidR="00431615" w:rsidRPr="006D0DF5">
        <w:rPr>
          <w:rFonts w:cstheme="minorHAnsi"/>
          <w:sz w:val="24"/>
          <w:szCs w:val="24"/>
        </w:rPr>
        <w:t>A</w:t>
      </w:r>
      <w:r w:rsidRPr="006D0DF5">
        <w:rPr>
          <w:rFonts w:cstheme="minorHAnsi"/>
          <w:sz w:val="24"/>
          <w:szCs w:val="24"/>
        </w:rPr>
        <w:t xml:space="preserve">cceleration </w:t>
      </w:r>
      <w:r w:rsidR="00431615" w:rsidRPr="006D0DF5">
        <w:rPr>
          <w:rFonts w:cstheme="minorHAnsi"/>
          <w:sz w:val="24"/>
          <w:szCs w:val="24"/>
        </w:rPr>
        <w:t>A</w:t>
      </w:r>
      <w:r w:rsidRPr="006D0DF5">
        <w:rPr>
          <w:rFonts w:cstheme="minorHAnsi"/>
          <w:sz w:val="24"/>
          <w:szCs w:val="24"/>
        </w:rPr>
        <w:t>cademies model</w:t>
      </w:r>
      <w:r w:rsidR="002D1736" w:rsidRPr="006D0DF5">
        <w:rPr>
          <w:rFonts w:cstheme="minorHAnsi"/>
          <w:sz w:val="24"/>
          <w:szCs w:val="24"/>
        </w:rPr>
        <w:t>,</w:t>
      </w:r>
      <w:r w:rsidR="00290177" w:rsidRPr="006D0DF5">
        <w:rPr>
          <w:rFonts w:cstheme="minorHAnsi"/>
          <w:sz w:val="24"/>
          <w:szCs w:val="24"/>
        </w:rPr>
        <w:t xml:space="preserve"> </w:t>
      </w:r>
      <w:r w:rsidR="000B66C9">
        <w:rPr>
          <w:rFonts w:cstheme="minorHAnsi"/>
          <w:sz w:val="24"/>
          <w:szCs w:val="24"/>
        </w:rPr>
        <w:t>home</w:t>
      </w:r>
      <w:r w:rsidR="00290177" w:rsidRPr="006D0DF5">
        <w:rPr>
          <w:rFonts w:cstheme="minorHAnsi"/>
          <w:sz w:val="24"/>
          <w:szCs w:val="24"/>
        </w:rPr>
        <w:t xml:space="preserve"> visit</w:t>
      </w:r>
      <w:r w:rsidR="000B66C9">
        <w:rPr>
          <w:rFonts w:cstheme="minorHAnsi"/>
          <w:sz w:val="24"/>
          <w:szCs w:val="24"/>
        </w:rPr>
        <w:t>ing programs</w:t>
      </w:r>
      <w:r w:rsidR="00290177" w:rsidRPr="006D0DF5">
        <w:rPr>
          <w:rFonts w:cstheme="minorHAnsi"/>
          <w:sz w:val="24"/>
          <w:szCs w:val="24"/>
        </w:rPr>
        <w:t>, and</w:t>
      </w:r>
      <w:r w:rsidR="002D1736" w:rsidRPr="006D0DF5">
        <w:rPr>
          <w:rFonts w:cstheme="minorHAnsi"/>
          <w:sz w:val="24"/>
          <w:szCs w:val="24"/>
        </w:rPr>
        <w:t xml:space="preserve"> </w:t>
      </w:r>
      <w:r w:rsidRPr="006D0DF5">
        <w:rPr>
          <w:rFonts w:cstheme="minorHAnsi"/>
          <w:sz w:val="24"/>
          <w:szCs w:val="24"/>
        </w:rPr>
        <w:t>labor-management partnerships.</w:t>
      </w:r>
    </w:p>
    <w:p w14:paraId="6EA292FD" w14:textId="77777777" w:rsidR="00C76C30" w:rsidRDefault="00C76C30" w:rsidP="00C76C30">
      <w:pPr>
        <w:spacing w:after="0"/>
        <w:rPr>
          <w:rFonts w:cstheme="minorHAnsi"/>
          <w:sz w:val="24"/>
          <w:szCs w:val="24"/>
          <w:u w:val="single"/>
        </w:rPr>
      </w:pPr>
    </w:p>
    <w:p w14:paraId="626B10E6" w14:textId="0600FACF" w:rsidR="00295F48" w:rsidRPr="006D0DF5" w:rsidRDefault="00295F48" w:rsidP="00C76C30">
      <w:pPr>
        <w:spacing w:after="0"/>
        <w:rPr>
          <w:rFonts w:cstheme="minorHAnsi"/>
          <w:sz w:val="24"/>
          <w:szCs w:val="24"/>
        </w:rPr>
      </w:pPr>
      <w:r w:rsidRPr="00C76C30">
        <w:rPr>
          <w:rFonts w:cstheme="minorHAnsi"/>
          <w:b/>
          <w:bCs/>
          <w:sz w:val="24"/>
          <w:szCs w:val="24"/>
        </w:rPr>
        <w:t>Educator Workforce Diversity.</w:t>
      </w:r>
      <w:r w:rsidRPr="006D0DF5">
        <w:rPr>
          <w:rFonts w:cstheme="minorHAnsi"/>
          <w:sz w:val="24"/>
          <w:szCs w:val="24"/>
        </w:rPr>
        <w:t xml:space="preserve"> Today, 40% of our students in Massachusetts public schools are students of color, while only 8% of our teachers are of color.  A growing body of research</w:t>
      </w:r>
      <w:r w:rsidR="0089515B" w:rsidRPr="006D0DF5">
        <w:rPr>
          <w:rStyle w:val="CommentReference"/>
          <w:rFonts w:cstheme="minorHAnsi"/>
          <w:sz w:val="24"/>
          <w:szCs w:val="24"/>
        </w:rPr>
        <w:t>, well s</w:t>
      </w:r>
      <w:r w:rsidR="0089515B" w:rsidRPr="006D0DF5">
        <w:rPr>
          <w:rFonts w:cstheme="minorHAnsi"/>
          <w:sz w:val="24"/>
          <w:szCs w:val="24"/>
        </w:rPr>
        <w:t xml:space="preserve">ummarized in a </w:t>
      </w:r>
      <w:r w:rsidR="00A41908" w:rsidRPr="006D0DF5">
        <w:rPr>
          <w:rFonts w:cstheme="minorHAnsi"/>
          <w:sz w:val="24"/>
          <w:szCs w:val="24"/>
        </w:rPr>
        <w:t>recent</w:t>
      </w:r>
      <w:r w:rsidR="0089515B" w:rsidRPr="006D0DF5">
        <w:rPr>
          <w:rFonts w:cstheme="minorHAnsi"/>
          <w:sz w:val="24"/>
          <w:szCs w:val="24"/>
        </w:rPr>
        <w:t xml:space="preserve"> piece by Dan Goldhaber and colleagues entitled </w:t>
      </w:r>
      <w:hyperlink r:id="rId18" w:history="1">
        <w:r w:rsidR="0089515B" w:rsidRPr="006D0DF5">
          <w:rPr>
            <w:rStyle w:val="Hyperlink"/>
            <w:rFonts w:cstheme="minorHAnsi"/>
            <w:i/>
            <w:iCs/>
            <w:sz w:val="24"/>
            <w:szCs w:val="24"/>
          </w:rPr>
          <w:t>Why We Need a Diverse Teacher Workforce</w:t>
        </w:r>
      </w:hyperlink>
      <w:r w:rsidR="0089515B" w:rsidRPr="006D0DF5">
        <w:rPr>
          <w:rFonts w:cstheme="minorHAnsi"/>
          <w:sz w:val="24"/>
          <w:szCs w:val="24"/>
        </w:rPr>
        <w:t xml:space="preserve">, </w:t>
      </w:r>
      <w:r w:rsidRPr="006D0DF5">
        <w:rPr>
          <w:rFonts w:cstheme="minorHAnsi"/>
          <w:sz w:val="24"/>
          <w:szCs w:val="24"/>
        </w:rPr>
        <w:t>shows improved high school completion and life outcomes if student</w:t>
      </w:r>
      <w:r w:rsidR="00A41908" w:rsidRPr="006D0DF5">
        <w:rPr>
          <w:rFonts w:cstheme="minorHAnsi"/>
          <w:sz w:val="24"/>
          <w:szCs w:val="24"/>
        </w:rPr>
        <w:t>s</w:t>
      </w:r>
      <w:r w:rsidRPr="006D0DF5">
        <w:rPr>
          <w:rFonts w:cstheme="minorHAnsi"/>
          <w:sz w:val="24"/>
          <w:szCs w:val="24"/>
        </w:rPr>
        <w:t xml:space="preserve"> of color </w:t>
      </w:r>
      <w:r w:rsidR="00A41908" w:rsidRPr="006D0DF5">
        <w:rPr>
          <w:rFonts w:cstheme="minorHAnsi"/>
          <w:sz w:val="24"/>
          <w:szCs w:val="24"/>
        </w:rPr>
        <w:lastRenderedPageBreak/>
        <w:t>have</w:t>
      </w:r>
      <w:r w:rsidRPr="006D0DF5">
        <w:rPr>
          <w:rFonts w:cstheme="minorHAnsi"/>
          <w:sz w:val="24"/>
          <w:szCs w:val="24"/>
        </w:rPr>
        <w:t xml:space="preserve"> even one teacher </w:t>
      </w:r>
      <w:r w:rsidR="00453D53" w:rsidRPr="006D0DF5">
        <w:rPr>
          <w:rFonts w:cstheme="minorHAnsi"/>
          <w:sz w:val="24"/>
          <w:szCs w:val="24"/>
        </w:rPr>
        <w:t xml:space="preserve">who </w:t>
      </w:r>
      <w:r w:rsidRPr="006D0DF5">
        <w:rPr>
          <w:rFonts w:cstheme="minorHAnsi"/>
          <w:sz w:val="24"/>
          <w:szCs w:val="24"/>
        </w:rPr>
        <w:t>looks like them in their elementary school experience.</w:t>
      </w:r>
      <w:r w:rsidR="00B81366" w:rsidRPr="006D0DF5">
        <w:rPr>
          <w:rStyle w:val="FootnoteReference"/>
          <w:rFonts w:cstheme="minorHAnsi"/>
          <w:sz w:val="24"/>
          <w:szCs w:val="24"/>
        </w:rPr>
        <w:footnoteReference w:id="10"/>
      </w:r>
      <w:r w:rsidRPr="006D0DF5">
        <w:rPr>
          <w:rFonts w:cstheme="minorHAnsi"/>
          <w:sz w:val="24"/>
          <w:szCs w:val="24"/>
        </w:rPr>
        <w:t xml:space="preserve">  In addition, </w:t>
      </w:r>
      <w:r w:rsidR="0089515B" w:rsidRPr="006D0DF5">
        <w:rPr>
          <w:rFonts w:cstheme="minorHAnsi"/>
          <w:sz w:val="24"/>
          <w:szCs w:val="24"/>
        </w:rPr>
        <w:t xml:space="preserve">this </w:t>
      </w:r>
      <w:r w:rsidRPr="006D0DF5">
        <w:rPr>
          <w:rFonts w:cstheme="minorHAnsi"/>
          <w:sz w:val="24"/>
          <w:szCs w:val="24"/>
        </w:rPr>
        <w:t>research indicates that this</w:t>
      </w:r>
      <w:r w:rsidR="0089515B" w:rsidRPr="006D0DF5">
        <w:rPr>
          <w:rFonts w:cstheme="minorHAnsi"/>
          <w:sz w:val="24"/>
          <w:szCs w:val="24"/>
        </w:rPr>
        <w:t xml:space="preserve"> teacher</w:t>
      </w:r>
      <w:r w:rsidRPr="006D0DF5">
        <w:rPr>
          <w:rFonts w:cstheme="minorHAnsi"/>
          <w:sz w:val="24"/>
          <w:szCs w:val="24"/>
        </w:rPr>
        <w:t xml:space="preserve"> “role model” effect has important qualitative impacts.  For instance, teachers of color have higher expectations of students of color and their classrooms have lower discipline rates for students of color, as compared to their white teacher peers. </w:t>
      </w:r>
    </w:p>
    <w:p w14:paraId="5C7011A5" w14:textId="77777777" w:rsidR="00C76C30" w:rsidRDefault="00C76C30" w:rsidP="00C76C30">
      <w:pPr>
        <w:spacing w:after="0" w:line="276" w:lineRule="auto"/>
        <w:rPr>
          <w:rFonts w:cstheme="minorHAnsi"/>
          <w:sz w:val="24"/>
          <w:szCs w:val="24"/>
        </w:rPr>
      </w:pPr>
    </w:p>
    <w:p w14:paraId="407438C6" w14:textId="4490320B" w:rsidR="00295F48" w:rsidRPr="006D0DF5" w:rsidRDefault="00295F48" w:rsidP="00C76C30">
      <w:pPr>
        <w:spacing w:after="0" w:line="276" w:lineRule="auto"/>
        <w:rPr>
          <w:rFonts w:cstheme="minorHAnsi"/>
          <w:sz w:val="24"/>
          <w:szCs w:val="24"/>
        </w:rPr>
      </w:pPr>
      <w:r w:rsidRPr="006D0DF5">
        <w:rPr>
          <w:rFonts w:cstheme="minorHAnsi"/>
          <w:sz w:val="24"/>
          <w:szCs w:val="24"/>
        </w:rPr>
        <w:t>Building on my work in Lawrence where we tripled the number of Latin</w:t>
      </w:r>
      <w:r w:rsidR="00F62D91" w:rsidRPr="006D0DF5">
        <w:rPr>
          <w:rFonts w:cstheme="minorHAnsi"/>
          <w:sz w:val="24"/>
          <w:szCs w:val="24"/>
        </w:rPr>
        <w:t>x</w:t>
      </w:r>
      <w:r w:rsidRPr="006D0DF5">
        <w:rPr>
          <w:rFonts w:cstheme="minorHAnsi"/>
          <w:sz w:val="24"/>
          <w:szCs w:val="24"/>
        </w:rPr>
        <w:t xml:space="preserve"> teachers in a </w:t>
      </w:r>
      <w:r w:rsidR="00D70039" w:rsidRPr="006D0DF5">
        <w:rPr>
          <w:rFonts w:cstheme="minorHAnsi"/>
          <w:sz w:val="24"/>
          <w:szCs w:val="24"/>
        </w:rPr>
        <w:t>five</w:t>
      </w:r>
      <w:r w:rsidRPr="006D0DF5">
        <w:rPr>
          <w:rFonts w:cstheme="minorHAnsi"/>
          <w:sz w:val="24"/>
          <w:szCs w:val="24"/>
        </w:rPr>
        <w:t xml:space="preserve">-year period, we have hired a Senior Associate Commissioner at DESE to oversee </w:t>
      </w:r>
      <w:r w:rsidR="00F72AD1">
        <w:rPr>
          <w:rFonts w:cstheme="minorHAnsi"/>
          <w:sz w:val="24"/>
          <w:szCs w:val="24"/>
        </w:rPr>
        <w:t>efforts</w:t>
      </w:r>
      <w:r w:rsidRPr="006D0DF5">
        <w:rPr>
          <w:rFonts w:cstheme="minorHAnsi"/>
          <w:sz w:val="24"/>
          <w:szCs w:val="24"/>
        </w:rPr>
        <w:t xml:space="preserve"> to increase diversity, equity</w:t>
      </w:r>
      <w:r w:rsidR="007D6B37" w:rsidRPr="006D0DF5">
        <w:rPr>
          <w:rFonts w:cstheme="minorHAnsi"/>
          <w:sz w:val="24"/>
          <w:szCs w:val="24"/>
        </w:rPr>
        <w:t>,</w:t>
      </w:r>
      <w:r w:rsidRPr="006D0DF5">
        <w:rPr>
          <w:rFonts w:cstheme="minorHAnsi"/>
          <w:sz w:val="24"/>
          <w:szCs w:val="24"/>
        </w:rPr>
        <w:t xml:space="preserve"> and inclusion for the teachers and leaders in our schools and districts.  We are examining our licensure practices and other strategies to </w:t>
      </w:r>
      <w:r w:rsidR="00AC563D" w:rsidRPr="006D0DF5">
        <w:rPr>
          <w:rFonts w:cstheme="minorHAnsi"/>
          <w:sz w:val="24"/>
          <w:szCs w:val="24"/>
        </w:rPr>
        <w:t>promote</w:t>
      </w:r>
      <w:r w:rsidRPr="006D0DF5">
        <w:rPr>
          <w:rFonts w:cstheme="minorHAnsi"/>
          <w:sz w:val="24"/>
          <w:szCs w:val="24"/>
        </w:rPr>
        <w:t xml:space="preserve"> entry into the profession for underrepresented groups, especially black and Latinx teachers.  We are also creating inclusive cohort experiences to ensure educators have robust support throughout their teaching career through the </w:t>
      </w:r>
      <w:proofErr w:type="spellStart"/>
      <w:r w:rsidRPr="006D0DF5">
        <w:rPr>
          <w:rFonts w:cstheme="minorHAnsi"/>
          <w:sz w:val="24"/>
          <w:szCs w:val="24"/>
        </w:rPr>
        <w:t>InSPIRED</w:t>
      </w:r>
      <w:proofErr w:type="spellEnd"/>
      <w:r w:rsidRPr="006D0DF5">
        <w:rPr>
          <w:rFonts w:cstheme="minorHAnsi"/>
          <w:sz w:val="24"/>
          <w:szCs w:val="24"/>
        </w:rPr>
        <w:t xml:space="preserve"> Fellowship and Influence 100 initiatives. </w:t>
      </w:r>
    </w:p>
    <w:p w14:paraId="0AF9CCA9" w14:textId="77777777" w:rsidR="00C76C30" w:rsidRDefault="00C76C30" w:rsidP="00C76C30">
      <w:pPr>
        <w:spacing w:after="0" w:line="276" w:lineRule="auto"/>
        <w:rPr>
          <w:rFonts w:cstheme="minorHAnsi"/>
          <w:sz w:val="24"/>
          <w:szCs w:val="24"/>
        </w:rPr>
      </w:pPr>
    </w:p>
    <w:p w14:paraId="45B2C903" w14:textId="5261BF6E" w:rsidR="00295F48" w:rsidRPr="006D0DF5" w:rsidRDefault="00295F48" w:rsidP="00C76C30">
      <w:pPr>
        <w:spacing w:after="0" w:line="276" w:lineRule="auto"/>
        <w:rPr>
          <w:rFonts w:cstheme="minorHAnsi"/>
          <w:sz w:val="24"/>
          <w:szCs w:val="24"/>
        </w:rPr>
      </w:pPr>
      <w:r w:rsidRPr="006D0DF5">
        <w:rPr>
          <w:rFonts w:cstheme="minorHAnsi"/>
          <w:sz w:val="24"/>
          <w:szCs w:val="24"/>
        </w:rPr>
        <w:t xml:space="preserve">While we have taken </w:t>
      </w:r>
      <w:r w:rsidR="00D70039" w:rsidRPr="006D0DF5">
        <w:rPr>
          <w:rFonts w:cstheme="minorHAnsi"/>
          <w:sz w:val="24"/>
          <w:szCs w:val="24"/>
        </w:rPr>
        <w:t xml:space="preserve">some </w:t>
      </w:r>
      <w:r w:rsidRPr="006D0DF5">
        <w:rPr>
          <w:rFonts w:cstheme="minorHAnsi"/>
          <w:sz w:val="24"/>
          <w:szCs w:val="24"/>
        </w:rPr>
        <w:t xml:space="preserve">early actions, our biggest strategy is focused on learning from </w:t>
      </w:r>
      <w:r w:rsidR="00636DF2" w:rsidRPr="006D0DF5">
        <w:rPr>
          <w:rFonts w:cstheme="minorHAnsi"/>
          <w:sz w:val="24"/>
          <w:szCs w:val="24"/>
        </w:rPr>
        <w:t>schools and districts</w:t>
      </w:r>
      <w:r w:rsidRPr="006D0DF5">
        <w:rPr>
          <w:rFonts w:cstheme="minorHAnsi"/>
          <w:sz w:val="24"/>
          <w:szCs w:val="24"/>
        </w:rPr>
        <w:t xml:space="preserve">.  This spring, we made a significant investment in a local incentive program, </w:t>
      </w:r>
      <w:r w:rsidR="00D70039" w:rsidRPr="006D0DF5">
        <w:rPr>
          <w:rFonts w:cstheme="minorHAnsi"/>
          <w:sz w:val="24"/>
          <w:szCs w:val="24"/>
        </w:rPr>
        <w:t xml:space="preserve">awarding </w:t>
      </w:r>
      <w:r w:rsidRPr="006D0DF5">
        <w:rPr>
          <w:rFonts w:cstheme="minorHAnsi"/>
          <w:sz w:val="24"/>
          <w:szCs w:val="24"/>
        </w:rPr>
        <w:t>nearly $2</w:t>
      </w:r>
      <w:r w:rsidR="00D70039" w:rsidRPr="006D0DF5">
        <w:rPr>
          <w:rFonts w:cstheme="minorHAnsi"/>
          <w:sz w:val="24"/>
          <w:szCs w:val="24"/>
        </w:rPr>
        <w:t xml:space="preserve"> million</w:t>
      </w:r>
      <w:r w:rsidRPr="006D0DF5">
        <w:rPr>
          <w:rFonts w:cstheme="minorHAnsi"/>
          <w:sz w:val="24"/>
          <w:szCs w:val="24"/>
        </w:rPr>
        <w:t xml:space="preserve"> </w:t>
      </w:r>
      <w:r w:rsidR="00D70039" w:rsidRPr="006D0DF5">
        <w:rPr>
          <w:rFonts w:cstheme="minorHAnsi"/>
          <w:sz w:val="24"/>
          <w:szCs w:val="24"/>
        </w:rPr>
        <w:t xml:space="preserve">to </w:t>
      </w:r>
      <w:r w:rsidRPr="006D0DF5">
        <w:rPr>
          <w:rFonts w:cstheme="minorHAnsi"/>
          <w:sz w:val="24"/>
          <w:szCs w:val="24"/>
        </w:rPr>
        <w:t xml:space="preserve">over a dozen districts to pursue strategies of their </w:t>
      </w:r>
      <w:r w:rsidR="00D70039" w:rsidRPr="006D0DF5">
        <w:rPr>
          <w:rFonts w:cstheme="minorHAnsi"/>
          <w:sz w:val="24"/>
          <w:szCs w:val="24"/>
        </w:rPr>
        <w:t xml:space="preserve">choice </w:t>
      </w:r>
      <w:r w:rsidRPr="006D0DF5">
        <w:rPr>
          <w:rFonts w:cstheme="minorHAnsi"/>
          <w:sz w:val="24"/>
          <w:szCs w:val="24"/>
        </w:rPr>
        <w:t xml:space="preserve">to recruit and retain a diverse teacher workforce.  We will learn from these </w:t>
      </w:r>
      <w:r w:rsidR="00636DF2" w:rsidRPr="006D0DF5">
        <w:rPr>
          <w:rFonts w:cstheme="minorHAnsi"/>
          <w:sz w:val="24"/>
          <w:szCs w:val="24"/>
        </w:rPr>
        <w:t>sites</w:t>
      </w:r>
      <w:r w:rsidRPr="006D0DF5">
        <w:rPr>
          <w:rFonts w:cstheme="minorHAnsi"/>
          <w:sz w:val="24"/>
          <w:szCs w:val="24"/>
        </w:rPr>
        <w:t xml:space="preserve"> as we </w:t>
      </w:r>
      <w:r w:rsidR="00D70039" w:rsidRPr="006D0DF5">
        <w:rPr>
          <w:rFonts w:cstheme="minorHAnsi"/>
          <w:sz w:val="24"/>
          <w:szCs w:val="24"/>
        </w:rPr>
        <w:t xml:space="preserve">build out the plan </w:t>
      </w:r>
      <w:r w:rsidRPr="006D0DF5">
        <w:rPr>
          <w:rFonts w:cstheme="minorHAnsi"/>
          <w:sz w:val="24"/>
          <w:szCs w:val="24"/>
        </w:rPr>
        <w:t>for this work in the coming year.</w:t>
      </w:r>
    </w:p>
    <w:p w14:paraId="5A2C9BDB" w14:textId="77777777" w:rsidR="00C76C30" w:rsidRDefault="00C76C30" w:rsidP="00C76C30">
      <w:pPr>
        <w:spacing w:after="0" w:line="276" w:lineRule="auto"/>
        <w:rPr>
          <w:rFonts w:cstheme="minorHAnsi"/>
          <w:sz w:val="24"/>
          <w:szCs w:val="24"/>
          <w:u w:val="single"/>
        </w:rPr>
      </w:pPr>
    </w:p>
    <w:p w14:paraId="76D6640F" w14:textId="2C2D1FE0" w:rsidR="00295F48" w:rsidRPr="006D0DF5" w:rsidRDefault="00295F48" w:rsidP="00C76C30">
      <w:pPr>
        <w:spacing w:after="0" w:line="276" w:lineRule="auto"/>
        <w:rPr>
          <w:rFonts w:cstheme="minorHAnsi"/>
          <w:sz w:val="24"/>
          <w:szCs w:val="24"/>
        </w:rPr>
      </w:pPr>
      <w:r w:rsidRPr="00C76C30">
        <w:rPr>
          <w:rFonts w:cstheme="minorHAnsi"/>
          <w:b/>
          <w:bCs/>
          <w:sz w:val="24"/>
          <w:szCs w:val="24"/>
        </w:rPr>
        <w:t xml:space="preserve">CURATE: </w:t>
      </w:r>
      <w:proofErr w:type="spellStart"/>
      <w:r w:rsidRPr="00C76C30">
        <w:rPr>
          <w:rFonts w:cstheme="minorHAnsi"/>
          <w:b/>
          <w:bCs/>
          <w:sz w:val="24"/>
          <w:szCs w:val="24"/>
        </w:rPr>
        <w:t>C</w:t>
      </w:r>
      <w:r w:rsidR="00E9780D" w:rsidRPr="00C76C30">
        <w:rPr>
          <w:rFonts w:cstheme="minorHAnsi"/>
          <w:b/>
          <w:bCs/>
          <w:sz w:val="24"/>
          <w:szCs w:val="24"/>
        </w:rPr>
        <w:t>U</w:t>
      </w:r>
      <w:r w:rsidRPr="00C76C30">
        <w:rPr>
          <w:rFonts w:cstheme="minorHAnsi"/>
          <w:b/>
          <w:bCs/>
          <w:sz w:val="24"/>
          <w:szCs w:val="24"/>
        </w:rPr>
        <w:t>rriculum</w:t>
      </w:r>
      <w:proofErr w:type="spellEnd"/>
      <w:r w:rsidRPr="00C76C30">
        <w:rPr>
          <w:rFonts w:cstheme="minorHAnsi"/>
          <w:b/>
          <w:bCs/>
          <w:sz w:val="24"/>
          <w:szCs w:val="24"/>
        </w:rPr>
        <w:t xml:space="preserve"> </w:t>
      </w:r>
      <w:proofErr w:type="spellStart"/>
      <w:r w:rsidRPr="00C76C30">
        <w:rPr>
          <w:rFonts w:cstheme="minorHAnsi"/>
          <w:b/>
          <w:bCs/>
          <w:sz w:val="24"/>
          <w:szCs w:val="24"/>
        </w:rPr>
        <w:t>RA</w:t>
      </w:r>
      <w:r w:rsidR="00E9780D" w:rsidRPr="00C76C30">
        <w:rPr>
          <w:rFonts w:cstheme="minorHAnsi"/>
          <w:b/>
          <w:bCs/>
          <w:sz w:val="24"/>
          <w:szCs w:val="24"/>
        </w:rPr>
        <w:t>t</w:t>
      </w:r>
      <w:r w:rsidRPr="00C76C30">
        <w:rPr>
          <w:rFonts w:cstheme="minorHAnsi"/>
          <w:b/>
          <w:bCs/>
          <w:sz w:val="24"/>
          <w:szCs w:val="24"/>
        </w:rPr>
        <w:t>ings</w:t>
      </w:r>
      <w:proofErr w:type="spellEnd"/>
      <w:r w:rsidRPr="00C76C30">
        <w:rPr>
          <w:rFonts w:cstheme="minorHAnsi"/>
          <w:b/>
          <w:bCs/>
          <w:sz w:val="24"/>
          <w:szCs w:val="24"/>
        </w:rPr>
        <w:t xml:space="preserve"> by </w:t>
      </w:r>
      <w:proofErr w:type="spellStart"/>
      <w:r w:rsidR="00E9780D" w:rsidRPr="00C76C30">
        <w:rPr>
          <w:rFonts w:cstheme="minorHAnsi"/>
          <w:b/>
          <w:bCs/>
          <w:sz w:val="24"/>
          <w:szCs w:val="24"/>
        </w:rPr>
        <w:t>TEachers</w:t>
      </w:r>
      <w:proofErr w:type="spellEnd"/>
      <w:r w:rsidRPr="006D0DF5">
        <w:rPr>
          <w:rFonts w:cstheme="minorHAnsi"/>
          <w:sz w:val="24"/>
          <w:szCs w:val="24"/>
        </w:rPr>
        <w:t xml:space="preserve">.  This past school year, DESE launched a new initiative </w:t>
      </w:r>
      <w:r w:rsidR="00D70039" w:rsidRPr="006D0DF5">
        <w:rPr>
          <w:rFonts w:cstheme="minorHAnsi"/>
          <w:sz w:val="24"/>
          <w:szCs w:val="24"/>
        </w:rPr>
        <w:t xml:space="preserve">called CURATE </w:t>
      </w:r>
      <w:r w:rsidRPr="006D0DF5">
        <w:rPr>
          <w:rFonts w:cstheme="minorHAnsi"/>
          <w:sz w:val="24"/>
          <w:szCs w:val="24"/>
        </w:rPr>
        <w:t>to support educators, schools</w:t>
      </w:r>
      <w:r w:rsidR="007D6B37" w:rsidRPr="006D0DF5">
        <w:rPr>
          <w:rFonts w:cstheme="minorHAnsi"/>
          <w:sz w:val="24"/>
          <w:szCs w:val="24"/>
        </w:rPr>
        <w:t>,</w:t>
      </w:r>
      <w:r w:rsidRPr="006D0DF5">
        <w:rPr>
          <w:rFonts w:cstheme="minorHAnsi"/>
          <w:sz w:val="24"/>
          <w:szCs w:val="24"/>
        </w:rPr>
        <w:t xml:space="preserve"> and districts in selecting </w:t>
      </w:r>
      <w:r w:rsidR="00A3348E" w:rsidRPr="006D0DF5">
        <w:rPr>
          <w:rFonts w:cstheme="minorHAnsi"/>
          <w:sz w:val="24"/>
          <w:szCs w:val="24"/>
        </w:rPr>
        <w:t xml:space="preserve">rigorous, </w:t>
      </w:r>
      <w:r w:rsidR="00D70039" w:rsidRPr="006D0DF5">
        <w:rPr>
          <w:rFonts w:cstheme="minorHAnsi"/>
          <w:sz w:val="24"/>
          <w:szCs w:val="24"/>
        </w:rPr>
        <w:t>standards-</w:t>
      </w:r>
      <w:r w:rsidR="00A3348E" w:rsidRPr="006D0DF5">
        <w:rPr>
          <w:rFonts w:cstheme="minorHAnsi"/>
          <w:sz w:val="24"/>
          <w:szCs w:val="24"/>
        </w:rPr>
        <w:t>aligned</w:t>
      </w:r>
      <w:r w:rsidRPr="006D0DF5">
        <w:rPr>
          <w:rFonts w:cstheme="minorHAnsi"/>
          <w:sz w:val="24"/>
          <w:szCs w:val="24"/>
        </w:rPr>
        <w:t xml:space="preserve"> curricula</w:t>
      </w:r>
      <w:r w:rsidR="00A3348E" w:rsidRPr="006D0DF5">
        <w:rPr>
          <w:rFonts w:cstheme="minorHAnsi"/>
          <w:sz w:val="24"/>
          <w:szCs w:val="24"/>
        </w:rPr>
        <w:t xml:space="preserve">. The project enlists educators from across the state to serve on CURATE panels, which </w:t>
      </w:r>
      <w:r w:rsidR="003C67D7" w:rsidRPr="006D0DF5">
        <w:rPr>
          <w:rFonts w:cstheme="minorHAnsi"/>
          <w:sz w:val="24"/>
          <w:szCs w:val="24"/>
        </w:rPr>
        <w:t>review evidence on the quality and alignment of</w:t>
      </w:r>
      <w:r w:rsidR="00A3348E" w:rsidRPr="006D0DF5">
        <w:rPr>
          <w:rFonts w:cstheme="minorHAnsi"/>
          <w:sz w:val="24"/>
          <w:szCs w:val="24"/>
        </w:rPr>
        <w:t xml:space="preserve"> publisher-created curricula.  These reviews are based not just on alignment to Massachusetts standards, but also ease of implementation as reported by educators.  The first round of curriculum reviews will be available </w:t>
      </w:r>
      <w:r w:rsidR="00636DF2" w:rsidRPr="006D0DF5">
        <w:rPr>
          <w:rFonts w:cstheme="minorHAnsi"/>
          <w:sz w:val="24"/>
          <w:szCs w:val="24"/>
        </w:rPr>
        <w:t>in summer 2019</w:t>
      </w:r>
      <w:r w:rsidR="00A3348E" w:rsidRPr="006D0DF5">
        <w:rPr>
          <w:rFonts w:cstheme="minorHAnsi"/>
          <w:sz w:val="24"/>
          <w:szCs w:val="24"/>
        </w:rPr>
        <w:t xml:space="preserve">.  As noted in the TNTP </w:t>
      </w:r>
      <w:r w:rsidR="00A3348E" w:rsidRPr="006D0DF5">
        <w:rPr>
          <w:rFonts w:cstheme="minorHAnsi"/>
          <w:i/>
          <w:iCs/>
          <w:sz w:val="24"/>
          <w:szCs w:val="24"/>
        </w:rPr>
        <w:t>Opportunity Myth</w:t>
      </w:r>
      <w:r w:rsidR="00A3348E" w:rsidRPr="006D0DF5">
        <w:rPr>
          <w:rFonts w:cstheme="minorHAnsi"/>
          <w:sz w:val="24"/>
          <w:szCs w:val="24"/>
        </w:rPr>
        <w:t xml:space="preserve"> report above, upgrading our instructional materials state-wide is a critical way to </w:t>
      </w:r>
      <w:r w:rsidR="00636DF2" w:rsidRPr="006D0DF5">
        <w:rPr>
          <w:rFonts w:cstheme="minorHAnsi"/>
          <w:sz w:val="24"/>
          <w:szCs w:val="24"/>
        </w:rPr>
        <w:t>provide</w:t>
      </w:r>
      <w:r w:rsidR="00A3348E" w:rsidRPr="006D0DF5">
        <w:rPr>
          <w:rFonts w:cstheme="minorHAnsi"/>
          <w:sz w:val="24"/>
          <w:szCs w:val="24"/>
        </w:rPr>
        <w:t xml:space="preserve"> equitable access for all students to rigorous content. </w:t>
      </w:r>
    </w:p>
    <w:p w14:paraId="242D99D9" w14:textId="77777777" w:rsidR="00C76C30" w:rsidRDefault="00C76C30" w:rsidP="00C76C30">
      <w:pPr>
        <w:spacing w:after="0" w:line="276" w:lineRule="auto"/>
        <w:rPr>
          <w:rFonts w:cstheme="minorHAnsi"/>
          <w:sz w:val="24"/>
          <w:szCs w:val="24"/>
          <w:u w:val="single"/>
        </w:rPr>
      </w:pPr>
    </w:p>
    <w:p w14:paraId="59FC48E5" w14:textId="55826E86" w:rsidR="00E63895" w:rsidRPr="00C76C30" w:rsidRDefault="00A3348E" w:rsidP="00C76C30">
      <w:pPr>
        <w:spacing w:after="0" w:line="276" w:lineRule="auto"/>
        <w:rPr>
          <w:rFonts w:cstheme="minorHAnsi"/>
          <w:sz w:val="24"/>
          <w:szCs w:val="24"/>
        </w:rPr>
      </w:pPr>
      <w:r w:rsidRPr="00C76C30">
        <w:rPr>
          <w:rFonts w:cstheme="minorHAnsi"/>
          <w:b/>
          <w:bCs/>
          <w:sz w:val="24"/>
          <w:szCs w:val="24"/>
        </w:rPr>
        <w:t>Expanded Access to Early College Partnerships</w:t>
      </w:r>
      <w:r w:rsidRPr="006D0DF5">
        <w:rPr>
          <w:rFonts w:cstheme="minorHAnsi"/>
          <w:sz w:val="24"/>
          <w:szCs w:val="24"/>
        </w:rPr>
        <w:t xml:space="preserve">.  </w:t>
      </w:r>
      <w:r w:rsidR="000D7059" w:rsidRPr="006D0DF5">
        <w:rPr>
          <w:rFonts w:cstheme="minorHAnsi"/>
          <w:sz w:val="24"/>
          <w:szCs w:val="24"/>
        </w:rPr>
        <w:t xml:space="preserve">In 2017, </w:t>
      </w:r>
      <w:r w:rsidR="00E63895" w:rsidRPr="006D0DF5">
        <w:rPr>
          <w:rFonts w:cstheme="minorHAnsi"/>
          <w:sz w:val="24"/>
          <w:szCs w:val="24"/>
        </w:rPr>
        <w:t xml:space="preserve">a </w:t>
      </w:r>
      <w:r w:rsidR="000D7059" w:rsidRPr="006D0DF5">
        <w:rPr>
          <w:rFonts w:cstheme="minorHAnsi"/>
          <w:sz w:val="24"/>
          <w:szCs w:val="24"/>
        </w:rPr>
        <w:t xml:space="preserve">joint </w:t>
      </w:r>
      <w:r w:rsidR="00E63895" w:rsidRPr="006D0DF5">
        <w:rPr>
          <w:rFonts w:cstheme="minorHAnsi"/>
          <w:sz w:val="24"/>
          <w:szCs w:val="24"/>
        </w:rPr>
        <w:t>resolution</w:t>
      </w:r>
      <w:r w:rsidR="000D7059" w:rsidRPr="006D0DF5">
        <w:rPr>
          <w:rFonts w:cstheme="minorHAnsi"/>
          <w:sz w:val="24"/>
          <w:szCs w:val="24"/>
        </w:rPr>
        <w:t xml:space="preserve"> </w:t>
      </w:r>
      <w:r w:rsidR="00E63895" w:rsidRPr="006D0DF5">
        <w:rPr>
          <w:rFonts w:cstheme="minorHAnsi"/>
          <w:sz w:val="24"/>
          <w:szCs w:val="24"/>
        </w:rPr>
        <w:t>by</w:t>
      </w:r>
      <w:r w:rsidR="000D7059" w:rsidRPr="006D0DF5">
        <w:rPr>
          <w:rFonts w:cstheme="minorHAnsi"/>
          <w:sz w:val="24"/>
          <w:szCs w:val="24"/>
        </w:rPr>
        <w:t xml:space="preserve"> the boards of elementary and secondary education and higher education produced a call to action for local communities to develop early college partnerships between high schools and </w:t>
      </w:r>
      <w:r w:rsidR="00C930DF" w:rsidRPr="006D0DF5">
        <w:rPr>
          <w:rFonts w:cstheme="minorHAnsi"/>
          <w:sz w:val="24"/>
          <w:szCs w:val="24"/>
        </w:rPr>
        <w:t>colleges</w:t>
      </w:r>
      <w:r w:rsidR="000D7059" w:rsidRPr="006D0DF5">
        <w:rPr>
          <w:rFonts w:cstheme="minorHAnsi"/>
          <w:sz w:val="24"/>
          <w:szCs w:val="24"/>
        </w:rPr>
        <w:t xml:space="preserve">.  Recent </w:t>
      </w:r>
      <w:r w:rsidR="00D838BC" w:rsidRPr="006D0DF5">
        <w:rPr>
          <w:rFonts w:cstheme="minorHAnsi"/>
          <w:sz w:val="24"/>
          <w:szCs w:val="24"/>
        </w:rPr>
        <w:t xml:space="preserve">national </w:t>
      </w:r>
      <w:r w:rsidR="000D7059" w:rsidRPr="006D0DF5">
        <w:rPr>
          <w:rFonts w:cstheme="minorHAnsi"/>
          <w:sz w:val="24"/>
          <w:szCs w:val="24"/>
        </w:rPr>
        <w:t>research studies</w:t>
      </w:r>
      <w:r w:rsidR="00D838BC" w:rsidRPr="006D0DF5">
        <w:rPr>
          <w:rFonts w:cstheme="minorHAnsi"/>
          <w:sz w:val="24"/>
          <w:szCs w:val="24"/>
        </w:rPr>
        <w:t xml:space="preserve"> cited in </w:t>
      </w:r>
      <w:hyperlink r:id="rId19" w:history="1">
        <w:r w:rsidR="00D838BC" w:rsidRPr="006D0DF5">
          <w:rPr>
            <w:rStyle w:val="Hyperlink"/>
            <w:rFonts w:cstheme="minorHAnsi"/>
            <w:i/>
            <w:iCs/>
            <w:sz w:val="24"/>
            <w:szCs w:val="24"/>
          </w:rPr>
          <w:t>Investing in Early College</w:t>
        </w:r>
      </w:hyperlink>
      <w:r w:rsidR="00D838BC" w:rsidRPr="006D0DF5">
        <w:rPr>
          <w:rFonts w:cstheme="minorHAnsi"/>
          <w:i/>
          <w:iCs/>
          <w:sz w:val="24"/>
          <w:szCs w:val="24"/>
        </w:rPr>
        <w:t xml:space="preserve">, </w:t>
      </w:r>
      <w:r w:rsidR="00D838BC" w:rsidRPr="006D0DF5">
        <w:rPr>
          <w:rFonts w:cstheme="minorHAnsi"/>
          <w:sz w:val="24"/>
          <w:szCs w:val="24"/>
        </w:rPr>
        <w:t>a MassINC report published in June 2019,</w:t>
      </w:r>
      <w:r w:rsidR="000D7059" w:rsidRPr="006D0DF5">
        <w:rPr>
          <w:rFonts w:cstheme="minorHAnsi"/>
          <w:sz w:val="24"/>
          <w:szCs w:val="24"/>
        </w:rPr>
        <w:t xml:space="preserve"> </w:t>
      </w:r>
      <w:r w:rsidR="00C77736" w:rsidRPr="006D0DF5">
        <w:rPr>
          <w:rFonts w:cstheme="minorHAnsi"/>
          <w:sz w:val="24"/>
          <w:szCs w:val="24"/>
        </w:rPr>
        <w:t>confirm the strength of this intervention</w:t>
      </w:r>
      <w:r w:rsidR="00431615" w:rsidRPr="006D0DF5">
        <w:rPr>
          <w:rFonts w:cstheme="minorHAnsi"/>
          <w:sz w:val="24"/>
          <w:szCs w:val="24"/>
        </w:rPr>
        <w:t>:</w:t>
      </w:r>
      <w:r w:rsidR="00C77736" w:rsidRPr="006D0DF5">
        <w:rPr>
          <w:rFonts w:cstheme="minorHAnsi"/>
          <w:sz w:val="24"/>
          <w:szCs w:val="24"/>
        </w:rPr>
        <w:t xml:space="preserve"> </w:t>
      </w:r>
      <w:r w:rsidR="000A6212">
        <w:rPr>
          <w:rFonts w:cstheme="minorHAnsi"/>
          <w:sz w:val="24"/>
          <w:szCs w:val="24"/>
        </w:rPr>
        <w:t xml:space="preserve">low-income </w:t>
      </w:r>
      <w:r w:rsidR="00906AC2" w:rsidRPr="006D0DF5">
        <w:rPr>
          <w:rFonts w:cstheme="minorHAnsi"/>
          <w:sz w:val="24"/>
          <w:szCs w:val="24"/>
        </w:rPr>
        <w:t>students who enroll in early college programs</w:t>
      </w:r>
      <w:r w:rsidR="000D7059" w:rsidRPr="006D0DF5">
        <w:rPr>
          <w:rFonts w:cstheme="minorHAnsi"/>
          <w:sz w:val="24"/>
          <w:szCs w:val="24"/>
        </w:rPr>
        <w:t xml:space="preserve"> are </w:t>
      </w:r>
      <w:r w:rsidR="000D7059" w:rsidRPr="006D0DF5">
        <w:rPr>
          <w:rFonts w:cstheme="minorHAnsi"/>
          <w:i/>
          <w:iCs/>
          <w:sz w:val="24"/>
          <w:szCs w:val="24"/>
        </w:rPr>
        <w:t>twice as likely</w:t>
      </w:r>
      <w:r w:rsidR="000D7059" w:rsidRPr="006D0DF5">
        <w:rPr>
          <w:rFonts w:cstheme="minorHAnsi"/>
          <w:sz w:val="24"/>
          <w:szCs w:val="24"/>
        </w:rPr>
        <w:t xml:space="preserve"> to complete a post-secondary degree as students assigned to control groups.</w:t>
      </w:r>
      <w:r w:rsidR="00761804" w:rsidRPr="006D0DF5">
        <w:rPr>
          <w:rStyle w:val="FootnoteReference"/>
          <w:rFonts w:cstheme="minorHAnsi"/>
          <w:sz w:val="24"/>
          <w:szCs w:val="24"/>
        </w:rPr>
        <w:footnoteReference w:id="11"/>
      </w:r>
      <w:r w:rsidR="000D7059" w:rsidRPr="006D0DF5">
        <w:rPr>
          <w:rFonts w:cstheme="minorHAnsi"/>
          <w:sz w:val="24"/>
          <w:szCs w:val="24"/>
        </w:rPr>
        <w:t xml:space="preserve">  Massachusetts is off to a strong start with 17 early college</w:t>
      </w:r>
      <w:r w:rsidR="00431615" w:rsidRPr="006D0DF5">
        <w:rPr>
          <w:rFonts w:cstheme="minorHAnsi"/>
          <w:sz w:val="24"/>
          <w:szCs w:val="24"/>
        </w:rPr>
        <w:t xml:space="preserve"> program</w:t>
      </w:r>
      <w:r w:rsidR="000D7059" w:rsidRPr="006D0DF5">
        <w:rPr>
          <w:rFonts w:cstheme="minorHAnsi"/>
          <w:sz w:val="24"/>
          <w:szCs w:val="24"/>
        </w:rPr>
        <w:t xml:space="preserve">s serving 2,500 </w:t>
      </w:r>
      <w:r w:rsidR="00AC563D" w:rsidRPr="006D0DF5">
        <w:rPr>
          <w:rFonts w:cstheme="minorHAnsi"/>
          <w:sz w:val="24"/>
          <w:szCs w:val="24"/>
        </w:rPr>
        <w:t xml:space="preserve">high </w:t>
      </w:r>
      <w:r w:rsidR="00AC563D" w:rsidRPr="006D0DF5">
        <w:rPr>
          <w:rFonts w:cstheme="minorHAnsi"/>
          <w:sz w:val="24"/>
          <w:szCs w:val="24"/>
        </w:rPr>
        <w:lastRenderedPageBreak/>
        <w:t xml:space="preserve">school students </w:t>
      </w:r>
      <w:r w:rsidR="000D7059" w:rsidRPr="006D0DF5">
        <w:rPr>
          <w:rFonts w:cstheme="minorHAnsi"/>
          <w:sz w:val="24"/>
          <w:szCs w:val="24"/>
        </w:rPr>
        <w:t>across the Commonwealth today</w:t>
      </w:r>
      <w:r w:rsidR="00431615" w:rsidRPr="006D0DF5">
        <w:rPr>
          <w:rFonts w:cstheme="minorHAnsi"/>
          <w:sz w:val="24"/>
          <w:szCs w:val="24"/>
        </w:rPr>
        <w:t>. W</w:t>
      </w:r>
      <w:r w:rsidR="000D7059" w:rsidRPr="006D0DF5">
        <w:rPr>
          <w:rFonts w:cstheme="minorHAnsi"/>
          <w:sz w:val="24"/>
          <w:szCs w:val="24"/>
        </w:rPr>
        <w:t xml:space="preserve">e </w:t>
      </w:r>
      <w:r w:rsidR="00431615" w:rsidRPr="006D0DF5">
        <w:rPr>
          <w:rFonts w:cstheme="minorHAnsi"/>
          <w:sz w:val="24"/>
          <w:szCs w:val="24"/>
        </w:rPr>
        <w:t xml:space="preserve">will work to </w:t>
      </w:r>
      <w:r w:rsidR="00E63895" w:rsidRPr="006D0DF5">
        <w:rPr>
          <w:rFonts w:cstheme="minorHAnsi"/>
          <w:sz w:val="24"/>
          <w:szCs w:val="24"/>
        </w:rPr>
        <w:t>secure</w:t>
      </w:r>
      <w:r w:rsidR="00C77736" w:rsidRPr="006D0DF5">
        <w:rPr>
          <w:rFonts w:cstheme="minorHAnsi"/>
          <w:sz w:val="24"/>
          <w:szCs w:val="24"/>
        </w:rPr>
        <w:t xml:space="preserve"> </w:t>
      </w:r>
      <w:r w:rsidR="00431615" w:rsidRPr="006D0DF5">
        <w:rPr>
          <w:rFonts w:cstheme="minorHAnsi"/>
          <w:sz w:val="24"/>
          <w:szCs w:val="24"/>
        </w:rPr>
        <w:t xml:space="preserve">funding to support </w:t>
      </w:r>
      <w:r w:rsidR="00C77736" w:rsidRPr="006D0DF5">
        <w:rPr>
          <w:rFonts w:cstheme="minorHAnsi"/>
          <w:sz w:val="24"/>
          <w:szCs w:val="24"/>
        </w:rPr>
        <w:t>early college expansion and continuous program improvement.</w:t>
      </w:r>
    </w:p>
    <w:p w14:paraId="6B588D32" w14:textId="77777777" w:rsidR="00C76C30" w:rsidRDefault="00C76C30" w:rsidP="00C76C30">
      <w:pPr>
        <w:spacing w:after="0" w:line="276" w:lineRule="auto"/>
        <w:rPr>
          <w:rFonts w:cstheme="minorHAnsi"/>
          <w:b/>
          <w:bCs/>
          <w:sz w:val="24"/>
          <w:szCs w:val="24"/>
        </w:rPr>
      </w:pPr>
    </w:p>
    <w:p w14:paraId="217851CB" w14:textId="49CFD492" w:rsidR="007C0DDC" w:rsidRPr="006D0DF5" w:rsidRDefault="00A3348E" w:rsidP="00C76C30">
      <w:pPr>
        <w:spacing w:after="0" w:line="276" w:lineRule="auto"/>
        <w:rPr>
          <w:rFonts w:cstheme="minorHAnsi"/>
          <w:sz w:val="24"/>
          <w:szCs w:val="24"/>
        </w:rPr>
      </w:pPr>
      <w:r w:rsidRPr="00C76C30">
        <w:rPr>
          <w:rFonts w:cstheme="minorHAnsi"/>
          <w:b/>
          <w:bCs/>
          <w:sz w:val="24"/>
          <w:szCs w:val="24"/>
        </w:rPr>
        <w:t>Acceleration Academies</w:t>
      </w:r>
      <w:r w:rsidR="00CB29F5" w:rsidRPr="00C76C30">
        <w:rPr>
          <w:rFonts w:cstheme="minorHAnsi"/>
          <w:b/>
          <w:bCs/>
          <w:sz w:val="24"/>
          <w:szCs w:val="24"/>
        </w:rPr>
        <w:t>.</w:t>
      </w:r>
      <w:r w:rsidRPr="006D0DF5">
        <w:rPr>
          <w:rFonts w:cstheme="minorHAnsi"/>
          <w:sz w:val="24"/>
          <w:szCs w:val="24"/>
        </w:rPr>
        <w:t xml:space="preserve">  </w:t>
      </w:r>
      <w:r w:rsidR="00800E72" w:rsidRPr="006D0DF5">
        <w:rPr>
          <w:rFonts w:cstheme="minorHAnsi"/>
          <w:sz w:val="24"/>
          <w:szCs w:val="24"/>
        </w:rPr>
        <w:t>Based on success</w:t>
      </w:r>
      <w:r w:rsidR="007F12F0" w:rsidRPr="006D0DF5">
        <w:rPr>
          <w:rFonts w:cstheme="minorHAnsi"/>
          <w:sz w:val="24"/>
          <w:szCs w:val="24"/>
        </w:rPr>
        <w:t xml:space="preserve"> in Lawrence with a vacation learning time program called Acceleration Academies</w:t>
      </w:r>
      <w:r w:rsidR="007C0DDC" w:rsidRPr="006D0DF5">
        <w:rPr>
          <w:rFonts w:cstheme="minorHAnsi"/>
          <w:sz w:val="24"/>
          <w:szCs w:val="24"/>
        </w:rPr>
        <w:t>,</w:t>
      </w:r>
      <w:r w:rsidR="00800E72" w:rsidRPr="006D0DF5">
        <w:rPr>
          <w:rFonts w:cstheme="minorHAnsi"/>
          <w:sz w:val="24"/>
          <w:szCs w:val="24"/>
        </w:rPr>
        <w:t xml:space="preserve"> </w:t>
      </w:r>
      <w:r w:rsidR="007F12F0" w:rsidRPr="006D0DF5">
        <w:rPr>
          <w:rFonts w:cstheme="minorHAnsi"/>
          <w:sz w:val="24"/>
          <w:szCs w:val="24"/>
        </w:rPr>
        <w:t xml:space="preserve">other communities have begun to explore and adopt this model, including Springfield and Chelsea.  A study of the program in </w:t>
      </w:r>
      <w:r w:rsidR="007C0DDC" w:rsidRPr="006D0DF5">
        <w:rPr>
          <w:rFonts w:cstheme="minorHAnsi"/>
          <w:sz w:val="24"/>
          <w:szCs w:val="24"/>
        </w:rPr>
        <w:t>Springfield</w:t>
      </w:r>
      <w:r w:rsidR="002D1736" w:rsidRPr="006D0DF5">
        <w:rPr>
          <w:rFonts w:cstheme="minorHAnsi"/>
          <w:sz w:val="24"/>
          <w:szCs w:val="24"/>
        </w:rPr>
        <w:t xml:space="preserve">, </w:t>
      </w:r>
      <w:hyperlink r:id="rId20" w:history="1">
        <w:r w:rsidR="002D1736" w:rsidRPr="006D0DF5">
          <w:rPr>
            <w:rStyle w:val="Hyperlink"/>
            <w:rFonts w:cstheme="minorHAnsi"/>
            <w:i/>
            <w:iCs/>
            <w:sz w:val="24"/>
            <w:szCs w:val="24"/>
          </w:rPr>
          <w:t>Making the Most of School Vacation</w:t>
        </w:r>
      </w:hyperlink>
      <w:r w:rsidR="002D1736" w:rsidRPr="006D0DF5">
        <w:rPr>
          <w:rFonts w:cstheme="minorHAnsi"/>
          <w:sz w:val="24"/>
          <w:szCs w:val="24"/>
        </w:rPr>
        <w:t>,</w:t>
      </w:r>
      <w:r w:rsidR="007F12F0" w:rsidRPr="006D0DF5">
        <w:rPr>
          <w:rFonts w:cstheme="minorHAnsi"/>
          <w:sz w:val="24"/>
          <w:szCs w:val="24"/>
        </w:rPr>
        <w:t xml:space="preserve"> </w:t>
      </w:r>
      <w:r w:rsidR="007C0DDC" w:rsidRPr="006D0DF5">
        <w:rPr>
          <w:rFonts w:cstheme="minorHAnsi"/>
          <w:sz w:val="24"/>
          <w:szCs w:val="24"/>
        </w:rPr>
        <w:t>show</w:t>
      </w:r>
      <w:r w:rsidR="007F12F0" w:rsidRPr="006D0DF5">
        <w:rPr>
          <w:rFonts w:cstheme="minorHAnsi"/>
          <w:sz w:val="24"/>
          <w:szCs w:val="24"/>
        </w:rPr>
        <w:t>ed</w:t>
      </w:r>
      <w:r w:rsidR="007C0DDC" w:rsidRPr="006D0DF5">
        <w:rPr>
          <w:rFonts w:cstheme="minorHAnsi"/>
          <w:sz w:val="24"/>
          <w:szCs w:val="24"/>
        </w:rPr>
        <w:t xml:space="preserve"> </w:t>
      </w:r>
      <w:r w:rsidR="007F12F0" w:rsidRPr="006D0DF5">
        <w:rPr>
          <w:rFonts w:cstheme="minorHAnsi"/>
          <w:sz w:val="24"/>
          <w:szCs w:val="24"/>
        </w:rPr>
        <w:t>positive</w:t>
      </w:r>
      <w:r w:rsidR="007C0DDC" w:rsidRPr="006D0DF5">
        <w:rPr>
          <w:rFonts w:cstheme="minorHAnsi"/>
          <w:sz w:val="24"/>
          <w:szCs w:val="24"/>
        </w:rPr>
        <w:t xml:space="preserve"> effects on student </w:t>
      </w:r>
      <w:r w:rsidR="002D1736" w:rsidRPr="006D0DF5">
        <w:rPr>
          <w:rFonts w:cstheme="minorHAnsi"/>
          <w:sz w:val="24"/>
          <w:szCs w:val="24"/>
        </w:rPr>
        <w:t>outcomes</w:t>
      </w:r>
      <w:r w:rsidR="007C0DDC" w:rsidRPr="006D0DF5">
        <w:rPr>
          <w:rFonts w:cstheme="minorHAnsi"/>
          <w:sz w:val="24"/>
          <w:szCs w:val="24"/>
        </w:rPr>
        <w:t>.</w:t>
      </w:r>
      <w:r w:rsidR="00576D58" w:rsidRPr="006D0DF5">
        <w:rPr>
          <w:rStyle w:val="FootnoteReference"/>
          <w:rFonts w:cstheme="minorHAnsi"/>
          <w:sz w:val="24"/>
          <w:szCs w:val="24"/>
        </w:rPr>
        <w:footnoteReference w:id="12"/>
      </w:r>
      <w:r w:rsidR="00576D58" w:rsidRPr="006D0DF5">
        <w:rPr>
          <w:rFonts w:cstheme="minorHAnsi"/>
          <w:sz w:val="24"/>
          <w:szCs w:val="24"/>
        </w:rPr>
        <w:t xml:space="preserve"> </w:t>
      </w:r>
      <w:r w:rsidR="007C0DDC" w:rsidRPr="006D0DF5">
        <w:rPr>
          <w:rFonts w:cstheme="minorHAnsi"/>
          <w:sz w:val="24"/>
          <w:szCs w:val="24"/>
        </w:rPr>
        <w:t xml:space="preserve">We are </w:t>
      </w:r>
      <w:r w:rsidR="00E63895" w:rsidRPr="006D0DF5">
        <w:rPr>
          <w:rFonts w:cstheme="minorHAnsi"/>
          <w:sz w:val="24"/>
          <w:szCs w:val="24"/>
        </w:rPr>
        <w:t>building</w:t>
      </w:r>
      <w:r w:rsidR="007C0DDC" w:rsidRPr="006D0DF5">
        <w:rPr>
          <w:rFonts w:cstheme="minorHAnsi"/>
          <w:sz w:val="24"/>
          <w:szCs w:val="24"/>
        </w:rPr>
        <w:t xml:space="preserve"> capacity and </w:t>
      </w:r>
      <w:r w:rsidR="00E63895" w:rsidRPr="006D0DF5">
        <w:rPr>
          <w:rFonts w:cstheme="minorHAnsi"/>
          <w:sz w:val="24"/>
          <w:szCs w:val="24"/>
        </w:rPr>
        <w:t xml:space="preserve">identifying </w:t>
      </w:r>
      <w:r w:rsidR="007C0DDC" w:rsidRPr="006D0DF5">
        <w:rPr>
          <w:rFonts w:cstheme="minorHAnsi"/>
          <w:sz w:val="24"/>
          <w:szCs w:val="24"/>
        </w:rPr>
        <w:t>resources at the state level to scale up this program to additional communities, to support their efforts in closing achievement gaps.</w:t>
      </w:r>
    </w:p>
    <w:p w14:paraId="5373D5D9" w14:textId="77777777" w:rsidR="00C76C30" w:rsidRDefault="00C76C30" w:rsidP="00C76C30">
      <w:pPr>
        <w:spacing w:after="0" w:line="276" w:lineRule="auto"/>
        <w:rPr>
          <w:rFonts w:cstheme="minorHAnsi"/>
          <w:sz w:val="24"/>
          <w:szCs w:val="24"/>
          <w:u w:val="single"/>
        </w:rPr>
      </w:pPr>
    </w:p>
    <w:p w14:paraId="01EF2981" w14:textId="25380B4B" w:rsidR="001E22C9" w:rsidRPr="006D0DF5" w:rsidRDefault="0065207D" w:rsidP="00C76C30">
      <w:pPr>
        <w:spacing w:after="0" w:line="276" w:lineRule="auto"/>
        <w:rPr>
          <w:rFonts w:cstheme="minorHAnsi"/>
          <w:sz w:val="24"/>
          <w:szCs w:val="24"/>
        </w:rPr>
      </w:pPr>
      <w:r>
        <w:rPr>
          <w:rFonts w:cstheme="minorHAnsi"/>
          <w:b/>
          <w:bCs/>
          <w:sz w:val="24"/>
          <w:szCs w:val="24"/>
        </w:rPr>
        <w:t>Home</w:t>
      </w:r>
      <w:r w:rsidR="001E22C9" w:rsidRPr="00C76C30">
        <w:rPr>
          <w:rFonts w:cstheme="minorHAnsi"/>
          <w:b/>
          <w:bCs/>
          <w:sz w:val="24"/>
          <w:szCs w:val="24"/>
        </w:rPr>
        <w:t xml:space="preserve"> Visit</w:t>
      </w:r>
      <w:r>
        <w:rPr>
          <w:rFonts w:cstheme="minorHAnsi"/>
          <w:b/>
          <w:bCs/>
          <w:sz w:val="24"/>
          <w:szCs w:val="24"/>
        </w:rPr>
        <w:t>ing Program</w:t>
      </w:r>
      <w:r w:rsidR="000B66C9">
        <w:rPr>
          <w:rFonts w:cstheme="minorHAnsi"/>
          <w:b/>
          <w:bCs/>
          <w:sz w:val="24"/>
          <w:szCs w:val="24"/>
        </w:rPr>
        <w:t>s</w:t>
      </w:r>
      <w:r w:rsidR="001E22C9" w:rsidRPr="00C76C30">
        <w:rPr>
          <w:rFonts w:cstheme="minorHAnsi"/>
          <w:b/>
          <w:bCs/>
          <w:sz w:val="24"/>
          <w:szCs w:val="24"/>
        </w:rPr>
        <w:t>.</w:t>
      </w:r>
      <w:r w:rsidR="001E22C9" w:rsidRPr="006D0DF5">
        <w:rPr>
          <w:rFonts w:cstheme="minorHAnsi"/>
          <w:sz w:val="24"/>
          <w:szCs w:val="24"/>
        </w:rPr>
        <w:t xml:space="preserve"> </w:t>
      </w:r>
      <w:r w:rsidR="001E22C9" w:rsidRPr="00C76C30">
        <w:rPr>
          <w:sz w:val="24"/>
          <w:szCs w:val="24"/>
        </w:rPr>
        <w:t xml:space="preserve"> </w:t>
      </w:r>
      <w:r w:rsidR="001E22C9" w:rsidRPr="006D0DF5">
        <w:rPr>
          <w:sz w:val="24"/>
          <w:szCs w:val="24"/>
        </w:rPr>
        <w:t>A critical foundation for school communities is the strength of the connection between educators and families.  The home visit</w:t>
      </w:r>
      <w:r w:rsidR="000B66C9">
        <w:rPr>
          <w:sz w:val="24"/>
          <w:szCs w:val="24"/>
        </w:rPr>
        <w:t xml:space="preserve">ing </w:t>
      </w:r>
      <w:r w:rsidR="001E22C9" w:rsidRPr="006D0DF5">
        <w:rPr>
          <w:sz w:val="24"/>
          <w:szCs w:val="24"/>
        </w:rPr>
        <w:t>model is a research-backed intervention in which teachers receive professional development</w:t>
      </w:r>
      <w:r w:rsidR="00636DF2" w:rsidRPr="006D0DF5">
        <w:rPr>
          <w:sz w:val="24"/>
          <w:szCs w:val="24"/>
        </w:rPr>
        <w:t xml:space="preserve"> </w:t>
      </w:r>
      <w:r w:rsidR="00E63895" w:rsidRPr="006D0DF5">
        <w:rPr>
          <w:sz w:val="24"/>
          <w:szCs w:val="24"/>
        </w:rPr>
        <w:t>so they can make</w:t>
      </w:r>
      <w:r w:rsidR="00636DF2" w:rsidRPr="006D0DF5">
        <w:rPr>
          <w:sz w:val="24"/>
          <w:szCs w:val="24"/>
        </w:rPr>
        <w:t xml:space="preserve"> positive </w:t>
      </w:r>
      <w:r w:rsidR="001E22C9" w:rsidRPr="006D0DF5">
        <w:rPr>
          <w:sz w:val="24"/>
          <w:szCs w:val="24"/>
        </w:rPr>
        <w:t xml:space="preserve">connections with families in their homes.  This process helps families and educators develop a united front </w:t>
      </w:r>
      <w:r w:rsidR="00E63895" w:rsidRPr="006D0DF5">
        <w:rPr>
          <w:sz w:val="24"/>
          <w:szCs w:val="24"/>
        </w:rPr>
        <w:t>to bridge</w:t>
      </w:r>
      <w:r w:rsidR="001E22C9" w:rsidRPr="006D0DF5">
        <w:rPr>
          <w:sz w:val="24"/>
          <w:szCs w:val="24"/>
        </w:rPr>
        <w:t xml:space="preserve"> children’s school and home lives, maximizing their academic potential.  According to </w:t>
      </w:r>
      <w:hyperlink r:id="rId21" w:history="1">
        <w:r w:rsidR="001E22C9" w:rsidRPr="006D0DF5">
          <w:rPr>
            <w:rStyle w:val="Hyperlink"/>
            <w:sz w:val="24"/>
            <w:szCs w:val="24"/>
          </w:rPr>
          <w:t>research</w:t>
        </w:r>
      </w:hyperlink>
      <w:r w:rsidR="001E22C9" w:rsidRPr="006D0DF5">
        <w:rPr>
          <w:sz w:val="24"/>
          <w:szCs w:val="24"/>
        </w:rPr>
        <w:t xml:space="preserve"> by Johns Hopkins University, students who attended a school </w:t>
      </w:r>
      <w:r w:rsidR="00636DF2" w:rsidRPr="006D0DF5">
        <w:rPr>
          <w:sz w:val="24"/>
          <w:szCs w:val="24"/>
        </w:rPr>
        <w:t>where</w:t>
      </w:r>
      <w:r w:rsidR="001E22C9" w:rsidRPr="006D0DF5">
        <w:rPr>
          <w:sz w:val="24"/>
          <w:szCs w:val="24"/>
        </w:rPr>
        <w:t xml:space="preserve"> at least 10% of families receiv</w:t>
      </w:r>
      <w:r w:rsidR="00636DF2" w:rsidRPr="006D0DF5">
        <w:rPr>
          <w:sz w:val="24"/>
          <w:szCs w:val="24"/>
        </w:rPr>
        <w:t>ed</w:t>
      </w:r>
      <w:r w:rsidR="001E22C9" w:rsidRPr="006D0DF5">
        <w:rPr>
          <w:sz w:val="24"/>
          <w:szCs w:val="24"/>
        </w:rPr>
        <w:t xml:space="preserve"> home visits showed favorable outcomes </w:t>
      </w:r>
      <w:r w:rsidR="00636DF2" w:rsidRPr="006D0DF5">
        <w:rPr>
          <w:sz w:val="24"/>
          <w:szCs w:val="24"/>
        </w:rPr>
        <w:t>in school attendance</w:t>
      </w:r>
      <w:r w:rsidR="001E22C9" w:rsidRPr="006D0DF5">
        <w:rPr>
          <w:sz w:val="24"/>
          <w:szCs w:val="24"/>
        </w:rPr>
        <w:t xml:space="preserve"> and ELA assessment scores</w:t>
      </w:r>
      <w:r w:rsidR="00636DF2" w:rsidRPr="006D0DF5">
        <w:rPr>
          <w:sz w:val="24"/>
          <w:szCs w:val="24"/>
        </w:rPr>
        <w:t>, as compared to students at other schools</w:t>
      </w:r>
      <w:r w:rsidR="001E22C9" w:rsidRPr="00F72AD1">
        <w:rPr>
          <w:sz w:val="24"/>
          <w:szCs w:val="24"/>
        </w:rPr>
        <w:t>.</w:t>
      </w:r>
      <w:r w:rsidR="001E22C9" w:rsidRPr="00F72AD1">
        <w:rPr>
          <w:rStyle w:val="FootnoteReference"/>
        </w:rPr>
        <w:footnoteReference w:id="13"/>
      </w:r>
    </w:p>
    <w:p w14:paraId="2EA03A70" w14:textId="77777777" w:rsidR="00C76C30" w:rsidRDefault="00C76C30" w:rsidP="00C76C30">
      <w:pPr>
        <w:spacing w:after="0" w:line="276" w:lineRule="auto"/>
        <w:rPr>
          <w:rFonts w:cstheme="minorHAnsi"/>
          <w:sz w:val="24"/>
          <w:szCs w:val="24"/>
          <w:u w:val="single"/>
        </w:rPr>
      </w:pPr>
    </w:p>
    <w:p w14:paraId="65AC9651" w14:textId="06C60ACA" w:rsidR="00295F48" w:rsidRPr="006D0DF5" w:rsidRDefault="00A3348E" w:rsidP="00C76C30">
      <w:pPr>
        <w:spacing w:after="0" w:line="276" w:lineRule="auto"/>
        <w:rPr>
          <w:rFonts w:cstheme="minorHAnsi"/>
          <w:sz w:val="24"/>
          <w:szCs w:val="24"/>
        </w:rPr>
      </w:pPr>
      <w:r w:rsidRPr="00C76C30">
        <w:rPr>
          <w:rFonts w:cstheme="minorHAnsi"/>
          <w:b/>
          <w:bCs/>
          <w:sz w:val="24"/>
          <w:szCs w:val="24"/>
        </w:rPr>
        <w:t>Labor-Management Partnerships.</w:t>
      </w:r>
      <w:r w:rsidRPr="006D0DF5">
        <w:rPr>
          <w:rFonts w:cstheme="minorHAnsi"/>
          <w:sz w:val="24"/>
          <w:szCs w:val="24"/>
        </w:rPr>
        <w:t xml:space="preserve"> </w:t>
      </w:r>
      <w:r w:rsidR="002F21DA" w:rsidRPr="006D0DF5">
        <w:rPr>
          <w:rFonts w:cstheme="minorHAnsi"/>
          <w:sz w:val="24"/>
          <w:szCs w:val="24"/>
        </w:rPr>
        <w:t xml:space="preserve"> Findings in a Center for American Progress report</w:t>
      </w:r>
      <w:r w:rsidR="0040117E" w:rsidRPr="006D0DF5">
        <w:rPr>
          <w:rFonts w:cstheme="minorHAnsi"/>
          <w:sz w:val="24"/>
          <w:szCs w:val="24"/>
        </w:rPr>
        <w:t xml:space="preserve">, </w:t>
      </w:r>
      <w:hyperlink r:id="rId22" w:history="1">
        <w:r w:rsidR="0040117E" w:rsidRPr="006D0DF5">
          <w:rPr>
            <w:rStyle w:val="Hyperlink"/>
            <w:rFonts w:cstheme="minorHAnsi"/>
            <w:i/>
            <w:iCs/>
            <w:sz w:val="24"/>
            <w:szCs w:val="24"/>
          </w:rPr>
          <w:t>Teachers Unions and Management Partnerships: How Working Together</w:t>
        </w:r>
        <w:r w:rsidR="002F21DA" w:rsidRPr="006D0DF5">
          <w:rPr>
            <w:rStyle w:val="Hyperlink"/>
            <w:rFonts w:cstheme="minorHAnsi"/>
            <w:i/>
            <w:iCs/>
            <w:sz w:val="24"/>
            <w:szCs w:val="24"/>
          </w:rPr>
          <w:t xml:space="preserve"> </w:t>
        </w:r>
        <w:r w:rsidR="0040117E" w:rsidRPr="006D0DF5">
          <w:rPr>
            <w:rStyle w:val="Hyperlink"/>
            <w:rFonts w:cstheme="minorHAnsi"/>
            <w:i/>
            <w:iCs/>
            <w:sz w:val="24"/>
            <w:szCs w:val="24"/>
          </w:rPr>
          <w:t>Improves Student Achievement</w:t>
        </w:r>
      </w:hyperlink>
      <w:r w:rsidR="0040117E" w:rsidRPr="006D0DF5">
        <w:rPr>
          <w:rFonts w:cstheme="minorHAnsi"/>
          <w:i/>
          <w:iCs/>
          <w:sz w:val="24"/>
          <w:szCs w:val="24"/>
        </w:rPr>
        <w:t>,</w:t>
      </w:r>
      <w:r w:rsidR="00906AC2" w:rsidRPr="006D0DF5">
        <w:rPr>
          <w:rFonts w:cstheme="minorHAnsi"/>
          <w:sz w:val="24"/>
          <w:szCs w:val="24"/>
        </w:rPr>
        <w:t xml:space="preserve"> </w:t>
      </w:r>
      <w:r w:rsidR="0040117E" w:rsidRPr="006D0DF5">
        <w:rPr>
          <w:rFonts w:cstheme="minorHAnsi"/>
          <w:sz w:val="24"/>
          <w:szCs w:val="24"/>
        </w:rPr>
        <w:t>show that</w:t>
      </w:r>
      <w:r w:rsidR="00906AC2" w:rsidRPr="006D0DF5">
        <w:rPr>
          <w:rFonts w:cstheme="minorHAnsi"/>
          <w:sz w:val="24"/>
          <w:szCs w:val="24"/>
        </w:rPr>
        <w:t xml:space="preserve"> labor</w:t>
      </w:r>
      <w:r w:rsidR="00431615" w:rsidRPr="006D0DF5">
        <w:rPr>
          <w:rFonts w:cstheme="minorHAnsi"/>
          <w:sz w:val="24"/>
          <w:szCs w:val="24"/>
        </w:rPr>
        <w:t>-</w:t>
      </w:r>
      <w:r w:rsidR="00906AC2" w:rsidRPr="006D0DF5">
        <w:rPr>
          <w:rFonts w:cstheme="minorHAnsi"/>
          <w:sz w:val="24"/>
          <w:szCs w:val="24"/>
        </w:rPr>
        <w:t xml:space="preserve">management partnerships can also make a significant contribution to </w:t>
      </w:r>
      <w:r w:rsidR="000D7059" w:rsidRPr="006D0DF5">
        <w:rPr>
          <w:rFonts w:cstheme="minorHAnsi"/>
          <w:sz w:val="24"/>
          <w:szCs w:val="24"/>
        </w:rPr>
        <w:t>raising achievement for disadvantaged students.</w:t>
      </w:r>
      <w:r w:rsidR="00732FC0" w:rsidRPr="006D0DF5">
        <w:rPr>
          <w:rStyle w:val="FootnoteReference"/>
          <w:rFonts w:cstheme="minorHAnsi"/>
          <w:sz w:val="24"/>
          <w:szCs w:val="24"/>
        </w:rPr>
        <w:footnoteReference w:id="14"/>
      </w:r>
      <w:r w:rsidR="000D7059" w:rsidRPr="006D0DF5">
        <w:rPr>
          <w:rFonts w:cstheme="minorHAnsi"/>
          <w:sz w:val="24"/>
          <w:szCs w:val="24"/>
        </w:rPr>
        <w:t xml:space="preserve"> </w:t>
      </w:r>
      <w:r w:rsidR="002F21DA" w:rsidRPr="006D0DF5">
        <w:rPr>
          <w:rFonts w:cstheme="minorHAnsi"/>
          <w:sz w:val="24"/>
          <w:szCs w:val="24"/>
        </w:rPr>
        <w:t>The report</w:t>
      </w:r>
      <w:r w:rsidR="00451411" w:rsidRPr="006D0DF5">
        <w:rPr>
          <w:rFonts w:cstheme="minorHAnsi"/>
          <w:sz w:val="24"/>
          <w:szCs w:val="24"/>
        </w:rPr>
        <w:t xml:space="preserve"> </w:t>
      </w:r>
      <w:r w:rsidR="0040117E" w:rsidRPr="006D0DF5">
        <w:rPr>
          <w:rFonts w:cstheme="minorHAnsi"/>
          <w:sz w:val="24"/>
          <w:szCs w:val="24"/>
        </w:rPr>
        <w:t xml:space="preserve">notes higher student outcomes in high-poverty schools when </w:t>
      </w:r>
      <w:r w:rsidR="00451411" w:rsidRPr="006D0DF5">
        <w:rPr>
          <w:rFonts w:cstheme="minorHAnsi"/>
          <w:sz w:val="24"/>
          <w:szCs w:val="24"/>
        </w:rPr>
        <w:t xml:space="preserve">administration and educators engage </w:t>
      </w:r>
      <w:r w:rsidR="0040117E" w:rsidRPr="006D0DF5">
        <w:rPr>
          <w:rFonts w:cstheme="minorHAnsi"/>
          <w:sz w:val="24"/>
          <w:szCs w:val="24"/>
        </w:rPr>
        <w:t xml:space="preserve">in frequent communication about </w:t>
      </w:r>
      <w:r w:rsidR="00451411" w:rsidRPr="006D0DF5">
        <w:rPr>
          <w:rFonts w:cstheme="minorHAnsi"/>
          <w:sz w:val="24"/>
          <w:szCs w:val="24"/>
        </w:rPr>
        <w:t xml:space="preserve">important issues and foster </w:t>
      </w:r>
      <w:r w:rsidR="002F21DA" w:rsidRPr="006D0DF5">
        <w:rPr>
          <w:rFonts w:cstheme="minorHAnsi"/>
          <w:sz w:val="24"/>
          <w:szCs w:val="24"/>
        </w:rPr>
        <w:t>collaborative</w:t>
      </w:r>
      <w:r w:rsidR="00451411" w:rsidRPr="006D0DF5">
        <w:rPr>
          <w:rFonts w:cstheme="minorHAnsi"/>
          <w:sz w:val="24"/>
          <w:szCs w:val="24"/>
        </w:rPr>
        <w:t xml:space="preserve"> environments</w:t>
      </w:r>
      <w:r w:rsidR="0040117E" w:rsidRPr="006D0DF5">
        <w:rPr>
          <w:rFonts w:cstheme="minorHAnsi"/>
          <w:sz w:val="24"/>
          <w:szCs w:val="24"/>
        </w:rPr>
        <w:t>.</w:t>
      </w:r>
    </w:p>
    <w:p w14:paraId="290F8B4D" w14:textId="77777777" w:rsidR="00A94895" w:rsidRPr="006D0DF5" w:rsidRDefault="00A94895" w:rsidP="00C76C30">
      <w:pPr>
        <w:spacing w:after="0"/>
        <w:rPr>
          <w:rFonts w:cstheme="minorHAnsi"/>
          <w:b/>
          <w:sz w:val="24"/>
          <w:szCs w:val="24"/>
        </w:rPr>
      </w:pPr>
    </w:p>
    <w:p w14:paraId="545FD5B3" w14:textId="77777777" w:rsidR="005A155C" w:rsidRPr="00C76C30" w:rsidRDefault="009A00B9" w:rsidP="007B5F26">
      <w:pPr>
        <w:pStyle w:val="Heading3"/>
      </w:pPr>
      <w:r w:rsidRPr="00C76C30">
        <w:t xml:space="preserve">Theme </w:t>
      </w:r>
      <w:r w:rsidR="007C7FD4" w:rsidRPr="00C76C30">
        <w:t>I</w:t>
      </w:r>
      <w:r w:rsidRPr="00C76C30">
        <w:t xml:space="preserve">V: </w:t>
      </w:r>
      <w:r w:rsidR="00820744" w:rsidRPr="00C76C30">
        <w:t>State as a Partner</w:t>
      </w:r>
    </w:p>
    <w:p w14:paraId="06799D43" w14:textId="77777777" w:rsidR="00C76C30" w:rsidRDefault="00C76C30" w:rsidP="00C76C30">
      <w:pPr>
        <w:spacing w:after="0" w:line="276" w:lineRule="auto"/>
        <w:rPr>
          <w:rFonts w:cstheme="minorHAnsi"/>
          <w:sz w:val="24"/>
          <w:szCs w:val="24"/>
        </w:rPr>
      </w:pPr>
    </w:p>
    <w:p w14:paraId="7B960DDD" w14:textId="0F79B726" w:rsidR="005A155C" w:rsidRPr="006D0DF5" w:rsidRDefault="00B87A1A" w:rsidP="00C76C30">
      <w:pPr>
        <w:spacing w:after="0" w:line="276" w:lineRule="auto"/>
        <w:rPr>
          <w:rFonts w:cstheme="minorHAnsi"/>
          <w:sz w:val="24"/>
          <w:szCs w:val="24"/>
        </w:rPr>
      </w:pPr>
      <w:r w:rsidRPr="006D0DF5">
        <w:rPr>
          <w:rFonts w:cstheme="minorHAnsi"/>
          <w:sz w:val="24"/>
          <w:szCs w:val="24"/>
        </w:rPr>
        <w:t>My</w:t>
      </w:r>
      <w:r w:rsidR="005A155C" w:rsidRPr="006D0DF5">
        <w:rPr>
          <w:rFonts w:cstheme="minorHAnsi"/>
          <w:sz w:val="24"/>
          <w:szCs w:val="24"/>
        </w:rPr>
        <w:t xml:space="preserve"> listening tour </w:t>
      </w:r>
      <w:r w:rsidRPr="006D0DF5">
        <w:rPr>
          <w:rFonts w:cstheme="minorHAnsi"/>
          <w:sz w:val="24"/>
          <w:szCs w:val="24"/>
        </w:rPr>
        <w:t xml:space="preserve">also </w:t>
      </w:r>
      <w:r w:rsidR="005A155C" w:rsidRPr="006D0DF5">
        <w:rPr>
          <w:rFonts w:cstheme="minorHAnsi"/>
          <w:sz w:val="24"/>
          <w:szCs w:val="24"/>
        </w:rPr>
        <w:t xml:space="preserve">made clear </w:t>
      </w:r>
      <w:r w:rsidR="0034666F" w:rsidRPr="006D0DF5">
        <w:rPr>
          <w:rFonts w:cstheme="minorHAnsi"/>
          <w:sz w:val="24"/>
          <w:szCs w:val="24"/>
        </w:rPr>
        <w:t xml:space="preserve">to me </w:t>
      </w:r>
      <w:r w:rsidR="005A155C" w:rsidRPr="006D0DF5">
        <w:rPr>
          <w:rFonts w:cstheme="minorHAnsi"/>
          <w:sz w:val="24"/>
          <w:szCs w:val="24"/>
        </w:rPr>
        <w:t xml:space="preserve">that communities are seeking more individualized support from DESE based on their context and needs.  </w:t>
      </w:r>
      <w:r w:rsidR="00E906DF" w:rsidRPr="006D0DF5">
        <w:rPr>
          <w:rFonts w:cstheme="minorHAnsi"/>
          <w:sz w:val="24"/>
          <w:szCs w:val="24"/>
        </w:rPr>
        <w:t>School committees, superintendents</w:t>
      </w:r>
      <w:r w:rsidR="005A155C" w:rsidRPr="006D0DF5">
        <w:rPr>
          <w:rFonts w:cstheme="minorHAnsi"/>
          <w:sz w:val="24"/>
          <w:szCs w:val="24"/>
        </w:rPr>
        <w:t xml:space="preserve">, </w:t>
      </w:r>
      <w:r w:rsidR="00E906DF" w:rsidRPr="006D0DF5">
        <w:rPr>
          <w:rFonts w:cstheme="minorHAnsi"/>
          <w:sz w:val="24"/>
          <w:szCs w:val="24"/>
        </w:rPr>
        <w:t>principals</w:t>
      </w:r>
      <w:r w:rsidR="005A155C" w:rsidRPr="006D0DF5">
        <w:rPr>
          <w:rFonts w:cstheme="minorHAnsi"/>
          <w:sz w:val="24"/>
          <w:szCs w:val="24"/>
        </w:rPr>
        <w:t xml:space="preserve">, and educators </w:t>
      </w:r>
      <w:r w:rsidR="005C307F" w:rsidRPr="006D0DF5">
        <w:rPr>
          <w:rFonts w:cstheme="minorHAnsi"/>
          <w:sz w:val="24"/>
          <w:szCs w:val="24"/>
        </w:rPr>
        <w:t>need</w:t>
      </w:r>
      <w:r w:rsidR="005A155C" w:rsidRPr="006D0DF5">
        <w:rPr>
          <w:rFonts w:cstheme="minorHAnsi"/>
          <w:sz w:val="24"/>
          <w:szCs w:val="24"/>
        </w:rPr>
        <w:t xml:space="preserve"> a state partner to problem</w:t>
      </w:r>
      <w:r w:rsidR="005151FF" w:rsidRPr="006D0DF5">
        <w:rPr>
          <w:rFonts w:cstheme="minorHAnsi"/>
          <w:sz w:val="24"/>
          <w:szCs w:val="24"/>
        </w:rPr>
        <w:t xml:space="preserve"> </w:t>
      </w:r>
      <w:r w:rsidR="005A155C" w:rsidRPr="006D0DF5">
        <w:rPr>
          <w:rFonts w:cstheme="minorHAnsi"/>
          <w:sz w:val="24"/>
          <w:szCs w:val="24"/>
        </w:rPr>
        <w:t xml:space="preserve">solve with them through </w:t>
      </w:r>
      <w:r w:rsidR="00387483" w:rsidRPr="006D0DF5">
        <w:rPr>
          <w:rFonts w:cstheme="minorHAnsi"/>
          <w:sz w:val="24"/>
          <w:szCs w:val="24"/>
        </w:rPr>
        <w:t>complex</w:t>
      </w:r>
      <w:r w:rsidR="005A155C" w:rsidRPr="006D0DF5">
        <w:rPr>
          <w:rFonts w:cstheme="minorHAnsi"/>
          <w:sz w:val="24"/>
          <w:szCs w:val="24"/>
        </w:rPr>
        <w:t xml:space="preserve"> issues</w:t>
      </w:r>
      <w:r w:rsidR="006A0E44" w:rsidRPr="006D0DF5">
        <w:rPr>
          <w:rFonts w:cstheme="minorHAnsi"/>
          <w:sz w:val="24"/>
          <w:szCs w:val="24"/>
        </w:rPr>
        <w:t xml:space="preserve"> </w:t>
      </w:r>
      <w:r w:rsidR="00E63895" w:rsidRPr="006D0DF5">
        <w:rPr>
          <w:rFonts w:cstheme="minorHAnsi"/>
          <w:sz w:val="24"/>
          <w:szCs w:val="24"/>
        </w:rPr>
        <w:t xml:space="preserve">that </w:t>
      </w:r>
      <w:r w:rsidR="006A0E44" w:rsidRPr="006D0DF5">
        <w:rPr>
          <w:rFonts w:cstheme="minorHAnsi"/>
          <w:sz w:val="24"/>
          <w:szCs w:val="24"/>
        </w:rPr>
        <w:t>they identify</w:t>
      </w:r>
      <w:r w:rsidR="008C7ED2" w:rsidRPr="006D0DF5">
        <w:rPr>
          <w:rFonts w:cstheme="minorHAnsi"/>
          <w:sz w:val="24"/>
          <w:szCs w:val="24"/>
        </w:rPr>
        <w:t xml:space="preserve">.  Such partnerships between state and local communities can </w:t>
      </w:r>
      <w:r w:rsidR="005A155C" w:rsidRPr="006D0DF5">
        <w:rPr>
          <w:rFonts w:cstheme="minorHAnsi"/>
          <w:sz w:val="24"/>
          <w:szCs w:val="24"/>
        </w:rPr>
        <w:t xml:space="preserve">provide tangible solutions </w:t>
      </w:r>
      <w:r w:rsidR="00E63895" w:rsidRPr="006D0DF5">
        <w:rPr>
          <w:rFonts w:cstheme="minorHAnsi"/>
          <w:sz w:val="24"/>
          <w:szCs w:val="24"/>
        </w:rPr>
        <w:t>to these challenges</w:t>
      </w:r>
      <w:r w:rsidR="005A155C" w:rsidRPr="006D0DF5">
        <w:rPr>
          <w:rFonts w:cstheme="minorHAnsi"/>
          <w:sz w:val="24"/>
          <w:szCs w:val="24"/>
        </w:rPr>
        <w:t>.</w:t>
      </w:r>
    </w:p>
    <w:p w14:paraId="469ECF52" w14:textId="0292D67B" w:rsidR="005A155C" w:rsidRDefault="006209D1" w:rsidP="00C76C30">
      <w:pPr>
        <w:spacing w:after="0" w:line="276" w:lineRule="auto"/>
        <w:rPr>
          <w:rFonts w:cstheme="minorHAnsi"/>
          <w:sz w:val="24"/>
          <w:szCs w:val="24"/>
        </w:rPr>
      </w:pPr>
      <w:r w:rsidRPr="006D0DF5">
        <w:rPr>
          <w:rFonts w:cstheme="minorHAnsi"/>
          <w:sz w:val="24"/>
          <w:szCs w:val="24"/>
        </w:rPr>
        <w:lastRenderedPageBreak/>
        <w:t>If we l</w:t>
      </w:r>
      <w:r w:rsidR="006A0E44" w:rsidRPr="006D0DF5">
        <w:rPr>
          <w:rFonts w:cstheme="minorHAnsi"/>
          <w:sz w:val="24"/>
          <w:szCs w:val="24"/>
        </w:rPr>
        <w:t>isten</w:t>
      </w:r>
      <w:r w:rsidR="005A155C" w:rsidRPr="006D0DF5">
        <w:rPr>
          <w:rFonts w:cstheme="minorHAnsi"/>
          <w:sz w:val="24"/>
          <w:szCs w:val="24"/>
        </w:rPr>
        <w:t xml:space="preserve"> to the goals and </w:t>
      </w:r>
      <w:r w:rsidR="00E63895" w:rsidRPr="006D0DF5">
        <w:rPr>
          <w:rFonts w:cstheme="minorHAnsi"/>
          <w:sz w:val="24"/>
          <w:szCs w:val="24"/>
        </w:rPr>
        <w:t>priorities</w:t>
      </w:r>
      <w:r w:rsidR="005A155C" w:rsidRPr="006D0DF5">
        <w:rPr>
          <w:rFonts w:cstheme="minorHAnsi"/>
          <w:sz w:val="24"/>
          <w:szCs w:val="24"/>
        </w:rPr>
        <w:t xml:space="preserve"> of each community</w:t>
      </w:r>
      <w:r w:rsidRPr="006D0DF5">
        <w:rPr>
          <w:rFonts w:cstheme="minorHAnsi"/>
          <w:sz w:val="24"/>
          <w:szCs w:val="24"/>
        </w:rPr>
        <w:t>, we can</w:t>
      </w:r>
      <w:r w:rsidR="006A0E44" w:rsidRPr="006D0DF5">
        <w:rPr>
          <w:rFonts w:cstheme="minorHAnsi"/>
          <w:sz w:val="24"/>
          <w:szCs w:val="24"/>
        </w:rPr>
        <w:t xml:space="preserve"> better mobilize cross-functional supports to </w:t>
      </w:r>
      <w:r w:rsidRPr="006D0DF5">
        <w:rPr>
          <w:rFonts w:cstheme="minorHAnsi"/>
          <w:sz w:val="24"/>
          <w:szCs w:val="24"/>
        </w:rPr>
        <w:t>make progress</w:t>
      </w:r>
      <w:r w:rsidR="005A155C" w:rsidRPr="006D0DF5">
        <w:rPr>
          <w:rFonts w:cstheme="minorHAnsi"/>
          <w:sz w:val="24"/>
          <w:szCs w:val="24"/>
        </w:rPr>
        <w:t xml:space="preserve">.  </w:t>
      </w:r>
      <w:r w:rsidRPr="006D0DF5">
        <w:rPr>
          <w:rFonts w:cstheme="minorHAnsi"/>
          <w:sz w:val="24"/>
          <w:szCs w:val="24"/>
        </w:rPr>
        <w:t>The state can</w:t>
      </w:r>
      <w:r w:rsidR="005A155C" w:rsidRPr="006D0DF5">
        <w:rPr>
          <w:rFonts w:cstheme="minorHAnsi"/>
          <w:sz w:val="24"/>
          <w:szCs w:val="24"/>
        </w:rPr>
        <w:t xml:space="preserve"> </w:t>
      </w:r>
      <w:r w:rsidRPr="006D0DF5">
        <w:rPr>
          <w:rFonts w:cstheme="minorHAnsi"/>
          <w:sz w:val="24"/>
          <w:szCs w:val="24"/>
        </w:rPr>
        <w:t>help</w:t>
      </w:r>
      <w:r w:rsidR="00BC45BF" w:rsidRPr="006D0DF5">
        <w:rPr>
          <w:rFonts w:cstheme="minorHAnsi"/>
          <w:sz w:val="24"/>
          <w:szCs w:val="24"/>
        </w:rPr>
        <w:t xml:space="preserve"> build local capacity</w:t>
      </w:r>
      <w:r w:rsidR="005A155C" w:rsidRPr="006D0DF5">
        <w:rPr>
          <w:rFonts w:cstheme="minorHAnsi"/>
          <w:sz w:val="24"/>
          <w:szCs w:val="24"/>
        </w:rPr>
        <w:t xml:space="preserve"> and incentivize communities to adopt and accelerate best-in-class teaching practices and supports for students.</w:t>
      </w:r>
    </w:p>
    <w:p w14:paraId="563AD691" w14:textId="77777777" w:rsidR="00C76C30" w:rsidRPr="006D0DF5" w:rsidRDefault="00C76C30" w:rsidP="00C76C30">
      <w:pPr>
        <w:spacing w:after="0" w:line="276" w:lineRule="auto"/>
        <w:rPr>
          <w:rFonts w:cstheme="minorHAnsi"/>
          <w:sz w:val="24"/>
          <w:szCs w:val="24"/>
        </w:rPr>
      </w:pPr>
    </w:p>
    <w:p w14:paraId="55845654" w14:textId="36592860" w:rsidR="00E906DF" w:rsidRPr="006D0DF5" w:rsidRDefault="005A155C" w:rsidP="00C76C30">
      <w:pPr>
        <w:spacing w:after="0" w:line="276" w:lineRule="auto"/>
        <w:rPr>
          <w:rFonts w:cstheme="minorHAnsi"/>
          <w:sz w:val="24"/>
          <w:szCs w:val="24"/>
        </w:rPr>
      </w:pPr>
      <w:r w:rsidRPr="006D0DF5">
        <w:rPr>
          <w:rFonts w:cstheme="minorHAnsi"/>
          <w:sz w:val="24"/>
          <w:szCs w:val="24"/>
        </w:rPr>
        <w:t xml:space="preserve">DESE will always be a </w:t>
      </w:r>
      <w:r w:rsidR="00FC3BCD" w:rsidRPr="006D0DF5">
        <w:rPr>
          <w:rFonts w:cstheme="minorHAnsi"/>
          <w:sz w:val="24"/>
          <w:szCs w:val="24"/>
        </w:rPr>
        <w:t>regulatory</w:t>
      </w:r>
      <w:r w:rsidRPr="006D0DF5">
        <w:rPr>
          <w:rFonts w:cstheme="minorHAnsi"/>
          <w:sz w:val="24"/>
          <w:szCs w:val="24"/>
        </w:rPr>
        <w:t xml:space="preserve"> organization</w:t>
      </w:r>
      <w:r w:rsidR="00AD514F" w:rsidRPr="006D0DF5">
        <w:rPr>
          <w:rFonts w:cstheme="minorHAnsi"/>
          <w:sz w:val="24"/>
          <w:szCs w:val="24"/>
        </w:rPr>
        <w:t xml:space="preserve">, and compliance is necessary to ensure we </w:t>
      </w:r>
      <w:r w:rsidR="008C7ED2" w:rsidRPr="006D0DF5">
        <w:rPr>
          <w:rFonts w:cstheme="minorHAnsi"/>
          <w:sz w:val="24"/>
          <w:szCs w:val="24"/>
        </w:rPr>
        <w:t>maintain high standards of safety, rights</w:t>
      </w:r>
      <w:r w:rsidR="0040547C" w:rsidRPr="006D0DF5">
        <w:rPr>
          <w:rFonts w:cstheme="minorHAnsi"/>
          <w:sz w:val="24"/>
          <w:szCs w:val="24"/>
        </w:rPr>
        <w:t>,</w:t>
      </w:r>
      <w:r w:rsidR="008C7ED2" w:rsidRPr="006D0DF5">
        <w:rPr>
          <w:rFonts w:cstheme="minorHAnsi"/>
          <w:sz w:val="24"/>
          <w:szCs w:val="24"/>
        </w:rPr>
        <w:t xml:space="preserve"> and education for our students</w:t>
      </w:r>
      <w:r w:rsidRPr="006D0DF5">
        <w:rPr>
          <w:rFonts w:cstheme="minorHAnsi"/>
          <w:sz w:val="24"/>
          <w:szCs w:val="24"/>
        </w:rPr>
        <w:t xml:space="preserve">.  </w:t>
      </w:r>
      <w:r w:rsidR="00AD514F" w:rsidRPr="006D0DF5">
        <w:rPr>
          <w:rFonts w:cstheme="minorHAnsi"/>
          <w:sz w:val="24"/>
          <w:szCs w:val="24"/>
        </w:rPr>
        <w:t xml:space="preserve">Yet I know from my time in schools and districts – and from feedback </w:t>
      </w:r>
      <w:r w:rsidR="00E906DF" w:rsidRPr="006D0DF5">
        <w:rPr>
          <w:rFonts w:cstheme="minorHAnsi"/>
          <w:sz w:val="24"/>
          <w:szCs w:val="24"/>
        </w:rPr>
        <w:t xml:space="preserve">from </w:t>
      </w:r>
      <w:r w:rsidR="00DF34CF" w:rsidRPr="006D0DF5">
        <w:rPr>
          <w:rFonts w:cstheme="minorHAnsi"/>
          <w:sz w:val="24"/>
          <w:szCs w:val="24"/>
        </w:rPr>
        <w:t>educators and administrators</w:t>
      </w:r>
      <w:r w:rsidR="00E906DF" w:rsidRPr="006D0DF5">
        <w:rPr>
          <w:rFonts w:cstheme="minorHAnsi"/>
          <w:sz w:val="24"/>
          <w:szCs w:val="24"/>
        </w:rPr>
        <w:t xml:space="preserve"> this year – </w:t>
      </w:r>
      <w:r w:rsidR="00AD514F" w:rsidRPr="006D0DF5">
        <w:rPr>
          <w:rFonts w:cstheme="minorHAnsi"/>
          <w:sz w:val="24"/>
          <w:szCs w:val="24"/>
        </w:rPr>
        <w:t xml:space="preserve">that </w:t>
      </w:r>
      <w:r w:rsidR="0034666F" w:rsidRPr="006D0DF5">
        <w:rPr>
          <w:rFonts w:cstheme="minorHAnsi"/>
          <w:sz w:val="24"/>
          <w:szCs w:val="24"/>
        </w:rPr>
        <w:t xml:space="preserve">in </w:t>
      </w:r>
      <w:r w:rsidR="00AD514F" w:rsidRPr="006D0DF5">
        <w:rPr>
          <w:rFonts w:cstheme="minorHAnsi"/>
          <w:sz w:val="24"/>
          <w:szCs w:val="24"/>
        </w:rPr>
        <w:t xml:space="preserve">some areas </w:t>
      </w:r>
      <w:r w:rsidR="00FE7FE8" w:rsidRPr="006D0DF5">
        <w:rPr>
          <w:rFonts w:cstheme="minorHAnsi"/>
          <w:sz w:val="24"/>
          <w:szCs w:val="24"/>
        </w:rPr>
        <w:t>our</w:t>
      </w:r>
      <w:r w:rsidR="00AD514F" w:rsidRPr="006D0DF5">
        <w:rPr>
          <w:rFonts w:cstheme="minorHAnsi"/>
          <w:sz w:val="24"/>
          <w:szCs w:val="24"/>
        </w:rPr>
        <w:t xml:space="preserve"> compliance </w:t>
      </w:r>
      <w:r w:rsidR="008C7ED2" w:rsidRPr="006D0DF5">
        <w:rPr>
          <w:rFonts w:cstheme="minorHAnsi"/>
          <w:sz w:val="24"/>
          <w:szCs w:val="24"/>
        </w:rPr>
        <w:t>oversight</w:t>
      </w:r>
      <w:r w:rsidR="0034666F" w:rsidRPr="006D0DF5">
        <w:rPr>
          <w:rFonts w:cstheme="minorHAnsi"/>
          <w:sz w:val="24"/>
          <w:szCs w:val="24"/>
        </w:rPr>
        <w:t xml:space="preserve"> </w:t>
      </w:r>
      <w:r w:rsidR="00BE27DB" w:rsidRPr="006D0DF5">
        <w:rPr>
          <w:rFonts w:cstheme="minorHAnsi"/>
          <w:sz w:val="24"/>
          <w:szCs w:val="24"/>
        </w:rPr>
        <w:t xml:space="preserve">could be </w:t>
      </w:r>
      <w:r w:rsidR="00206F67" w:rsidRPr="006D0DF5">
        <w:rPr>
          <w:rFonts w:cstheme="minorHAnsi"/>
          <w:sz w:val="24"/>
          <w:szCs w:val="24"/>
        </w:rPr>
        <w:t>less burdensome</w:t>
      </w:r>
      <w:r w:rsidR="00AD514F" w:rsidRPr="006D0DF5">
        <w:rPr>
          <w:rFonts w:cstheme="minorHAnsi"/>
          <w:sz w:val="24"/>
          <w:szCs w:val="24"/>
        </w:rPr>
        <w:t xml:space="preserve">. </w:t>
      </w:r>
      <w:r w:rsidR="00BE27DB" w:rsidRPr="006D0DF5">
        <w:rPr>
          <w:rFonts w:cstheme="minorHAnsi"/>
          <w:sz w:val="24"/>
          <w:szCs w:val="24"/>
        </w:rPr>
        <w:t xml:space="preserve"> I have been working closely with DESE</w:t>
      </w:r>
      <w:r w:rsidR="0034666F" w:rsidRPr="006D0DF5">
        <w:rPr>
          <w:rFonts w:cstheme="minorHAnsi"/>
          <w:sz w:val="24"/>
          <w:szCs w:val="24"/>
        </w:rPr>
        <w:t>’s senior team</w:t>
      </w:r>
      <w:r w:rsidR="00BE27DB" w:rsidRPr="006D0DF5">
        <w:rPr>
          <w:rFonts w:cstheme="minorHAnsi"/>
          <w:sz w:val="24"/>
          <w:szCs w:val="24"/>
        </w:rPr>
        <w:t xml:space="preserve"> to </w:t>
      </w:r>
      <w:r w:rsidR="0034666F" w:rsidRPr="006D0DF5">
        <w:rPr>
          <w:rFonts w:cstheme="minorHAnsi"/>
          <w:sz w:val="24"/>
          <w:szCs w:val="24"/>
        </w:rPr>
        <w:t xml:space="preserve">identify </w:t>
      </w:r>
      <w:r w:rsidR="00BE27DB" w:rsidRPr="006D0DF5">
        <w:rPr>
          <w:rFonts w:cstheme="minorHAnsi"/>
          <w:sz w:val="24"/>
          <w:szCs w:val="24"/>
        </w:rPr>
        <w:t xml:space="preserve">ways we can continue to </w:t>
      </w:r>
      <w:r w:rsidR="00D651F8" w:rsidRPr="006D0DF5">
        <w:rPr>
          <w:rFonts w:cstheme="minorHAnsi"/>
          <w:sz w:val="24"/>
          <w:szCs w:val="24"/>
        </w:rPr>
        <w:t xml:space="preserve">carry out our responsibilities </w:t>
      </w:r>
      <w:r w:rsidR="00BE27DB" w:rsidRPr="006D0DF5">
        <w:rPr>
          <w:rFonts w:cstheme="minorHAnsi"/>
          <w:sz w:val="24"/>
          <w:szCs w:val="24"/>
        </w:rPr>
        <w:t xml:space="preserve">while </w:t>
      </w:r>
      <w:r w:rsidR="00206F67" w:rsidRPr="006D0DF5">
        <w:rPr>
          <w:rFonts w:cstheme="minorHAnsi"/>
          <w:sz w:val="24"/>
          <w:szCs w:val="24"/>
        </w:rPr>
        <w:t xml:space="preserve">reducing </w:t>
      </w:r>
      <w:r w:rsidR="0034666F" w:rsidRPr="006D0DF5">
        <w:rPr>
          <w:rFonts w:cstheme="minorHAnsi"/>
          <w:sz w:val="24"/>
          <w:szCs w:val="24"/>
        </w:rPr>
        <w:t xml:space="preserve">administrative burdens </w:t>
      </w:r>
      <w:r w:rsidR="00206F67" w:rsidRPr="006D0DF5">
        <w:rPr>
          <w:rFonts w:cstheme="minorHAnsi"/>
          <w:sz w:val="24"/>
          <w:szCs w:val="24"/>
        </w:rPr>
        <w:t>for schools and districts</w:t>
      </w:r>
      <w:r w:rsidR="00BE27DB" w:rsidRPr="006D0DF5">
        <w:rPr>
          <w:rFonts w:cstheme="minorHAnsi"/>
          <w:sz w:val="24"/>
          <w:szCs w:val="24"/>
        </w:rPr>
        <w:t xml:space="preserve">.  </w:t>
      </w:r>
      <w:r w:rsidR="00AD514F" w:rsidRPr="006D0DF5">
        <w:rPr>
          <w:rFonts w:cstheme="minorHAnsi"/>
          <w:sz w:val="24"/>
          <w:szCs w:val="24"/>
        </w:rPr>
        <w:t xml:space="preserve">In the coming year, </w:t>
      </w:r>
      <w:r w:rsidR="00BE27DB" w:rsidRPr="006D0DF5">
        <w:rPr>
          <w:rFonts w:cstheme="minorHAnsi"/>
          <w:sz w:val="24"/>
          <w:szCs w:val="24"/>
        </w:rPr>
        <w:t xml:space="preserve">the agency </w:t>
      </w:r>
      <w:r w:rsidR="0068383F" w:rsidRPr="006D0DF5">
        <w:rPr>
          <w:rFonts w:cstheme="minorHAnsi"/>
          <w:sz w:val="24"/>
          <w:szCs w:val="24"/>
        </w:rPr>
        <w:t xml:space="preserve">will </w:t>
      </w:r>
      <w:r w:rsidR="005C307F" w:rsidRPr="006D0DF5">
        <w:rPr>
          <w:rFonts w:cstheme="minorHAnsi"/>
          <w:sz w:val="24"/>
          <w:szCs w:val="24"/>
        </w:rPr>
        <w:t>take steps to</w:t>
      </w:r>
      <w:r w:rsidR="00AD514F" w:rsidRPr="006D0DF5">
        <w:rPr>
          <w:rFonts w:cstheme="minorHAnsi"/>
          <w:sz w:val="24"/>
          <w:szCs w:val="24"/>
        </w:rPr>
        <w:t xml:space="preserve"> </w:t>
      </w:r>
      <w:r w:rsidR="0068383F" w:rsidRPr="006D0DF5">
        <w:rPr>
          <w:rFonts w:cstheme="minorHAnsi"/>
          <w:sz w:val="24"/>
          <w:szCs w:val="24"/>
        </w:rPr>
        <w:t>review</w:t>
      </w:r>
      <w:r w:rsidR="00A6028C" w:rsidRPr="006D0DF5">
        <w:rPr>
          <w:rFonts w:cstheme="minorHAnsi"/>
          <w:sz w:val="24"/>
          <w:szCs w:val="24"/>
        </w:rPr>
        <w:t xml:space="preserve"> and </w:t>
      </w:r>
      <w:r w:rsidR="00130D67" w:rsidRPr="006D0DF5">
        <w:rPr>
          <w:rFonts w:cstheme="minorHAnsi"/>
          <w:sz w:val="24"/>
          <w:szCs w:val="24"/>
        </w:rPr>
        <w:t xml:space="preserve">streamline </w:t>
      </w:r>
      <w:r w:rsidR="00A6028C" w:rsidRPr="006D0DF5">
        <w:rPr>
          <w:rFonts w:cstheme="minorHAnsi"/>
          <w:sz w:val="24"/>
          <w:szCs w:val="24"/>
        </w:rPr>
        <w:t xml:space="preserve">our procedures </w:t>
      </w:r>
      <w:r w:rsidR="00130D67" w:rsidRPr="006D0DF5">
        <w:rPr>
          <w:rFonts w:cstheme="minorHAnsi"/>
          <w:sz w:val="24"/>
          <w:szCs w:val="24"/>
        </w:rPr>
        <w:t>and provide</w:t>
      </w:r>
      <w:r w:rsidR="00A6028C" w:rsidRPr="006D0DF5">
        <w:rPr>
          <w:rFonts w:cstheme="minorHAnsi"/>
          <w:sz w:val="24"/>
          <w:szCs w:val="24"/>
        </w:rPr>
        <w:t xml:space="preserve"> </w:t>
      </w:r>
      <w:r w:rsidR="005C307F" w:rsidRPr="006D0DF5">
        <w:rPr>
          <w:rFonts w:cstheme="minorHAnsi"/>
          <w:sz w:val="24"/>
          <w:szCs w:val="24"/>
        </w:rPr>
        <w:t xml:space="preserve">relief in </w:t>
      </w:r>
      <w:r w:rsidR="008C7ED2" w:rsidRPr="006D0DF5">
        <w:rPr>
          <w:rFonts w:cstheme="minorHAnsi"/>
          <w:sz w:val="24"/>
          <w:szCs w:val="24"/>
        </w:rPr>
        <w:t xml:space="preserve">selected </w:t>
      </w:r>
      <w:r w:rsidR="005C307F" w:rsidRPr="006D0DF5">
        <w:rPr>
          <w:rFonts w:cstheme="minorHAnsi"/>
          <w:sz w:val="24"/>
          <w:szCs w:val="24"/>
        </w:rPr>
        <w:t xml:space="preserve">areas </w:t>
      </w:r>
      <w:r w:rsidR="00575AD9" w:rsidRPr="006D0DF5">
        <w:rPr>
          <w:rFonts w:cstheme="minorHAnsi"/>
          <w:sz w:val="24"/>
          <w:szCs w:val="24"/>
        </w:rPr>
        <w:t>subject to state</w:t>
      </w:r>
      <w:r w:rsidR="005C307F" w:rsidRPr="006D0DF5">
        <w:rPr>
          <w:rFonts w:cstheme="minorHAnsi"/>
          <w:sz w:val="24"/>
          <w:szCs w:val="24"/>
        </w:rPr>
        <w:t xml:space="preserve"> </w:t>
      </w:r>
      <w:r w:rsidR="00270295" w:rsidRPr="006D0DF5">
        <w:rPr>
          <w:rFonts w:cstheme="minorHAnsi"/>
          <w:sz w:val="24"/>
          <w:szCs w:val="24"/>
        </w:rPr>
        <w:t xml:space="preserve">policy and </w:t>
      </w:r>
      <w:r w:rsidR="005C307F" w:rsidRPr="006D0DF5">
        <w:rPr>
          <w:rFonts w:cstheme="minorHAnsi"/>
          <w:sz w:val="24"/>
          <w:szCs w:val="24"/>
        </w:rPr>
        <w:t>regulations</w:t>
      </w:r>
      <w:r w:rsidR="00E906DF" w:rsidRPr="006D0DF5">
        <w:rPr>
          <w:rFonts w:cstheme="minorHAnsi"/>
          <w:sz w:val="24"/>
          <w:szCs w:val="24"/>
        </w:rPr>
        <w:t>.</w:t>
      </w:r>
    </w:p>
    <w:p w14:paraId="69EEF710" w14:textId="77777777" w:rsidR="00C76C30" w:rsidRDefault="00C76C30" w:rsidP="00C76C30">
      <w:pPr>
        <w:spacing w:after="0" w:line="276" w:lineRule="auto"/>
        <w:rPr>
          <w:rFonts w:cstheme="minorHAnsi"/>
          <w:sz w:val="24"/>
          <w:szCs w:val="24"/>
        </w:rPr>
      </w:pPr>
    </w:p>
    <w:p w14:paraId="50F0B0AD" w14:textId="52167956" w:rsidR="006A0E44" w:rsidRPr="006D0DF5" w:rsidRDefault="0068383F" w:rsidP="00C76C30">
      <w:pPr>
        <w:spacing w:after="0" w:line="276" w:lineRule="auto"/>
        <w:rPr>
          <w:rFonts w:cstheme="minorHAnsi"/>
          <w:sz w:val="24"/>
          <w:szCs w:val="24"/>
        </w:rPr>
      </w:pPr>
      <w:r w:rsidRPr="006D0DF5">
        <w:rPr>
          <w:rFonts w:cstheme="minorHAnsi"/>
          <w:sz w:val="24"/>
          <w:szCs w:val="24"/>
        </w:rPr>
        <w:t>A</w:t>
      </w:r>
      <w:r w:rsidR="00453D53" w:rsidRPr="006D0DF5">
        <w:rPr>
          <w:rFonts w:cstheme="minorHAnsi"/>
          <w:sz w:val="24"/>
          <w:szCs w:val="24"/>
        </w:rPr>
        <w:t xml:space="preserve">s </w:t>
      </w:r>
      <w:r w:rsidR="00E906DF" w:rsidRPr="006D0DF5">
        <w:rPr>
          <w:rFonts w:cstheme="minorHAnsi"/>
          <w:sz w:val="24"/>
          <w:szCs w:val="24"/>
        </w:rPr>
        <w:t>DESE</w:t>
      </w:r>
      <w:r w:rsidR="005A155C" w:rsidRPr="006D0DF5">
        <w:rPr>
          <w:rFonts w:cstheme="minorHAnsi"/>
          <w:sz w:val="24"/>
          <w:szCs w:val="24"/>
        </w:rPr>
        <w:t xml:space="preserve"> move</w:t>
      </w:r>
      <w:r w:rsidR="00E906DF" w:rsidRPr="006D0DF5">
        <w:rPr>
          <w:rFonts w:cstheme="minorHAnsi"/>
          <w:sz w:val="24"/>
          <w:szCs w:val="24"/>
        </w:rPr>
        <w:t>s</w:t>
      </w:r>
      <w:r w:rsidR="005A155C" w:rsidRPr="006D0DF5">
        <w:rPr>
          <w:rFonts w:cstheme="minorHAnsi"/>
          <w:sz w:val="24"/>
          <w:szCs w:val="24"/>
        </w:rPr>
        <w:t xml:space="preserve"> to implement new initiatives aligned to our core themes, </w:t>
      </w:r>
      <w:r w:rsidR="006A0E44" w:rsidRPr="006D0DF5">
        <w:rPr>
          <w:rFonts w:cstheme="minorHAnsi"/>
          <w:sz w:val="24"/>
          <w:szCs w:val="24"/>
        </w:rPr>
        <w:t xml:space="preserve">the agency’s strategic plan </w:t>
      </w:r>
      <w:r w:rsidR="00AC563D" w:rsidRPr="006D0DF5">
        <w:rPr>
          <w:rFonts w:cstheme="minorHAnsi"/>
          <w:sz w:val="24"/>
          <w:szCs w:val="24"/>
        </w:rPr>
        <w:t xml:space="preserve">will evolve as we </w:t>
      </w:r>
      <w:r w:rsidR="005A155C" w:rsidRPr="006D0DF5">
        <w:rPr>
          <w:rFonts w:cstheme="minorHAnsi"/>
          <w:sz w:val="24"/>
          <w:szCs w:val="24"/>
        </w:rPr>
        <w:t xml:space="preserve">determine what we will continue to do, </w:t>
      </w:r>
      <w:r w:rsidR="00E906DF" w:rsidRPr="006D0DF5">
        <w:rPr>
          <w:rFonts w:cstheme="minorHAnsi"/>
          <w:sz w:val="24"/>
          <w:szCs w:val="24"/>
        </w:rPr>
        <w:t xml:space="preserve">what we will improve, </w:t>
      </w:r>
      <w:r w:rsidR="006A0E44" w:rsidRPr="006D0DF5">
        <w:rPr>
          <w:rFonts w:cstheme="minorHAnsi"/>
          <w:sz w:val="24"/>
          <w:szCs w:val="24"/>
        </w:rPr>
        <w:t xml:space="preserve">where we need to build new capacities, </w:t>
      </w:r>
      <w:r w:rsidR="00E906DF" w:rsidRPr="006D0DF5">
        <w:rPr>
          <w:rFonts w:cstheme="minorHAnsi"/>
          <w:sz w:val="24"/>
          <w:szCs w:val="24"/>
        </w:rPr>
        <w:t>and</w:t>
      </w:r>
      <w:r w:rsidR="005A155C" w:rsidRPr="006D0DF5">
        <w:rPr>
          <w:rFonts w:cstheme="minorHAnsi"/>
          <w:sz w:val="24"/>
          <w:szCs w:val="24"/>
        </w:rPr>
        <w:t xml:space="preserve"> what </w:t>
      </w:r>
      <w:r w:rsidR="006A0E44" w:rsidRPr="006D0DF5">
        <w:rPr>
          <w:rFonts w:cstheme="minorHAnsi"/>
          <w:sz w:val="24"/>
          <w:szCs w:val="24"/>
        </w:rPr>
        <w:t xml:space="preserve">we may need to stop doing </w:t>
      </w:r>
      <w:r w:rsidRPr="006D0DF5">
        <w:rPr>
          <w:rFonts w:cstheme="minorHAnsi"/>
          <w:sz w:val="24"/>
          <w:szCs w:val="24"/>
        </w:rPr>
        <w:t xml:space="preserve">so we can carry out our mission </w:t>
      </w:r>
      <w:r w:rsidR="006A0E44" w:rsidRPr="006D0DF5">
        <w:rPr>
          <w:rFonts w:cstheme="minorHAnsi"/>
          <w:sz w:val="24"/>
          <w:szCs w:val="24"/>
        </w:rPr>
        <w:t>with fidelity</w:t>
      </w:r>
      <w:r w:rsidR="005A155C" w:rsidRPr="006D0DF5">
        <w:rPr>
          <w:rFonts w:cstheme="minorHAnsi"/>
          <w:sz w:val="24"/>
          <w:szCs w:val="24"/>
        </w:rPr>
        <w:t>.</w:t>
      </w:r>
    </w:p>
    <w:p w14:paraId="163B1C60" w14:textId="77777777" w:rsidR="00C76C30" w:rsidRDefault="00C76C30" w:rsidP="00C76C30">
      <w:pPr>
        <w:spacing w:after="0" w:line="276" w:lineRule="auto"/>
        <w:rPr>
          <w:rFonts w:cstheme="minorHAnsi"/>
          <w:sz w:val="24"/>
          <w:szCs w:val="24"/>
        </w:rPr>
      </w:pPr>
    </w:p>
    <w:p w14:paraId="3CB6C6B9" w14:textId="3C01B5BB" w:rsidR="005A155C" w:rsidRPr="006D0DF5" w:rsidRDefault="00E906DF" w:rsidP="00C76C30">
      <w:pPr>
        <w:spacing w:after="0" w:line="276" w:lineRule="auto"/>
        <w:rPr>
          <w:rFonts w:cstheme="minorHAnsi"/>
          <w:sz w:val="24"/>
          <w:szCs w:val="24"/>
        </w:rPr>
      </w:pPr>
      <w:r w:rsidRPr="006D0DF5">
        <w:rPr>
          <w:rFonts w:cstheme="minorHAnsi"/>
          <w:sz w:val="24"/>
          <w:szCs w:val="24"/>
        </w:rPr>
        <w:t>Finally, I will continue to set a tone promoting collaboration and compromise across the education ecosystem.</w:t>
      </w:r>
      <w:r w:rsidR="006A0E44" w:rsidRPr="006D0DF5">
        <w:rPr>
          <w:rFonts w:cstheme="minorHAnsi"/>
          <w:sz w:val="24"/>
          <w:szCs w:val="24"/>
        </w:rPr>
        <w:t xml:space="preserve">  </w:t>
      </w:r>
      <w:r w:rsidRPr="006D0DF5">
        <w:rPr>
          <w:rFonts w:cstheme="minorHAnsi"/>
          <w:sz w:val="24"/>
          <w:szCs w:val="24"/>
        </w:rPr>
        <w:t xml:space="preserve">We need to </w:t>
      </w:r>
      <w:r w:rsidR="006A0E44" w:rsidRPr="006D0DF5">
        <w:rPr>
          <w:rFonts w:cstheme="minorHAnsi"/>
          <w:sz w:val="24"/>
          <w:szCs w:val="24"/>
        </w:rPr>
        <w:t xml:space="preserve">move past “all or nothing” thinking, </w:t>
      </w:r>
      <w:r w:rsidRPr="006D0DF5">
        <w:rPr>
          <w:rFonts w:cstheme="minorHAnsi"/>
          <w:sz w:val="24"/>
          <w:szCs w:val="24"/>
        </w:rPr>
        <w:t>turn the page on past disagreements</w:t>
      </w:r>
      <w:r w:rsidR="005151FF" w:rsidRPr="006D0DF5">
        <w:rPr>
          <w:rFonts w:cstheme="minorHAnsi"/>
          <w:sz w:val="24"/>
          <w:szCs w:val="24"/>
        </w:rPr>
        <w:t>,</w:t>
      </w:r>
      <w:r w:rsidRPr="006D0DF5">
        <w:rPr>
          <w:rFonts w:cstheme="minorHAnsi"/>
          <w:sz w:val="24"/>
          <w:szCs w:val="24"/>
        </w:rPr>
        <w:t xml:space="preserve"> and come together around new ideas that can make a </w:t>
      </w:r>
      <w:r w:rsidR="0068383F" w:rsidRPr="006D0DF5">
        <w:rPr>
          <w:rFonts w:cstheme="minorHAnsi"/>
          <w:sz w:val="24"/>
          <w:szCs w:val="24"/>
        </w:rPr>
        <w:t xml:space="preserve">positive </w:t>
      </w:r>
      <w:r w:rsidRPr="006D0DF5">
        <w:rPr>
          <w:rFonts w:cstheme="minorHAnsi"/>
          <w:sz w:val="24"/>
          <w:szCs w:val="24"/>
        </w:rPr>
        <w:t>difference for</w:t>
      </w:r>
      <w:r w:rsidR="0068383F" w:rsidRPr="006D0DF5">
        <w:rPr>
          <w:rFonts w:cstheme="minorHAnsi"/>
          <w:sz w:val="24"/>
          <w:szCs w:val="24"/>
        </w:rPr>
        <w:t xml:space="preserve"> students</w:t>
      </w:r>
      <w:r w:rsidRPr="006D0DF5">
        <w:rPr>
          <w:rFonts w:cstheme="minorHAnsi"/>
          <w:sz w:val="24"/>
          <w:szCs w:val="24"/>
        </w:rPr>
        <w:t>.</w:t>
      </w:r>
    </w:p>
    <w:p w14:paraId="4AF273EF" w14:textId="77777777" w:rsidR="009A00B9" w:rsidRPr="006D0DF5" w:rsidRDefault="009A00B9" w:rsidP="00C76C30">
      <w:pPr>
        <w:spacing w:after="0"/>
        <w:rPr>
          <w:rFonts w:cstheme="minorHAnsi"/>
          <w:b/>
          <w:sz w:val="24"/>
          <w:szCs w:val="24"/>
        </w:rPr>
      </w:pPr>
    </w:p>
    <w:p w14:paraId="5953586E" w14:textId="1A881DBD" w:rsidR="00E906DF" w:rsidRPr="00C76C30" w:rsidRDefault="002E667F" w:rsidP="007B5F26">
      <w:pPr>
        <w:pStyle w:val="Heading2"/>
      </w:pPr>
      <w:r w:rsidRPr="00C76C30">
        <w:t>O</w:t>
      </w:r>
      <w:r w:rsidR="00E906DF" w:rsidRPr="00C76C30">
        <w:t xml:space="preserve">ur </w:t>
      </w:r>
      <w:r w:rsidR="00C76C30" w:rsidRPr="00C76C30">
        <w:t>F</w:t>
      </w:r>
      <w:r w:rsidR="00E906DF" w:rsidRPr="00C76C30">
        <w:t xml:space="preserve">irst </w:t>
      </w:r>
      <w:r w:rsidR="00C76C30" w:rsidRPr="00C76C30">
        <w:t>S</w:t>
      </w:r>
      <w:r w:rsidR="00E906DF" w:rsidRPr="00C76C30">
        <w:t xml:space="preserve">tep: The Kaleidoscope Collective for Learning </w:t>
      </w:r>
    </w:p>
    <w:p w14:paraId="7588986D" w14:textId="77777777" w:rsidR="00B06FCC" w:rsidRDefault="00B06FCC" w:rsidP="00C76C30">
      <w:pPr>
        <w:spacing w:after="0" w:line="276" w:lineRule="auto"/>
        <w:rPr>
          <w:rFonts w:cstheme="minorHAnsi"/>
          <w:sz w:val="24"/>
          <w:szCs w:val="24"/>
        </w:rPr>
      </w:pPr>
    </w:p>
    <w:p w14:paraId="6D744D59" w14:textId="28A5A3C6" w:rsidR="00E906DF" w:rsidRPr="006D0DF5" w:rsidRDefault="00E906DF" w:rsidP="00C76C30">
      <w:pPr>
        <w:spacing w:after="0" w:line="276" w:lineRule="auto"/>
        <w:rPr>
          <w:rFonts w:cstheme="minorHAnsi"/>
          <w:sz w:val="24"/>
          <w:szCs w:val="24"/>
        </w:rPr>
      </w:pPr>
      <w:r w:rsidRPr="006D0DF5">
        <w:rPr>
          <w:rFonts w:cstheme="minorHAnsi"/>
          <w:sz w:val="24"/>
          <w:szCs w:val="24"/>
        </w:rPr>
        <w:t>We will begin to shift the state towards implementing these themes and immediately impact schools and classrooms through a</w:t>
      </w:r>
      <w:r w:rsidR="00FE7FE8" w:rsidRPr="006D0DF5">
        <w:rPr>
          <w:rFonts w:cstheme="minorHAnsi"/>
          <w:sz w:val="24"/>
          <w:szCs w:val="24"/>
        </w:rPr>
        <w:t xml:space="preserve"> new</w:t>
      </w:r>
      <w:r w:rsidRPr="006D0DF5">
        <w:rPr>
          <w:rFonts w:cstheme="minorHAnsi"/>
          <w:sz w:val="24"/>
          <w:szCs w:val="24"/>
        </w:rPr>
        <w:t xml:space="preserve"> pilot program </w:t>
      </w:r>
      <w:r w:rsidR="00FE7FE8" w:rsidRPr="006D0DF5">
        <w:rPr>
          <w:rFonts w:cstheme="minorHAnsi"/>
          <w:sz w:val="24"/>
          <w:szCs w:val="24"/>
        </w:rPr>
        <w:t xml:space="preserve">at DESE </w:t>
      </w:r>
      <w:r w:rsidRPr="006D0DF5">
        <w:rPr>
          <w:rFonts w:cstheme="minorHAnsi"/>
          <w:sz w:val="24"/>
          <w:szCs w:val="24"/>
        </w:rPr>
        <w:t xml:space="preserve">called the </w:t>
      </w:r>
      <w:r w:rsidRPr="00C76C30">
        <w:rPr>
          <w:rFonts w:cstheme="minorHAnsi"/>
          <w:bCs/>
          <w:sz w:val="24"/>
          <w:szCs w:val="24"/>
        </w:rPr>
        <w:t>Kaleidoscope Collective for Learning</w:t>
      </w:r>
      <w:r w:rsidR="00A12CED" w:rsidRPr="00C76C30">
        <w:rPr>
          <w:rFonts w:cstheme="minorHAnsi"/>
          <w:bCs/>
          <w:sz w:val="24"/>
          <w:szCs w:val="24"/>
        </w:rPr>
        <w:t xml:space="preserve"> (KCL)</w:t>
      </w:r>
      <w:r w:rsidRPr="00C76C30">
        <w:rPr>
          <w:rFonts w:cstheme="minorHAnsi"/>
          <w:bCs/>
          <w:sz w:val="24"/>
          <w:szCs w:val="24"/>
        </w:rPr>
        <w:t>.</w:t>
      </w:r>
      <w:r w:rsidRPr="006D0DF5">
        <w:rPr>
          <w:rFonts w:cstheme="minorHAnsi"/>
          <w:sz w:val="24"/>
          <w:szCs w:val="24"/>
        </w:rPr>
        <w:t xml:space="preserve">  </w:t>
      </w:r>
      <w:r w:rsidR="0068383F" w:rsidRPr="006D0DF5">
        <w:rPr>
          <w:rFonts w:cstheme="minorHAnsi"/>
          <w:sz w:val="24"/>
          <w:szCs w:val="24"/>
        </w:rPr>
        <w:t xml:space="preserve">Starting in </w:t>
      </w:r>
      <w:r w:rsidRPr="006D0DF5">
        <w:rPr>
          <w:rFonts w:cstheme="minorHAnsi"/>
          <w:sz w:val="24"/>
          <w:szCs w:val="24"/>
        </w:rPr>
        <w:t>fall</w:t>
      </w:r>
      <w:r w:rsidR="0068383F" w:rsidRPr="006D0DF5">
        <w:rPr>
          <w:rFonts w:cstheme="minorHAnsi"/>
          <w:sz w:val="24"/>
          <w:szCs w:val="24"/>
        </w:rPr>
        <w:t xml:space="preserve"> 2019</w:t>
      </w:r>
      <w:r w:rsidRPr="006D0DF5">
        <w:rPr>
          <w:rFonts w:cstheme="minorHAnsi"/>
          <w:sz w:val="24"/>
          <w:szCs w:val="24"/>
        </w:rPr>
        <w:t>, school districts, individual schools</w:t>
      </w:r>
      <w:r w:rsidR="003906F1" w:rsidRPr="006D0DF5">
        <w:rPr>
          <w:rFonts w:cstheme="minorHAnsi"/>
          <w:sz w:val="24"/>
          <w:szCs w:val="24"/>
        </w:rPr>
        <w:t xml:space="preserve">, and educators </w:t>
      </w:r>
      <w:r w:rsidRPr="006D0DF5">
        <w:rPr>
          <w:rFonts w:cstheme="minorHAnsi"/>
          <w:sz w:val="24"/>
          <w:szCs w:val="24"/>
        </w:rPr>
        <w:t>will be able to apply to participate in this effort.  Our initial goals will be to:</w:t>
      </w:r>
    </w:p>
    <w:p w14:paraId="21C843EC" w14:textId="77777777" w:rsidR="00E906DF" w:rsidRPr="006D0DF5" w:rsidRDefault="00E906DF" w:rsidP="00C76C30">
      <w:pPr>
        <w:spacing w:after="0" w:line="276" w:lineRule="auto"/>
        <w:rPr>
          <w:rFonts w:cstheme="minorHAnsi"/>
          <w:sz w:val="12"/>
          <w:szCs w:val="12"/>
        </w:rPr>
      </w:pPr>
    </w:p>
    <w:p w14:paraId="1AE2807D" w14:textId="095DA356" w:rsidR="00E906DF" w:rsidRPr="006D0DF5" w:rsidRDefault="00E906DF" w:rsidP="00C76C30">
      <w:pPr>
        <w:pStyle w:val="ListParagraph"/>
        <w:numPr>
          <w:ilvl w:val="0"/>
          <w:numId w:val="6"/>
        </w:numPr>
        <w:spacing w:after="0" w:line="276" w:lineRule="auto"/>
        <w:rPr>
          <w:rFonts w:cstheme="minorHAnsi"/>
          <w:i/>
          <w:sz w:val="24"/>
          <w:szCs w:val="24"/>
        </w:rPr>
      </w:pPr>
      <w:r w:rsidRPr="006D0DF5">
        <w:rPr>
          <w:rFonts w:cstheme="minorHAnsi"/>
          <w:sz w:val="24"/>
          <w:szCs w:val="24"/>
        </w:rPr>
        <w:t>Create a research and development (R&amp;D) hub of educators, school</w:t>
      </w:r>
      <w:r w:rsidR="0056270B" w:rsidRPr="006D0DF5">
        <w:rPr>
          <w:rFonts w:cstheme="minorHAnsi"/>
          <w:sz w:val="24"/>
          <w:szCs w:val="24"/>
        </w:rPr>
        <w:t>s,</w:t>
      </w:r>
      <w:r w:rsidRPr="006D0DF5">
        <w:rPr>
          <w:rFonts w:cstheme="minorHAnsi"/>
          <w:sz w:val="24"/>
          <w:szCs w:val="24"/>
        </w:rPr>
        <w:t xml:space="preserve"> and districts focused on incubating and assessing innovative approaches to deeper learning</w:t>
      </w:r>
      <w:r w:rsidR="00270295" w:rsidRPr="006D0DF5">
        <w:rPr>
          <w:rFonts w:cstheme="minorHAnsi"/>
          <w:sz w:val="24"/>
          <w:szCs w:val="24"/>
        </w:rPr>
        <w:t>, including</w:t>
      </w:r>
      <w:r w:rsidR="00797D76" w:rsidRPr="006D0DF5">
        <w:rPr>
          <w:rFonts w:cstheme="minorHAnsi"/>
          <w:sz w:val="24"/>
          <w:szCs w:val="24"/>
        </w:rPr>
        <w:t xml:space="preserve"> standards-aligned</w:t>
      </w:r>
      <w:r w:rsidR="00270295" w:rsidRPr="006D0DF5">
        <w:rPr>
          <w:rFonts w:cstheme="minorHAnsi"/>
          <w:sz w:val="24"/>
          <w:szCs w:val="24"/>
        </w:rPr>
        <w:t xml:space="preserve"> instruction and assessment</w:t>
      </w:r>
      <w:r w:rsidRPr="006D0DF5">
        <w:rPr>
          <w:rFonts w:cstheme="minorHAnsi"/>
          <w:sz w:val="24"/>
          <w:szCs w:val="24"/>
        </w:rPr>
        <w:t xml:space="preserve"> </w:t>
      </w:r>
      <w:r w:rsidRPr="006D0DF5">
        <w:rPr>
          <w:rFonts w:cstheme="minorHAnsi"/>
          <w:i/>
          <w:sz w:val="24"/>
          <w:szCs w:val="24"/>
        </w:rPr>
        <w:t>(Theme I)</w:t>
      </w:r>
    </w:p>
    <w:p w14:paraId="7E680762" w14:textId="66C6EA7D" w:rsidR="00E906DF" w:rsidRPr="006D0DF5" w:rsidRDefault="00E906DF" w:rsidP="00C76C30">
      <w:pPr>
        <w:pStyle w:val="ListParagraph"/>
        <w:numPr>
          <w:ilvl w:val="0"/>
          <w:numId w:val="6"/>
        </w:numPr>
        <w:spacing w:after="0" w:line="276" w:lineRule="auto"/>
        <w:rPr>
          <w:rFonts w:cstheme="minorHAnsi"/>
          <w:i/>
          <w:sz w:val="24"/>
          <w:szCs w:val="24"/>
        </w:rPr>
      </w:pPr>
      <w:r w:rsidRPr="006D0DF5">
        <w:rPr>
          <w:rFonts w:cstheme="minorHAnsi"/>
          <w:sz w:val="24"/>
          <w:szCs w:val="24"/>
        </w:rPr>
        <w:t>Form a highly</w:t>
      </w:r>
      <w:r w:rsidR="009A4F23" w:rsidRPr="006D0DF5">
        <w:rPr>
          <w:rFonts w:cstheme="minorHAnsi"/>
          <w:sz w:val="24"/>
          <w:szCs w:val="24"/>
        </w:rPr>
        <w:t xml:space="preserve"> </w:t>
      </w:r>
      <w:r w:rsidRPr="006D0DF5">
        <w:rPr>
          <w:rFonts w:cstheme="minorHAnsi"/>
          <w:sz w:val="24"/>
          <w:szCs w:val="24"/>
        </w:rPr>
        <w:t xml:space="preserve">engaged network of practitioners, </w:t>
      </w:r>
      <w:r w:rsidR="0068383F" w:rsidRPr="006D0DF5">
        <w:rPr>
          <w:rFonts w:cstheme="minorHAnsi"/>
          <w:sz w:val="24"/>
          <w:szCs w:val="24"/>
        </w:rPr>
        <w:t xml:space="preserve">through which </w:t>
      </w:r>
      <w:r w:rsidRPr="006D0DF5">
        <w:rPr>
          <w:rFonts w:cstheme="minorHAnsi"/>
          <w:sz w:val="24"/>
          <w:szCs w:val="24"/>
        </w:rPr>
        <w:t>holistic support</w:t>
      </w:r>
      <w:r w:rsidR="00B87A1A" w:rsidRPr="006D0DF5">
        <w:rPr>
          <w:rFonts w:cstheme="minorHAnsi"/>
          <w:sz w:val="24"/>
          <w:szCs w:val="24"/>
        </w:rPr>
        <w:t xml:space="preserve"> </w:t>
      </w:r>
      <w:r w:rsidR="008C7ED2" w:rsidRPr="006D0DF5">
        <w:rPr>
          <w:rFonts w:cstheme="minorHAnsi"/>
          <w:sz w:val="24"/>
          <w:szCs w:val="24"/>
        </w:rPr>
        <w:t xml:space="preserve">(wraparound) </w:t>
      </w:r>
      <w:r w:rsidR="00B87A1A" w:rsidRPr="006D0DF5">
        <w:rPr>
          <w:rFonts w:cstheme="minorHAnsi"/>
          <w:sz w:val="24"/>
          <w:szCs w:val="24"/>
        </w:rPr>
        <w:t>and enrichment efforts and evidence-based practices</w:t>
      </w:r>
      <w:r w:rsidR="00A94895" w:rsidRPr="006D0DF5">
        <w:rPr>
          <w:rFonts w:cstheme="minorHAnsi"/>
          <w:sz w:val="24"/>
          <w:szCs w:val="24"/>
        </w:rPr>
        <w:t xml:space="preserve"> </w:t>
      </w:r>
      <w:r w:rsidR="003906F1" w:rsidRPr="006D0DF5">
        <w:rPr>
          <w:rFonts w:cstheme="minorHAnsi"/>
          <w:sz w:val="24"/>
          <w:szCs w:val="24"/>
        </w:rPr>
        <w:t>c</w:t>
      </w:r>
      <w:r w:rsidRPr="006D0DF5">
        <w:rPr>
          <w:rFonts w:cstheme="minorHAnsi"/>
          <w:sz w:val="24"/>
          <w:szCs w:val="24"/>
        </w:rPr>
        <w:t xml:space="preserve">an be identified and shared </w:t>
      </w:r>
      <w:r w:rsidRPr="006D0DF5">
        <w:rPr>
          <w:rFonts w:cstheme="minorHAnsi"/>
          <w:i/>
          <w:sz w:val="24"/>
          <w:szCs w:val="24"/>
        </w:rPr>
        <w:t>(Themes II</w:t>
      </w:r>
      <w:r w:rsidR="00A94895" w:rsidRPr="006D0DF5">
        <w:rPr>
          <w:rFonts w:cstheme="minorHAnsi"/>
          <w:i/>
          <w:sz w:val="24"/>
          <w:szCs w:val="24"/>
        </w:rPr>
        <w:t xml:space="preserve"> and</w:t>
      </w:r>
      <w:r w:rsidRPr="006D0DF5">
        <w:rPr>
          <w:rFonts w:cstheme="minorHAnsi"/>
          <w:i/>
          <w:sz w:val="24"/>
          <w:szCs w:val="24"/>
        </w:rPr>
        <w:t xml:space="preserve"> III)</w:t>
      </w:r>
    </w:p>
    <w:p w14:paraId="3F552620" w14:textId="414BEC8D" w:rsidR="0040547C" w:rsidRPr="006D0DF5" w:rsidRDefault="00E906DF" w:rsidP="00C76C30">
      <w:pPr>
        <w:pStyle w:val="ListParagraph"/>
        <w:numPr>
          <w:ilvl w:val="0"/>
          <w:numId w:val="6"/>
        </w:numPr>
        <w:spacing w:after="0" w:line="276" w:lineRule="auto"/>
        <w:rPr>
          <w:rFonts w:cstheme="minorHAnsi"/>
          <w:sz w:val="24"/>
          <w:szCs w:val="24"/>
        </w:rPr>
      </w:pPr>
      <w:r w:rsidRPr="006D0DF5">
        <w:rPr>
          <w:rFonts w:cstheme="minorHAnsi"/>
          <w:sz w:val="24"/>
          <w:szCs w:val="24"/>
        </w:rPr>
        <w:t>Model a new approach for how DESE can partner with the field to support adoption of promising practices</w:t>
      </w:r>
      <w:r w:rsidR="001D0069" w:rsidRPr="006D0DF5">
        <w:rPr>
          <w:rFonts w:cstheme="minorHAnsi"/>
          <w:sz w:val="24"/>
          <w:szCs w:val="24"/>
        </w:rPr>
        <w:t>, especially those shown to close achievement gaps,</w:t>
      </w:r>
      <w:r w:rsidRPr="006D0DF5">
        <w:rPr>
          <w:rFonts w:cstheme="minorHAnsi"/>
          <w:sz w:val="24"/>
          <w:szCs w:val="24"/>
        </w:rPr>
        <w:t xml:space="preserve"> while respecting and learning from each community’s context </w:t>
      </w:r>
      <w:r w:rsidRPr="006D0DF5">
        <w:rPr>
          <w:rFonts w:cstheme="minorHAnsi"/>
          <w:i/>
          <w:sz w:val="24"/>
          <w:szCs w:val="24"/>
        </w:rPr>
        <w:t xml:space="preserve">(Theme </w:t>
      </w:r>
      <w:r w:rsidR="00A94895" w:rsidRPr="006D0DF5">
        <w:rPr>
          <w:rFonts w:cstheme="minorHAnsi"/>
          <w:i/>
          <w:sz w:val="24"/>
          <w:szCs w:val="24"/>
        </w:rPr>
        <w:t>I</w:t>
      </w:r>
      <w:r w:rsidRPr="006D0DF5">
        <w:rPr>
          <w:rFonts w:cstheme="minorHAnsi"/>
          <w:i/>
          <w:sz w:val="24"/>
          <w:szCs w:val="24"/>
        </w:rPr>
        <w:t>V)</w:t>
      </w:r>
    </w:p>
    <w:p w14:paraId="18BEA276" w14:textId="77777777" w:rsidR="0040547C" w:rsidRPr="006D0DF5" w:rsidRDefault="0040547C" w:rsidP="00C76C30">
      <w:pPr>
        <w:pStyle w:val="ListParagraph"/>
        <w:spacing w:after="0" w:line="276" w:lineRule="auto"/>
        <w:ind w:left="768"/>
        <w:rPr>
          <w:rFonts w:cstheme="minorHAnsi"/>
          <w:sz w:val="12"/>
          <w:szCs w:val="12"/>
        </w:rPr>
      </w:pPr>
    </w:p>
    <w:p w14:paraId="571AF66D" w14:textId="144C81F7" w:rsidR="001D0069" w:rsidRDefault="00E906DF" w:rsidP="00C76C30">
      <w:pPr>
        <w:spacing w:after="0" w:line="276" w:lineRule="auto"/>
        <w:rPr>
          <w:rFonts w:cstheme="minorHAnsi"/>
          <w:sz w:val="24"/>
          <w:szCs w:val="24"/>
        </w:rPr>
      </w:pPr>
      <w:r w:rsidRPr="006D0DF5">
        <w:rPr>
          <w:rFonts w:cstheme="minorHAnsi"/>
          <w:sz w:val="24"/>
          <w:szCs w:val="24"/>
        </w:rPr>
        <w:lastRenderedPageBreak/>
        <w:t xml:space="preserve">While the Kaleidoscope Collective for Learning will address all </w:t>
      </w:r>
      <w:r w:rsidR="00575AD9" w:rsidRPr="006D0DF5">
        <w:rPr>
          <w:rFonts w:cstheme="minorHAnsi"/>
          <w:sz w:val="24"/>
          <w:szCs w:val="24"/>
        </w:rPr>
        <w:t>four</w:t>
      </w:r>
      <w:r w:rsidRPr="006D0DF5">
        <w:rPr>
          <w:rFonts w:cstheme="minorHAnsi"/>
          <w:sz w:val="24"/>
          <w:szCs w:val="24"/>
        </w:rPr>
        <w:t xml:space="preserve"> themes of </w:t>
      </w:r>
      <w:r w:rsidRPr="006D0DF5">
        <w:rPr>
          <w:rFonts w:cstheme="minorHAnsi"/>
          <w:i/>
          <w:iCs/>
          <w:sz w:val="24"/>
          <w:szCs w:val="24"/>
        </w:rPr>
        <w:t>Our Way Forward</w:t>
      </w:r>
      <w:r w:rsidRPr="006D0DF5">
        <w:rPr>
          <w:rFonts w:cstheme="minorHAnsi"/>
          <w:sz w:val="24"/>
          <w:szCs w:val="24"/>
        </w:rPr>
        <w:t xml:space="preserve">, the primary focus </w:t>
      </w:r>
      <w:r w:rsidR="0040547C" w:rsidRPr="006D0DF5">
        <w:rPr>
          <w:rFonts w:cstheme="minorHAnsi"/>
          <w:sz w:val="24"/>
          <w:szCs w:val="24"/>
        </w:rPr>
        <w:t>will be</w:t>
      </w:r>
      <w:r w:rsidRPr="006D0DF5">
        <w:rPr>
          <w:rFonts w:cstheme="minorHAnsi"/>
          <w:sz w:val="24"/>
          <w:szCs w:val="24"/>
        </w:rPr>
        <w:t xml:space="preserve"> on </w:t>
      </w:r>
      <w:r w:rsidR="003906F1" w:rsidRPr="006D0DF5">
        <w:rPr>
          <w:rFonts w:cstheme="minorHAnsi"/>
          <w:sz w:val="24"/>
          <w:szCs w:val="24"/>
        </w:rPr>
        <w:t>our central theme</w:t>
      </w:r>
      <w:r w:rsidRPr="006D0DF5">
        <w:rPr>
          <w:rFonts w:cstheme="minorHAnsi"/>
          <w:sz w:val="24"/>
          <w:szCs w:val="24"/>
        </w:rPr>
        <w:t>:</w:t>
      </w:r>
      <w:r w:rsidR="003906F1" w:rsidRPr="006D0DF5">
        <w:rPr>
          <w:rFonts w:cstheme="minorHAnsi"/>
          <w:sz w:val="24"/>
          <w:szCs w:val="24"/>
        </w:rPr>
        <w:t xml:space="preserve"> Deeper Learning for All. </w:t>
      </w:r>
      <w:r w:rsidRPr="006D0DF5">
        <w:rPr>
          <w:rFonts w:cstheme="minorHAnsi"/>
          <w:sz w:val="24"/>
          <w:szCs w:val="24"/>
        </w:rPr>
        <w:t xml:space="preserve">Through this effort, we will start to gather the Massachusetts education community around this new vision for the student experience and take concrete steps to pilot new approaches. </w:t>
      </w:r>
      <w:r w:rsidR="001D0069" w:rsidRPr="006D0DF5">
        <w:rPr>
          <w:rFonts w:cstheme="minorHAnsi"/>
          <w:sz w:val="24"/>
          <w:szCs w:val="24"/>
        </w:rPr>
        <w:t xml:space="preserve"> While this pilot will be open to all schools and districts across the state and is intended to benefit all learners, the network will be committed to closing achievement gaps for underperforming subgroups through deeper learning efforts and the other themes outlined above. </w:t>
      </w:r>
    </w:p>
    <w:p w14:paraId="562297A7" w14:textId="77777777" w:rsidR="00B06FCC" w:rsidRPr="006D0DF5" w:rsidRDefault="00B06FCC" w:rsidP="00C76C30">
      <w:pPr>
        <w:spacing w:after="0" w:line="276" w:lineRule="auto"/>
        <w:rPr>
          <w:rFonts w:cstheme="minorHAnsi"/>
          <w:sz w:val="24"/>
          <w:szCs w:val="24"/>
        </w:rPr>
      </w:pPr>
    </w:p>
    <w:p w14:paraId="406C9049" w14:textId="77777777" w:rsidR="00E906DF" w:rsidRPr="00C76C30" w:rsidRDefault="00E906DF" w:rsidP="007B5F26">
      <w:pPr>
        <w:pStyle w:val="Heading3"/>
      </w:pPr>
      <w:r w:rsidRPr="00C76C30">
        <w:t>Kaleidoscope Schools and Districts</w:t>
      </w:r>
    </w:p>
    <w:p w14:paraId="6B981275" w14:textId="77777777" w:rsidR="00B06FCC" w:rsidRDefault="00B06FCC" w:rsidP="00C76C30">
      <w:pPr>
        <w:spacing w:after="0" w:line="276" w:lineRule="auto"/>
        <w:rPr>
          <w:rFonts w:cstheme="minorHAnsi"/>
          <w:sz w:val="24"/>
          <w:szCs w:val="24"/>
        </w:rPr>
      </w:pPr>
    </w:p>
    <w:p w14:paraId="1FE80E72" w14:textId="5175E662" w:rsidR="00E906DF" w:rsidRPr="006D0DF5" w:rsidRDefault="00A12CED" w:rsidP="00C76C30">
      <w:pPr>
        <w:spacing w:after="0" w:line="276" w:lineRule="auto"/>
        <w:rPr>
          <w:rFonts w:cstheme="minorHAnsi"/>
          <w:sz w:val="24"/>
          <w:szCs w:val="24"/>
        </w:rPr>
      </w:pPr>
      <w:r w:rsidRPr="006D0DF5">
        <w:rPr>
          <w:rFonts w:cstheme="minorHAnsi"/>
          <w:sz w:val="24"/>
          <w:szCs w:val="24"/>
        </w:rPr>
        <w:t xml:space="preserve">Through the </w:t>
      </w:r>
      <w:r w:rsidR="00FE7FE8" w:rsidRPr="006D0DF5">
        <w:rPr>
          <w:rFonts w:cstheme="minorHAnsi"/>
          <w:sz w:val="24"/>
          <w:szCs w:val="24"/>
        </w:rPr>
        <w:t>Kaleidoscope</w:t>
      </w:r>
      <w:r w:rsidRPr="006D0DF5">
        <w:rPr>
          <w:rFonts w:cstheme="minorHAnsi"/>
          <w:sz w:val="24"/>
          <w:szCs w:val="24"/>
        </w:rPr>
        <w:t xml:space="preserve"> effort, we will create opportunities and incentives for educators, school leaders</w:t>
      </w:r>
      <w:r w:rsidR="0056270B" w:rsidRPr="006D0DF5">
        <w:rPr>
          <w:rFonts w:cstheme="minorHAnsi"/>
          <w:sz w:val="24"/>
          <w:szCs w:val="24"/>
        </w:rPr>
        <w:t>,</w:t>
      </w:r>
      <w:r w:rsidRPr="006D0DF5">
        <w:rPr>
          <w:rFonts w:cstheme="minorHAnsi"/>
          <w:sz w:val="24"/>
          <w:szCs w:val="24"/>
        </w:rPr>
        <w:t xml:space="preserve"> and superintendents to </w:t>
      </w:r>
      <w:r w:rsidR="001D0069" w:rsidRPr="006D0DF5">
        <w:rPr>
          <w:rFonts w:cstheme="minorHAnsi"/>
          <w:sz w:val="24"/>
          <w:szCs w:val="24"/>
        </w:rPr>
        <w:t>build upon successes and try out new approaches</w:t>
      </w:r>
      <w:r w:rsidRPr="006D0DF5">
        <w:rPr>
          <w:rFonts w:cstheme="minorHAnsi"/>
          <w:sz w:val="24"/>
          <w:szCs w:val="24"/>
        </w:rPr>
        <w:t>.</w:t>
      </w:r>
      <w:r w:rsidR="00FE7FE8" w:rsidRPr="006D0DF5">
        <w:rPr>
          <w:rFonts w:cstheme="minorHAnsi"/>
          <w:sz w:val="24"/>
          <w:szCs w:val="24"/>
        </w:rPr>
        <w:t xml:space="preserve"> To support this effort, we will create a new </w:t>
      </w:r>
      <w:r w:rsidR="00F72AD1">
        <w:rPr>
          <w:rFonts w:cstheme="minorHAnsi"/>
          <w:sz w:val="24"/>
          <w:szCs w:val="24"/>
        </w:rPr>
        <w:t>team</w:t>
      </w:r>
      <w:r w:rsidR="00FE7FE8" w:rsidRPr="006D0DF5">
        <w:rPr>
          <w:rFonts w:cstheme="minorHAnsi"/>
          <w:sz w:val="24"/>
          <w:szCs w:val="24"/>
        </w:rPr>
        <w:t xml:space="preserve"> within DESE focused on</w:t>
      </w:r>
      <w:r w:rsidR="009322D8" w:rsidRPr="006D0DF5">
        <w:rPr>
          <w:rFonts w:cstheme="minorHAnsi"/>
          <w:sz w:val="24"/>
          <w:szCs w:val="24"/>
        </w:rPr>
        <w:t xml:space="preserve"> guiding and</w:t>
      </w:r>
      <w:r w:rsidR="00FE7FE8" w:rsidRPr="006D0DF5">
        <w:rPr>
          <w:rFonts w:cstheme="minorHAnsi"/>
          <w:sz w:val="24"/>
          <w:szCs w:val="24"/>
        </w:rPr>
        <w:t xml:space="preserve"> supporting KCL participants.</w:t>
      </w:r>
      <w:r w:rsidR="00835E3A" w:rsidRPr="006D0DF5">
        <w:rPr>
          <w:rFonts w:cstheme="minorHAnsi"/>
          <w:sz w:val="24"/>
          <w:szCs w:val="24"/>
        </w:rPr>
        <w:t xml:space="preserve">  This </w:t>
      </w:r>
      <w:r w:rsidR="00F72AD1">
        <w:rPr>
          <w:rFonts w:cstheme="minorHAnsi"/>
          <w:sz w:val="24"/>
          <w:szCs w:val="24"/>
        </w:rPr>
        <w:t>team</w:t>
      </w:r>
      <w:r w:rsidR="00835E3A" w:rsidRPr="006D0DF5">
        <w:rPr>
          <w:rFonts w:cstheme="minorHAnsi"/>
          <w:sz w:val="24"/>
          <w:szCs w:val="24"/>
        </w:rPr>
        <w:t xml:space="preserve"> will partner closely with intermediaries that have a </w:t>
      </w:r>
      <w:r w:rsidR="009322D8" w:rsidRPr="006D0DF5">
        <w:rPr>
          <w:rFonts w:cstheme="minorHAnsi"/>
          <w:sz w:val="24"/>
          <w:szCs w:val="24"/>
        </w:rPr>
        <w:t>successful track record in</w:t>
      </w:r>
      <w:r w:rsidR="00835E3A" w:rsidRPr="006D0DF5">
        <w:rPr>
          <w:rFonts w:cstheme="minorHAnsi"/>
          <w:sz w:val="24"/>
          <w:szCs w:val="24"/>
        </w:rPr>
        <w:t xml:space="preserve"> creating the conditions for deeper learning</w:t>
      </w:r>
      <w:r w:rsidR="009322D8" w:rsidRPr="006D0DF5">
        <w:rPr>
          <w:rFonts w:cstheme="minorHAnsi"/>
          <w:sz w:val="24"/>
          <w:szCs w:val="24"/>
        </w:rPr>
        <w:t xml:space="preserve"> in schools and districts, and will </w:t>
      </w:r>
      <w:r w:rsidR="00272CED" w:rsidRPr="006D0DF5">
        <w:rPr>
          <w:rFonts w:cstheme="minorHAnsi"/>
          <w:sz w:val="24"/>
          <w:szCs w:val="24"/>
        </w:rPr>
        <w:t>connect educators</w:t>
      </w:r>
      <w:r w:rsidR="0056270B" w:rsidRPr="006D0DF5">
        <w:rPr>
          <w:rFonts w:cstheme="minorHAnsi"/>
          <w:sz w:val="24"/>
          <w:szCs w:val="24"/>
        </w:rPr>
        <w:t xml:space="preserve"> and administrators </w:t>
      </w:r>
      <w:r w:rsidR="009322D8" w:rsidRPr="006D0DF5">
        <w:rPr>
          <w:rFonts w:cstheme="minorHAnsi"/>
          <w:sz w:val="24"/>
          <w:szCs w:val="24"/>
        </w:rPr>
        <w:t>who are pursuing similar strategies</w:t>
      </w:r>
      <w:r w:rsidR="00835E3A" w:rsidRPr="006D0DF5">
        <w:rPr>
          <w:rFonts w:cstheme="minorHAnsi"/>
          <w:sz w:val="24"/>
          <w:szCs w:val="24"/>
        </w:rPr>
        <w:t>.</w:t>
      </w:r>
      <w:r w:rsidR="00FE7FE8" w:rsidRPr="006D0DF5">
        <w:rPr>
          <w:rFonts w:cstheme="minorHAnsi"/>
          <w:sz w:val="24"/>
          <w:szCs w:val="24"/>
        </w:rPr>
        <w:t xml:space="preserve"> </w:t>
      </w:r>
      <w:r w:rsidRPr="006D0DF5">
        <w:rPr>
          <w:rFonts w:cstheme="minorHAnsi"/>
          <w:sz w:val="24"/>
          <w:szCs w:val="24"/>
        </w:rPr>
        <w:t xml:space="preserve"> </w:t>
      </w:r>
      <w:r w:rsidR="00E906DF" w:rsidRPr="006D0DF5">
        <w:rPr>
          <w:rFonts w:cstheme="minorHAnsi"/>
          <w:sz w:val="24"/>
          <w:szCs w:val="24"/>
        </w:rPr>
        <w:t xml:space="preserve">Schools and districts </w:t>
      </w:r>
      <w:r w:rsidR="0068383F" w:rsidRPr="006D0DF5">
        <w:rPr>
          <w:rFonts w:cstheme="minorHAnsi"/>
          <w:sz w:val="24"/>
          <w:szCs w:val="24"/>
        </w:rPr>
        <w:t xml:space="preserve">that </w:t>
      </w:r>
      <w:r w:rsidR="00F70582" w:rsidRPr="006D0DF5">
        <w:rPr>
          <w:rFonts w:cstheme="minorHAnsi"/>
          <w:sz w:val="24"/>
          <w:szCs w:val="24"/>
        </w:rPr>
        <w:t>apply to participate</w:t>
      </w:r>
      <w:r w:rsidR="00E906DF" w:rsidRPr="006D0DF5">
        <w:rPr>
          <w:rFonts w:cstheme="minorHAnsi"/>
          <w:sz w:val="24"/>
          <w:szCs w:val="24"/>
        </w:rPr>
        <w:t xml:space="preserve"> in the Kaleidoscope Collective for Learning will have the following common commitments and opportunities:</w:t>
      </w:r>
    </w:p>
    <w:p w14:paraId="247F01A9" w14:textId="77777777" w:rsidR="00E906DF" w:rsidRPr="006D0DF5" w:rsidRDefault="00E906DF" w:rsidP="00C76C30">
      <w:pPr>
        <w:spacing w:after="0" w:line="276" w:lineRule="auto"/>
        <w:rPr>
          <w:rFonts w:cstheme="minorHAnsi"/>
          <w:sz w:val="24"/>
          <w:szCs w:val="24"/>
        </w:rPr>
      </w:pPr>
    </w:p>
    <w:p w14:paraId="376F667E" w14:textId="1CFC7F65" w:rsidR="00E906DF" w:rsidRPr="006D0DF5" w:rsidRDefault="00E906DF" w:rsidP="00C76C30">
      <w:pPr>
        <w:pStyle w:val="ListParagraph"/>
        <w:numPr>
          <w:ilvl w:val="0"/>
          <w:numId w:val="7"/>
        </w:numPr>
        <w:spacing w:after="0" w:line="276" w:lineRule="auto"/>
        <w:rPr>
          <w:rFonts w:cstheme="minorHAnsi"/>
          <w:b/>
          <w:sz w:val="24"/>
          <w:szCs w:val="24"/>
        </w:rPr>
      </w:pPr>
      <w:r w:rsidRPr="006D0DF5">
        <w:rPr>
          <w:rFonts w:cstheme="minorHAnsi"/>
          <w:b/>
          <w:sz w:val="24"/>
          <w:szCs w:val="24"/>
        </w:rPr>
        <w:t>Engaging performance tasks</w:t>
      </w:r>
      <w:r w:rsidRPr="006D0DF5">
        <w:rPr>
          <w:rFonts w:cstheme="minorHAnsi"/>
          <w:sz w:val="24"/>
          <w:szCs w:val="24"/>
        </w:rPr>
        <w:t>.  Kaleidoscope schools and districts will work</w:t>
      </w:r>
      <w:r w:rsidR="00270295" w:rsidRPr="006D0DF5">
        <w:rPr>
          <w:rFonts w:cstheme="minorHAnsi"/>
          <w:sz w:val="24"/>
          <w:szCs w:val="24"/>
        </w:rPr>
        <w:t xml:space="preserve"> to</w:t>
      </w:r>
      <w:r w:rsidRPr="006D0DF5">
        <w:rPr>
          <w:rFonts w:cstheme="minorHAnsi"/>
          <w:sz w:val="24"/>
          <w:szCs w:val="24"/>
        </w:rPr>
        <w:t xml:space="preserve"> increase the time students spend learning </w:t>
      </w:r>
      <w:r w:rsidR="00270295" w:rsidRPr="006D0DF5">
        <w:rPr>
          <w:rFonts w:cstheme="minorHAnsi"/>
          <w:sz w:val="24"/>
          <w:szCs w:val="24"/>
        </w:rPr>
        <w:t>and demonstrating their knowledge through</w:t>
      </w:r>
      <w:r w:rsidRPr="006D0DF5">
        <w:rPr>
          <w:rFonts w:cstheme="minorHAnsi"/>
          <w:sz w:val="24"/>
          <w:szCs w:val="24"/>
        </w:rPr>
        <w:t xml:space="preserve"> highly</w:t>
      </w:r>
      <w:r w:rsidR="009A4F23" w:rsidRPr="006D0DF5">
        <w:rPr>
          <w:rFonts w:cstheme="minorHAnsi"/>
          <w:sz w:val="24"/>
          <w:szCs w:val="24"/>
        </w:rPr>
        <w:t xml:space="preserve"> </w:t>
      </w:r>
      <w:r w:rsidRPr="006D0DF5">
        <w:rPr>
          <w:rFonts w:cstheme="minorHAnsi"/>
          <w:sz w:val="24"/>
          <w:szCs w:val="24"/>
        </w:rPr>
        <w:t>engaging, applied</w:t>
      </w:r>
      <w:r w:rsidR="0056270B" w:rsidRPr="006D0DF5">
        <w:rPr>
          <w:rFonts w:cstheme="minorHAnsi"/>
          <w:sz w:val="24"/>
          <w:szCs w:val="24"/>
        </w:rPr>
        <w:t>,</w:t>
      </w:r>
      <w:r w:rsidRPr="006D0DF5">
        <w:rPr>
          <w:rFonts w:cstheme="minorHAnsi"/>
          <w:sz w:val="24"/>
          <w:szCs w:val="24"/>
        </w:rPr>
        <w:t xml:space="preserve"> and relevant tasks and activities.  These tasks must be rigorous, standards-aligned, an</w:t>
      </w:r>
      <w:r w:rsidR="00270295" w:rsidRPr="006D0DF5">
        <w:rPr>
          <w:rFonts w:cstheme="minorHAnsi"/>
          <w:sz w:val="24"/>
          <w:szCs w:val="24"/>
        </w:rPr>
        <w:t xml:space="preserve">d built on a foundational, </w:t>
      </w:r>
      <w:r w:rsidR="0068383F" w:rsidRPr="006D0DF5">
        <w:rPr>
          <w:rFonts w:cstheme="minorHAnsi"/>
          <w:sz w:val="24"/>
          <w:szCs w:val="24"/>
        </w:rPr>
        <w:t>high-</w:t>
      </w:r>
      <w:r w:rsidRPr="006D0DF5">
        <w:rPr>
          <w:rFonts w:cstheme="minorHAnsi"/>
          <w:sz w:val="24"/>
          <w:szCs w:val="24"/>
        </w:rPr>
        <w:t xml:space="preserve">quality curriculum that supports high expectations for all students.  </w:t>
      </w:r>
      <w:r w:rsidR="0068383F" w:rsidRPr="006D0DF5">
        <w:rPr>
          <w:rFonts w:cstheme="minorHAnsi"/>
          <w:sz w:val="24"/>
          <w:szCs w:val="24"/>
        </w:rPr>
        <w:t>T</w:t>
      </w:r>
      <w:r w:rsidRPr="006D0DF5">
        <w:rPr>
          <w:rFonts w:cstheme="minorHAnsi"/>
          <w:sz w:val="24"/>
          <w:szCs w:val="24"/>
        </w:rPr>
        <w:t xml:space="preserve">hey must ask students to demonstrate essential skills, such as critical thinking and collaboration, in addition to mastery of content.  </w:t>
      </w:r>
      <w:r w:rsidR="00F9246F" w:rsidRPr="006D0DF5">
        <w:rPr>
          <w:rFonts w:cstheme="minorHAnsi"/>
          <w:sz w:val="24"/>
          <w:szCs w:val="24"/>
        </w:rPr>
        <w:t>Districts and schools</w:t>
      </w:r>
      <w:r w:rsidRPr="006D0DF5">
        <w:rPr>
          <w:rFonts w:cstheme="minorHAnsi"/>
          <w:sz w:val="24"/>
          <w:szCs w:val="24"/>
        </w:rPr>
        <w:t xml:space="preserve"> will have the opportunity to pilot a priority set of “transformative tasks” developed by educators across the Commonwealth (see next section, below)</w:t>
      </w:r>
      <w:r w:rsidR="00270295" w:rsidRPr="006D0DF5">
        <w:rPr>
          <w:rFonts w:cstheme="minorHAnsi"/>
          <w:sz w:val="24"/>
          <w:szCs w:val="24"/>
        </w:rPr>
        <w:t>, adopt vetted partner-created tasks,</w:t>
      </w:r>
      <w:r w:rsidRPr="006D0DF5">
        <w:rPr>
          <w:rFonts w:cstheme="minorHAnsi"/>
          <w:sz w:val="24"/>
          <w:szCs w:val="24"/>
        </w:rPr>
        <w:t xml:space="preserve"> </w:t>
      </w:r>
      <w:r w:rsidR="0068383F" w:rsidRPr="006D0DF5">
        <w:rPr>
          <w:rFonts w:cstheme="minorHAnsi"/>
          <w:sz w:val="24"/>
          <w:szCs w:val="24"/>
        </w:rPr>
        <w:t xml:space="preserve">and </w:t>
      </w:r>
      <w:r w:rsidR="00906AC2" w:rsidRPr="006D0DF5">
        <w:rPr>
          <w:rFonts w:cstheme="minorHAnsi"/>
          <w:sz w:val="24"/>
          <w:szCs w:val="24"/>
        </w:rPr>
        <w:t xml:space="preserve">receive professional development to </w:t>
      </w:r>
      <w:r w:rsidR="00270295" w:rsidRPr="006D0DF5">
        <w:rPr>
          <w:rFonts w:cstheme="minorHAnsi"/>
          <w:sz w:val="24"/>
          <w:szCs w:val="24"/>
        </w:rPr>
        <w:t>design their</w:t>
      </w:r>
      <w:r w:rsidRPr="006D0DF5">
        <w:rPr>
          <w:rFonts w:cstheme="minorHAnsi"/>
          <w:sz w:val="24"/>
          <w:szCs w:val="24"/>
        </w:rPr>
        <w:t xml:space="preserve"> own high-quality tasks. </w:t>
      </w:r>
    </w:p>
    <w:p w14:paraId="47BBCF28" w14:textId="77777777" w:rsidR="00E906DF" w:rsidRPr="006D0DF5" w:rsidRDefault="00E906DF" w:rsidP="00C76C30">
      <w:pPr>
        <w:pStyle w:val="ListParagraph"/>
        <w:spacing w:after="0" w:line="276" w:lineRule="auto"/>
        <w:rPr>
          <w:rFonts w:cstheme="minorHAnsi"/>
          <w:sz w:val="24"/>
          <w:szCs w:val="24"/>
        </w:rPr>
      </w:pPr>
    </w:p>
    <w:p w14:paraId="0B071424" w14:textId="203F6251" w:rsidR="00E906DF" w:rsidRPr="006D0DF5" w:rsidRDefault="00E906DF" w:rsidP="00C76C30">
      <w:pPr>
        <w:pStyle w:val="ListParagraph"/>
        <w:numPr>
          <w:ilvl w:val="0"/>
          <w:numId w:val="5"/>
        </w:numPr>
        <w:spacing w:after="0" w:line="276" w:lineRule="auto"/>
        <w:rPr>
          <w:rFonts w:cstheme="minorHAnsi"/>
          <w:sz w:val="24"/>
          <w:szCs w:val="24"/>
        </w:rPr>
      </w:pPr>
      <w:r w:rsidRPr="006D0DF5">
        <w:rPr>
          <w:rFonts w:cstheme="minorHAnsi"/>
          <w:b/>
          <w:sz w:val="24"/>
          <w:szCs w:val="24"/>
        </w:rPr>
        <w:t>Innovative assessment design</w:t>
      </w:r>
      <w:r w:rsidRPr="006D0DF5">
        <w:rPr>
          <w:rFonts w:cstheme="minorHAnsi"/>
          <w:sz w:val="24"/>
          <w:szCs w:val="24"/>
        </w:rPr>
        <w:t xml:space="preserve">. Kaleidoscope participants will work with DESE on new performance-based tests and pilot other ideas for broader and deeper measures of student learning and school outcomes.  The NAEP, through its new Technology &amp; Engineering Literacy Assessment, and PISA are already beginning to create forward-looking assessments that address deeper, applied learning.  Kaleidoscope schools and districts will partner with DESE to help Massachusetts respond to this shift.  </w:t>
      </w:r>
      <w:r w:rsidR="00575AD9" w:rsidRPr="006D0DF5">
        <w:rPr>
          <w:rFonts w:cstheme="minorHAnsi"/>
          <w:sz w:val="24"/>
          <w:szCs w:val="24"/>
        </w:rPr>
        <w:t>While schools will be encouraged to pursue deeper learning across all subject areas, w</w:t>
      </w:r>
      <w:r w:rsidRPr="006D0DF5">
        <w:rPr>
          <w:rFonts w:cstheme="minorHAnsi"/>
          <w:sz w:val="24"/>
          <w:szCs w:val="24"/>
        </w:rPr>
        <w:t xml:space="preserve">e will focus initially on designing new performance-based assessments in history/civics/social studies and </w:t>
      </w:r>
      <w:r w:rsidRPr="006D0DF5">
        <w:rPr>
          <w:rFonts w:cstheme="minorHAnsi"/>
          <w:sz w:val="24"/>
          <w:szCs w:val="24"/>
        </w:rPr>
        <w:lastRenderedPageBreak/>
        <w:t xml:space="preserve">technology and engineering. </w:t>
      </w:r>
      <w:r w:rsidR="00BC45BF" w:rsidRPr="006D0DF5">
        <w:rPr>
          <w:rFonts w:cstheme="minorHAnsi"/>
          <w:sz w:val="24"/>
          <w:szCs w:val="24"/>
        </w:rPr>
        <w:t xml:space="preserve"> </w:t>
      </w:r>
      <w:r w:rsidR="00F9246F" w:rsidRPr="006D0DF5">
        <w:rPr>
          <w:rFonts w:cstheme="minorHAnsi"/>
          <w:sz w:val="24"/>
          <w:szCs w:val="24"/>
        </w:rPr>
        <w:t>We will also explore other</w:t>
      </w:r>
      <w:r w:rsidR="00BC45BF" w:rsidRPr="006D0DF5">
        <w:rPr>
          <w:rFonts w:cstheme="minorHAnsi"/>
          <w:sz w:val="24"/>
          <w:szCs w:val="24"/>
        </w:rPr>
        <w:t xml:space="preserve"> important measures such as student engagement in school and the community, and student valuing of learning. </w:t>
      </w:r>
    </w:p>
    <w:p w14:paraId="299C5E0E" w14:textId="77777777" w:rsidR="00E906DF" w:rsidRPr="006D0DF5" w:rsidRDefault="00E906DF" w:rsidP="00C76C30">
      <w:pPr>
        <w:pStyle w:val="ListParagraph"/>
        <w:spacing w:after="0" w:line="276" w:lineRule="auto"/>
        <w:rPr>
          <w:rFonts w:cstheme="minorHAnsi"/>
          <w:sz w:val="24"/>
          <w:szCs w:val="24"/>
        </w:rPr>
      </w:pPr>
    </w:p>
    <w:p w14:paraId="6ED102AB" w14:textId="1DAFFD97" w:rsidR="00E906DF" w:rsidRPr="006D0DF5" w:rsidRDefault="00E906DF" w:rsidP="00C76C30">
      <w:pPr>
        <w:pStyle w:val="ListParagraph"/>
        <w:numPr>
          <w:ilvl w:val="0"/>
          <w:numId w:val="5"/>
        </w:numPr>
        <w:spacing w:after="0" w:line="276" w:lineRule="auto"/>
        <w:rPr>
          <w:rFonts w:cstheme="minorHAnsi"/>
          <w:sz w:val="24"/>
          <w:szCs w:val="24"/>
        </w:rPr>
      </w:pPr>
      <w:r w:rsidRPr="006D0DF5">
        <w:rPr>
          <w:rFonts w:cstheme="minorHAnsi"/>
          <w:b/>
          <w:sz w:val="24"/>
          <w:szCs w:val="24"/>
        </w:rPr>
        <w:t>Increased district and school flexibilities.</w:t>
      </w:r>
      <w:r w:rsidRPr="006D0DF5">
        <w:rPr>
          <w:rFonts w:cstheme="minorHAnsi"/>
          <w:sz w:val="24"/>
          <w:szCs w:val="24"/>
        </w:rPr>
        <w:t xml:space="preserve">  DESE will support Kaleidoscope sites in navigating DESE regulations</w:t>
      </w:r>
      <w:r w:rsidR="00F9246F" w:rsidRPr="006D0DF5">
        <w:rPr>
          <w:rFonts w:cstheme="minorHAnsi"/>
          <w:sz w:val="24"/>
          <w:szCs w:val="24"/>
        </w:rPr>
        <w:t xml:space="preserve"> and policies</w:t>
      </w:r>
      <w:r w:rsidRPr="006D0DF5">
        <w:rPr>
          <w:rFonts w:cstheme="minorHAnsi"/>
          <w:sz w:val="24"/>
          <w:szCs w:val="24"/>
        </w:rPr>
        <w:t xml:space="preserve">, including creating new areas of flexibility to support </w:t>
      </w:r>
      <w:r w:rsidR="00575AD9" w:rsidRPr="006D0DF5">
        <w:rPr>
          <w:rFonts w:cstheme="minorHAnsi"/>
          <w:sz w:val="24"/>
          <w:szCs w:val="24"/>
        </w:rPr>
        <w:t>the shift to deeper learning</w:t>
      </w:r>
      <w:r w:rsidRPr="006D0DF5">
        <w:rPr>
          <w:rFonts w:cstheme="minorHAnsi"/>
          <w:sz w:val="24"/>
          <w:szCs w:val="24"/>
        </w:rPr>
        <w:t>. As we learn what practitioners need to meet their</w:t>
      </w:r>
      <w:r w:rsidR="00575AD9" w:rsidRPr="006D0DF5">
        <w:rPr>
          <w:rFonts w:cstheme="minorHAnsi"/>
          <w:sz w:val="24"/>
          <w:szCs w:val="24"/>
        </w:rPr>
        <w:t xml:space="preserve"> </w:t>
      </w:r>
      <w:r w:rsidRPr="006D0DF5">
        <w:rPr>
          <w:rFonts w:cstheme="minorHAnsi"/>
          <w:sz w:val="24"/>
          <w:szCs w:val="24"/>
        </w:rPr>
        <w:t xml:space="preserve">objectives, DESE will </w:t>
      </w:r>
      <w:r w:rsidR="00F9246F" w:rsidRPr="006D0DF5">
        <w:rPr>
          <w:rFonts w:cstheme="minorHAnsi"/>
          <w:sz w:val="24"/>
          <w:szCs w:val="24"/>
        </w:rPr>
        <w:t>make</w:t>
      </w:r>
      <w:r w:rsidRPr="006D0DF5">
        <w:rPr>
          <w:rFonts w:cstheme="minorHAnsi"/>
          <w:sz w:val="24"/>
          <w:szCs w:val="24"/>
        </w:rPr>
        <w:t xml:space="preserve"> new approaches </w:t>
      </w:r>
      <w:r w:rsidR="00F9246F" w:rsidRPr="006D0DF5">
        <w:rPr>
          <w:rFonts w:cstheme="minorHAnsi"/>
          <w:sz w:val="24"/>
          <w:szCs w:val="24"/>
        </w:rPr>
        <w:t>available</w:t>
      </w:r>
      <w:r w:rsidRPr="006D0DF5">
        <w:rPr>
          <w:rFonts w:cstheme="minorHAnsi"/>
          <w:sz w:val="24"/>
          <w:szCs w:val="24"/>
        </w:rPr>
        <w:t xml:space="preserve"> statewide. </w:t>
      </w:r>
    </w:p>
    <w:p w14:paraId="6360542D" w14:textId="77777777" w:rsidR="00E906DF" w:rsidRPr="006D0DF5" w:rsidRDefault="00E906DF" w:rsidP="00C76C30">
      <w:pPr>
        <w:pStyle w:val="ListParagraph"/>
        <w:spacing w:after="0" w:line="276" w:lineRule="auto"/>
        <w:rPr>
          <w:rFonts w:cstheme="minorHAnsi"/>
          <w:sz w:val="24"/>
          <w:szCs w:val="24"/>
        </w:rPr>
      </w:pPr>
    </w:p>
    <w:p w14:paraId="018A3E82" w14:textId="2A8E9901" w:rsidR="00E906DF" w:rsidRPr="006D0DF5" w:rsidRDefault="00E906DF" w:rsidP="00C76C30">
      <w:pPr>
        <w:pStyle w:val="ListParagraph"/>
        <w:numPr>
          <w:ilvl w:val="0"/>
          <w:numId w:val="5"/>
        </w:numPr>
        <w:spacing w:after="0" w:line="276" w:lineRule="auto"/>
        <w:rPr>
          <w:rFonts w:cstheme="minorHAnsi"/>
          <w:sz w:val="24"/>
          <w:szCs w:val="24"/>
        </w:rPr>
      </w:pPr>
      <w:r w:rsidRPr="006D0DF5">
        <w:rPr>
          <w:rFonts w:cstheme="minorHAnsi"/>
          <w:b/>
          <w:sz w:val="24"/>
          <w:szCs w:val="24"/>
        </w:rPr>
        <w:t>Resources and support.</w:t>
      </w:r>
      <w:r w:rsidRPr="006D0DF5">
        <w:rPr>
          <w:rFonts w:cstheme="minorHAnsi"/>
          <w:sz w:val="24"/>
          <w:szCs w:val="24"/>
        </w:rPr>
        <w:t xml:space="preserve">  DESE will provide funding and resources for Kaleidoscope sites as well as regular opportunities </w:t>
      </w:r>
      <w:r w:rsidR="0068383F" w:rsidRPr="006D0DF5">
        <w:rPr>
          <w:rFonts w:cstheme="minorHAnsi"/>
          <w:sz w:val="24"/>
          <w:szCs w:val="24"/>
        </w:rPr>
        <w:t xml:space="preserve">for </w:t>
      </w:r>
      <w:r w:rsidRPr="006D0DF5">
        <w:rPr>
          <w:rFonts w:cstheme="minorHAnsi"/>
          <w:sz w:val="24"/>
          <w:szCs w:val="24"/>
        </w:rPr>
        <w:t>network-wide sharing.  Schools and districts can request grant funds to support their plans, including teacher planning stipends and technical assistance partners.</w:t>
      </w:r>
    </w:p>
    <w:p w14:paraId="2F8CB3E1" w14:textId="77777777" w:rsidR="00F86EBF" w:rsidRPr="006D0DF5" w:rsidRDefault="00F86EBF" w:rsidP="00C76C30">
      <w:pPr>
        <w:pStyle w:val="ListParagraph"/>
        <w:spacing w:after="0"/>
        <w:rPr>
          <w:rFonts w:cstheme="minorHAnsi"/>
          <w:sz w:val="24"/>
          <w:szCs w:val="24"/>
        </w:rPr>
      </w:pPr>
    </w:p>
    <w:p w14:paraId="43DD907C" w14:textId="0A4E2D68" w:rsidR="00F86EBF" w:rsidRPr="00E35B1B" w:rsidRDefault="00F86EBF" w:rsidP="00C76C30">
      <w:pPr>
        <w:spacing w:after="0" w:line="276" w:lineRule="auto"/>
        <w:rPr>
          <w:rFonts w:cstheme="minorHAnsi"/>
          <w:b/>
          <w:bCs/>
          <w:sz w:val="24"/>
          <w:szCs w:val="24"/>
        </w:rPr>
      </w:pPr>
      <w:r w:rsidRPr="006D0DF5">
        <w:rPr>
          <w:rFonts w:cstheme="minorHAnsi"/>
          <w:sz w:val="24"/>
          <w:szCs w:val="24"/>
        </w:rPr>
        <w:t xml:space="preserve">The application for the first cohort of the KCL Schools and Districts Network will be available this fall, with selection and launch </w:t>
      </w:r>
      <w:r w:rsidR="00BC10A0" w:rsidRPr="006D0DF5">
        <w:rPr>
          <w:rFonts w:cstheme="minorHAnsi"/>
          <w:sz w:val="24"/>
          <w:szCs w:val="24"/>
        </w:rPr>
        <w:t>in</w:t>
      </w:r>
      <w:r w:rsidRPr="006D0DF5">
        <w:rPr>
          <w:rFonts w:cstheme="minorHAnsi"/>
          <w:sz w:val="24"/>
          <w:szCs w:val="24"/>
        </w:rPr>
        <w:t xml:space="preserve"> </w:t>
      </w:r>
      <w:r w:rsidR="0056270B" w:rsidRPr="006D0DF5">
        <w:rPr>
          <w:rFonts w:cstheme="minorHAnsi"/>
          <w:sz w:val="24"/>
          <w:szCs w:val="24"/>
        </w:rPr>
        <w:t>w</w:t>
      </w:r>
      <w:r w:rsidRPr="006D0DF5">
        <w:rPr>
          <w:rFonts w:cstheme="minorHAnsi"/>
          <w:sz w:val="24"/>
          <w:szCs w:val="24"/>
        </w:rPr>
        <w:t>inter 2020.  In July</w:t>
      </w:r>
      <w:r w:rsidR="0028592D" w:rsidRPr="006D0DF5">
        <w:rPr>
          <w:rFonts w:cstheme="minorHAnsi"/>
          <w:sz w:val="24"/>
          <w:szCs w:val="24"/>
        </w:rPr>
        <w:t xml:space="preserve"> 2019</w:t>
      </w:r>
      <w:r w:rsidRPr="006D0DF5">
        <w:rPr>
          <w:rFonts w:cstheme="minorHAnsi"/>
          <w:sz w:val="24"/>
          <w:szCs w:val="24"/>
        </w:rPr>
        <w:t xml:space="preserve">, we </w:t>
      </w:r>
      <w:r w:rsidR="002124BA">
        <w:rPr>
          <w:rFonts w:cstheme="minorHAnsi"/>
          <w:sz w:val="24"/>
          <w:szCs w:val="24"/>
        </w:rPr>
        <w:t>will solicit</w:t>
      </w:r>
      <w:r w:rsidRPr="006D0DF5">
        <w:rPr>
          <w:rFonts w:cstheme="minorHAnsi"/>
          <w:sz w:val="24"/>
          <w:szCs w:val="24"/>
        </w:rPr>
        <w:t xml:space="preserve"> letter</w:t>
      </w:r>
      <w:r w:rsidR="002124BA">
        <w:rPr>
          <w:rFonts w:cstheme="minorHAnsi"/>
          <w:sz w:val="24"/>
          <w:szCs w:val="24"/>
        </w:rPr>
        <w:t>s</w:t>
      </w:r>
      <w:r w:rsidRPr="006D0DF5">
        <w:rPr>
          <w:rFonts w:cstheme="minorHAnsi"/>
          <w:sz w:val="24"/>
          <w:szCs w:val="24"/>
        </w:rPr>
        <w:t xml:space="preserve"> of interest to gather an initial understanding of the number of schools and districts </w:t>
      </w:r>
      <w:r w:rsidR="000F4914" w:rsidRPr="006D0DF5">
        <w:rPr>
          <w:rFonts w:cstheme="minorHAnsi"/>
          <w:sz w:val="24"/>
          <w:szCs w:val="24"/>
        </w:rPr>
        <w:t xml:space="preserve">that </w:t>
      </w:r>
      <w:r w:rsidRPr="006D0DF5">
        <w:rPr>
          <w:rFonts w:cstheme="minorHAnsi"/>
          <w:sz w:val="24"/>
          <w:szCs w:val="24"/>
        </w:rPr>
        <w:t xml:space="preserve">may apply to participate. </w:t>
      </w:r>
      <w:r w:rsidR="009954F2" w:rsidRPr="006D0DF5">
        <w:rPr>
          <w:rFonts w:cstheme="minorHAnsi"/>
          <w:sz w:val="24"/>
          <w:szCs w:val="24"/>
        </w:rPr>
        <w:t xml:space="preserve"> </w:t>
      </w:r>
      <w:r w:rsidR="00BC10A0" w:rsidRPr="006D0DF5">
        <w:rPr>
          <w:rFonts w:cstheme="minorHAnsi"/>
          <w:sz w:val="24"/>
          <w:szCs w:val="24"/>
        </w:rPr>
        <w:t xml:space="preserve">The selected pilot cohort will serve diverse student populations and geographic regions, with traditional public schools, vocational technical and/or </w:t>
      </w:r>
      <w:r w:rsidR="00BC10A0" w:rsidRPr="00E35B1B">
        <w:rPr>
          <w:rFonts w:cstheme="minorHAnsi"/>
          <w:sz w:val="24"/>
          <w:szCs w:val="24"/>
        </w:rPr>
        <w:t>agricultural schools, charter schools, collaboratives, and adult education centers all encouraged to apply.</w:t>
      </w:r>
    </w:p>
    <w:p w14:paraId="25FCD0E8" w14:textId="77777777" w:rsidR="00F86EBF" w:rsidRPr="00E35B1B" w:rsidRDefault="00F86EBF" w:rsidP="00C76C30">
      <w:pPr>
        <w:spacing w:after="0" w:line="276" w:lineRule="auto"/>
        <w:rPr>
          <w:rFonts w:cstheme="minorHAnsi"/>
          <w:sz w:val="24"/>
          <w:szCs w:val="24"/>
        </w:rPr>
      </w:pPr>
    </w:p>
    <w:p w14:paraId="6EE72CFE" w14:textId="4642E03A" w:rsidR="00F86EBF" w:rsidRPr="006D0DF5" w:rsidRDefault="00F86EBF" w:rsidP="00C76C30">
      <w:pPr>
        <w:spacing w:after="0" w:line="276" w:lineRule="auto"/>
        <w:rPr>
          <w:rFonts w:cstheme="minorHAnsi"/>
          <w:sz w:val="24"/>
          <w:szCs w:val="24"/>
        </w:rPr>
      </w:pPr>
      <w:r w:rsidRPr="00E35B1B">
        <w:rPr>
          <w:rFonts w:cstheme="minorHAnsi"/>
          <w:sz w:val="24"/>
          <w:szCs w:val="24"/>
        </w:rPr>
        <w:t>In the initial pilot group for the KCL, we will look to include a handful of districts that have already taken steps towards a deeper</w:t>
      </w:r>
      <w:r w:rsidR="00270295" w:rsidRPr="00E35B1B">
        <w:rPr>
          <w:rFonts w:cstheme="minorHAnsi"/>
          <w:sz w:val="24"/>
          <w:szCs w:val="24"/>
        </w:rPr>
        <w:t xml:space="preserve"> </w:t>
      </w:r>
      <w:r w:rsidRPr="00E35B1B">
        <w:rPr>
          <w:rFonts w:cstheme="minorHAnsi"/>
          <w:sz w:val="24"/>
          <w:szCs w:val="24"/>
        </w:rPr>
        <w:t>learning approach and a larger number of individ</w:t>
      </w:r>
      <w:r w:rsidRPr="006D0DF5">
        <w:rPr>
          <w:rFonts w:cstheme="minorHAnsi"/>
          <w:sz w:val="24"/>
          <w:szCs w:val="24"/>
        </w:rPr>
        <w:t xml:space="preserve">ual schools that have demonstrated readiness to move in this direction.  In addition, depending on the volume of interest, we may designate a group of “priority pipeline” schools for future cohorts of the KCL.  These schools would join the larger group of Kaleidoscope sites in </w:t>
      </w:r>
      <w:r w:rsidR="00F9246F" w:rsidRPr="006D0DF5">
        <w:rPr>
          <w:rFonts w:cstheme="minorHAnsi"/>
          <w:sz w:val="24"/>
          <w:szCs w:val="24"/>
        </w:rPr>
        <w:t>the first cohort</w:t>
      </w:r>
      <w:r w:rsidRPr="006D0DF5">
        <w:rPr>
          <w:rFonts w:cstheme="minorHAnsi"/>
          <w:sz w:val="24"/>
          <w:szCs w:val="24"/>
        </w:rPr>
        <w:t xml:space="preserve"> in piloting performance tasks and strengthening their curricula and would be well-positioned to join future KCL cohorts as full members.  </w:t>
      </w:r>
      <w:r w:rsidR="00BC10A0" w:rsidRPr="006D0DF5">
        <w:rPr>
          <w:rFonts w:cstheme="minorHAnsi"/>
          <w:sz w:val="24"/>
          <w:szCs w:val="24"/>
        </w:rPr>
        <w:t xml:space="preserve">We plan to launch the next cohort in </w:t>
      </w:r>
      <w:r w:rsidR="0056270B" w:rsidRPr="006D0DF5">
        <w:rPr>
          <w:rFonts w:cstheme="minorHAnsi"/>
          <w:sz w:val="24"/>
          <w:szCs w:val="24"/>
        </w:rPr>
        <w:t>f</w:t>
      </w:r>
      <w:r w:rsidR="00BC10A0" w:rsidRPr="006D0DF5">
        <w:rPr>
          <w:rFonts w:cstheme="minorHAnsi"/>
          <w:sz w:val="24"/>
          <w:szCs w:val="24"/>
        </w:rPr>
        <w:t xml:space="preserve">all 2021 and subsequent cohorts thereafter.  In addition, we will find ways to regularly share the work of the KCL with the </w:t>
      </w:r>
      <w:r w:rsidR="00F9246F" w:rsidRPr="006D0DF5">
        <w:rPr>
          <w:rFonts w:cstheme="minorHAnsi"/>
          <w:sz w:val="24"/>
          <w:szCs w:val="24"/>
        </w:rPr>
        <w:t>broader</w:t>
      </w:r>
      <w:r w:rsidR="00BC10A0" w:rsidRPr="006D0DF5">
        <w:rPr>
          <w:rFonts w:cstheme="minorHAnsi"/>
          <w:sz w:val="24"/>
          <w:szCs w:val="24"/>
        </w:rPr>
        <w:t xml:space="preserve"> Massachusetts education community. </w:t>
      </w:r>
    </w:p>
    <w:p w14:paraId="35B60EE0" w14:textId="77777777" w:rsidR="00BC10A0" w:rsidRPr="006D0DF5" w:rsidRDefault="00BC10A0" w:rsidP="00C76C30">
      <w:pPr>
        <w:spacing w:after="0" w:line="276" w:lineRule="auto"/>
        <w:rPr>
          <w:rFonts w:cstheme="minorHAnsi"/>
          <w:sz w:val="24"/>
          <w:szCs w:val="24"/>
        </w:rPr>
      </w:pPr>
    </w:p>
    <w:p w14:paraId="246571EE" w14:textId="166977D2" w:rsidR="00403513" w:rsidRPr="006D0DF5" w:rsidRDefault="00BC10A0" w:rsidP="00C76C30">
      <w:pPr>
        <w:spacing w:after="0" w:line="276" w:lineRule="auto"/>
        <w:rPr>
          <w:rFonts w:cstheme="minorHAnsi"/>
          <w:sz w:val="24"/>
          <w:szCs w:val="24"/>
        </w:rPr>
      </w:pPr>
      <w:r w:rsidRPr="006D0DF5">
        <w:rPr>
          <w:rFonts w:cstheme="minorHAnsi"/>
          <w:sz w:val="24"/>
          <w:szCs w:val="24"/>
        </w:rPr>
        <w:t>As part of the application process this fall, we will</w:t>
      </w:r>
      <w:r w:rsidR="000B1781" w:rsidRPr="006D0DF5">
        <w:rPr>
          <w:rFonts w:cstheme="minorHAnsi"/>
          <w:sz w:val="24"/>
          <w:szCs w:val="24"/>
        </w:rPr>
        <w:t xml:space="preserve"> </w:t>
      </w:r>
      <w:r w:rsidRPr="006D0DF5">
        <w:rPr>
          <w:rFonts w:cstheme="minorHAnsi"/>
          <w:sz w:val="24"/>
          <w:szCs w:val="24"/>
        </w:rPr>
        <w:t>ask interested districts and schools</w:t>
      </w:r>
      <w:r w:rsidR="00835E3A" w:rsidRPr="006D0DF5">
        <w:rPr>
          <w:rFonts w:cstheme="minorHAnsi"/>
          <w:sz w:val="24"/>
          <w:szCs w:val="24"/>
        </w:rPr>
        <w:t xml:space="preserve"> </w:t>
      </w:r>
      <w:r w:rsidR="0056270B" w:rsidRPr="006D0DF5">
        <w:rPr>
          <w:rFonts w:cstheme="minorHAnsi"/>
          <w:sz w:val="24"/>
          <w:szCs w:val="24"/>
        </w:rPr>
        <w:t xml:space="preserve">to </w:t>
      </w:r>
      <w:r w:rsidR="00835E3A" w:rsidRPr="006D0DF5">
        <w:rPr>
          <w:rFonts w:cstheme="minorHAnsi"/>
          <w:sz w:val="24"/>
          <w:szCs w:val="24"/>
        </w:rPr>
        <w:t>collaborat</w:t>
      </w:r>
      <w:r w:rsidR="0056270B" w:rsidRPr="006D0DF5">
        <w:rPr>
          <w:rFonts w:cstheme="minorHAnsi"/>
          <w:sz w:val="24"/>
          <w:szCs w:val="24"/>
        </w:rPr>
        <w:t>e</w:t>
      </w:r>
      <w:r w:rsidR="00835E3A" w:rsidRPr="006D0DF5">
        <w:rPr>
          <w:rFonts w:cstheme="minorHAnsi"/>
          <w:sz w:val="24"/>
          <w:szCs w:val="24"/>
        </w:rPr>
        <w:t xml:space="preserve"> with local stakeholders, such </w:t>
      </w:r>
      <w:r w:rsidRPr="006D0DF5">
        <w:rPr>
          <w:rFonts w:cstheme="minorHAnsi"/>
          <w:sz w:val="24"/>
          <w:szCs w:val="24"/>
        </w:rPr>
        <w:t>school committees, parent organizations, student councils, teachers</w:t>
      </w:r>
      <w:r w:rsidR="00350349" w:rsidRPr="006D0DF5">
        <w:rPr>
          <w:rFonts w:cstheme="minorHAnsi"/>
          <w:sz w:val="24"/>
          <w:szCs w:val="24"/>
        </w:rPr>
        <w:t>’</w:t>
      </w:r>
      <w:r w:rsidRPr="006D0DF5">
        <w:rPr>
          <w:rFonts w:cstheme="minorHAnsi"/>
          <w:sz w:val="24"/>
          <w:szCs w:val="24"/>
        </w:rPr>
        <w:t xml:space="preserve"> unions</w:t>
      </w:r>
      <w:r w:rsidR="00835E3A" w:rsidRPr="006D0DF5">
        <w:rPr>
          <w:rFonts w:cstheme="minorHAnsi"/>
          <w:sz w:val="24"/>
          <w:szCs w:val="24"/>
        </w:rPr>
        <w:t>, and other partners, as they prepare their applications</w:t>
      </w:r>
      <w:r w:rsidR="0056270B" w:rsidRPr="006D0DF5">
        <w:rPr>
          <w:rFonts w:cstheme="minorHAnsi"/>
          <w:sz w:val="24"/>
          <w:szCs w:val="24"/>
        </w:rPr>
        <w:t xml:space="preserve">.  </w:t>
      </w:r>
      <w:r w:rsidRPr="006D0DF5">
        <w:rPr>
          <w:rFonts w:cstheme="minorHAnsi"/>
          <w:sz w:val="24"/>
          <w:szCs w:val="24"/>
        </w:rPr>
        <w:t xml:space="preserve">The application will </w:t>
      </w:r>
      <w:r w:rsidR="00350349" w:rsidRPr="006D0DF5">
        <w:rPr>
          <w:rFonts w:cstheme="minorHAnsi"/>
          <w:sz w:val="24"/>
          <w:szCs w:val="24"/>
        </w:rPr>
        <w:t>include information about</w:t>
      </w:r>
      <w:r w:rsidR="00311C41" w:rsidRPr="006D0DF5">
        <w:rPr>
          <w:rFonts w:cstheme="minorHAnsi"/>
          <w:sz w:val="24"/>
          <w:szCs w:val="24"/>
        </w:rPr>
        <w:t xml:space="preserve"> </w:t>
      </w:r>
      <w:r w:rsidRPr="006D0DF5">
        <w:rPr>
          <w:rFonts w:cstheme="minorHAnsi"/>
          <w:sz w:val="24"/>
          <w:szCs w:val="24"/>
        </w:rPr>
        <w:t xml:space="preserve">participant commitments that can be shared with stakeholders to </w:t>
      </w:r>
      <w:r w:rsidR="009A4F23" w:rsidRPr="006D0DF5">
        <w:rPr>
          <w:rFonts w:cstheme="minorHAnsi"/>
          <w:sz w:val="24"/>
          <w:szCs w:val="24"/>
        </w:rPr>
        <w:t>guide local school and district decisions about whether to apply.</w:t>
      </w:r>
    </w:p>
    <w:p w14:paraId="21292BA0" w14:textId="77777777" w:rsidR="00E35B1B" w:rsidRDefault="00E35B1B" w:rsidP="00C76C30">
      <w:pPr>
        <w:spacing w:after="0" w:line="276" w:lineRule="auto"/>
        <w:rPr>
          <w:rFonts w:cstheme="minorHAnsi"/>
          <w:b/>
          <w:iCs/>
          <w:color w:val="2F5496" w:themeColor="accent1" w:themeShade="BF"/>
          <w:sz w:val="24"/>
          <w:szCs w:val="24"/>
        </w:rPr>
      </w:pPr>
    </w:p>
    <w:p w14:paraId="767D1B68" w14:textId="77777777" w:rsidR="00605F35" w:rsidRDefault="00605F35">
      <w:pPr>
        <w:rPr>
          <w:rFonts w:cstheme="minorHAnsi"/>
          <w:b/>
          <w:iCs/>
          <w:color w:val="2F5496" w:themeColor="accent1" w:themeShade="BF"/>
          <w:sz w:val="24"/>
          <w:szCs w:val="24"/>
        </w:rPr>
      </w:pPr>
      <w:r>
        <w:rPr>
          <w:rFonts w:cstheme="minorHAnsi"/>
          <w:b/>
          <w:iCs/>
          <w:color w:val="2F5496" w:themeColor="accent1" w:themeShade="BF"/>
          <w:sz w:val="24"/>
          <w:szCs w:val="24"/>
        </w:rPr>
        <w:br w:type="page"/>
      </w:r>
    </w:p>
    <w:p w14:paraId="331DA803" w14:textId="4529FA88" w:rsidR="00E906DF" w:rsidRPr="007B5F26" w:rsidRDefault="00E906DF" w:rsidP="007B5F26">
      <w:pPr>
        <w:pStyle w:val="Heading3"/>
      </w:pPr>
      <w:r w:rsidRPr="007B5F26">
        <w:lastRenderedPageBreak/>
        <w:t>Transformative Tasks by Teachers</w:t>
      </w:r>
    </w:p>
    <w:p w14:paraId="13C3371C" w14:textId="77777777" w:rsidR="00E906DF" w:rsidRPr="006D0DF5" w:rsidRDefault="00E906DF" w:rsidP="00C76C30">
      <w:pPr>
        <w:spacing w:after="0" w:line="276" w:lineRule="auto"/>
        <w:rPr>
          <w:rFonts w:cstheme="minorHAnsi"/>
          <w:sz w:val="24"/>
          <w:szCs w:val="24"/>
        </w:rPr>
      </w:pPr>
    </w:p>
    <w:p w14:paraId="4325F39B" w14:textId="14EF520C" w:rsidR="002A5BC0" w:rsidRPr="006D0DF5" w:rsidRDefault="00E906DF" w:rsidP="00C76C30">
      <w:pPr>
        <w:spacing w:after="0" w:line="276" w:lineRule="auto"/>
        <w:rPr>
          <w:rFonts w:cstheme="minorHAnsi"/>
          <w:sz w:val="24"/>
          <w:szCs w:val="24"/>
        </w:rPr>
      </w:pPr>
      <w:r w:rsidRPr="006D0DF5">
        <w:rPr>
          <w:rFonts w:cstheme="minorHAnsi"/>
          <w:sz w:val="24"/>
          <w:szCs w:val="24"/>
        </w:rPr>
        <w:t xml:space="preserve">Massachusetts educators </w:t>
      </w:r>
      <w:r w:rsidR="0057165D" w:rsidRPr="006D0DF5">
        <w:rPr>
          <w:rFonts w:cstheme="minorHAnsi"/>
          <w:sz w:val="24"/>
          <w:szCs w:val="24"/>
        </w:rPr>
        <w:t xml:space="preserve">will play a central </w:t>
      </w:r>
      <w:r w:rsidRPr="006D0DF5">
        <w:rPr>
          <w:rFonts w:cstheme="minorHAnsi"/>
          <w:sz w:val="24"/>
          <w:szCs w:val="24"/>
        </w:rPr>
        <w:t>role in the Kaleidoscope Collective for Learning.  Through Kaleidoscope’s</w:t>
      </w:r>
      <w:r w:rsidRPr="006D0DF5">
        <w:rPr>
          <w:rFonts w:cstheme="minorHAnsi"/>
          <w:b/>
          <w:sz w:val="24"/>
          <w:szCs w:val="24"/>
        </w:rPr>
        <w:t xml:space="preserve"> </w:t>
      </w:r>
      <w:r w:rsidRPr="00C76C30">
        <w:rPr>
          <w:rFonts w:cstheme="minorHAnsi"/>
          <w:bCs/>
          <w:sz w:val="24"/>
          <w:szCs w:val="24"/>
        </w:rPr>
        <w:t>Transformative Tasks by Teachers</w:t>
      </w:r>
      <w:r w:rsidRPr="006D0DF5">
        <w:rPr>
          <w:rFonts w:cstheme="minorHAnsi"/>
          <w:sz w:val="24"/>
          <w:szCs w:val="24"/>
        </w:rPr>
        <w:t xml:space="preserve"> initiative, we will issue an all-call for Massachusetts teachers to design and submit outstanding, rigorous activities that engage students in transformative learning tied to state standards.</w:t>
      </w:r>
      <w:r w:rsidR="002A5BC0" w:rsidRPr="006D0DF5">
        <w:rPr>
          <w:rFonts w:cstheme="minorHAnsi"/>
          <w:sz w:val="24"/>
          <w:szCs w:val="24"/>
        </w:rPr>
        <w:t xml:space="preserve">  By soliciting inspiring yet concrete examples of what deeper</w:t>
      </w:r>
      <w:r w:rsidR="00270295" w:rsidRPr="006D0DF5">
        <w:rPr>
          <w:rFonts w:cstheme="minorHAnsi"/>
          <w:sz w:val="24"/>
          <w:szCs w:val="24"/>
        </w:rPr>
        <w:t xml:space="preserve"> </w:t>
      </w:r>
      <w:r w:rsidR="002A5BC0" w:rsidRPr="006D0DF5">
        <w:rPr>
          <w:rFonts w:cstheme="minorHAnsi"/>
          <w:sz w:val="24"/>
          <w:szCs w:val="24"/>
        </w:rPr>
        <w:t>learning</w:t>
      </w:r>
      <w:r w:rsidR="00270295" w:rsidRPr="006D0DF5">
        <w:rPr>
          <w:rFonts w:cstheme="minorHAnsi"/>
          <w:sz w:val="24"/>
          <w:szCs w:val="24"/>
        </w:rPr>
        <w:t xml:space="preserve"> tasks</w:t>
      </w:r>
      <w:r w:rsidR="002A5BC0" w:rsidRPr="006D0DF5">
        <w:rPr>
          <w:rFonts w:cstheme="minorHAnsi"/>
          <w:sz w:val="24"/>
          <w:szCs w:val="24"/>
        </w:rPr>
        <w:t xml:space="preserve"> look like, we can begin to set a new bar for </w:t>
      </w:r>
      <w:r w:rsidR="00FE6801" w:rsidRPr="006D0DF5">
        <w:rPr>
          <w:rFonts w:cstheme="minorHAnsi"/>
          <w:sz w:val="24"/>
          <w:szCs w:val="24"/>
        </w:rPr>
        <w:t>high-</w:t>
      </w:r>
      <w:r w:rsidR="002A5BC0" w:rsidRPr="006D0DF5">
        <w:rPr>
          <w:rFonts w:cstheme="minorHAnsi"/>
          <w:sz w:val="24"/>
          <w:szCs w:val="24"/>
        </w:rPr>
        <w:t xml:space="preserve">quality, engaging instruction state-wide.  </w:t>
      </w:r>
      <w:r w:rsidR="00B87A1A" w:rsidRPr="006D0DF5">
        <w:rPr>
          <w:rFonts w:cstheme="minorHAnsi"/>
          <w:sz w:val="24"/>
          <w:szCs w:val="24"/>
        </w:rPr>
        <w:t>Task creation workshops will be made available to educators interested in</w:t>
      </w:r>
      <w:r w:rsidR="00FC32FC" w:rsidRPr="006D0DF5">
        <w:rPr>
          <w:rFonts w:cstheme="minorHAnsi"/>
          <w:sz w:val="24"/>
          <w:szCs w:val="24"/>
        </w:rPr>
        <w:t xml:space="preserve"> </w:t>
      </w:r>
      <w:r w:rsidR="00B87A1A" w:rsidRPr="006D0DF5">
        <w:rPr>
          <w:rFonts w:cstheme="minorHAnsi"/>
          <w:sz w:val="24"/>
          <w:szCs w:val="24"/>
        </w:rPr>
        <w:t>submitting tasks for consideration.</w:t>
      </w:r>
    </w:p>
    <w:p w14:paraId="21FF5142" w14:textId="77777777" w:rsidR="002A5BC0" w:rsidRPr="006D0DF5" w:rsidRDefault="002A5BC0" w:rsidP="00C76C30">
      <w:pPr>
        <w:spacing w:after="0" w:line="276" w:lineRule="auto"/>
        <w:rPr>
          <w:rFonts w:cstheme="minorHAnsi"/>
          <w:sz w:val="24"/>
          <w:szCs w:val="24"/>
        </w:rPr>
      </w:pPr>
    </w:p>
    <w:p w14:paraId="5ADD238C" w14:textId="36D2D134" w:rsidR="00E906DF" w:rsidRPr="006D0DF5" w:rsidRDefault="00E906DF" w:rsidP="00C76C30">
      <w:pPr>
        <w:spacing w:after="0" w:line="276" w:lineRule="auto"/>
        <w:rPr>
          <w:rFonts w:cstheme="minorHAnsi"/>
          <w:sz w:val="24"/>
          <w:szCs w:val="24"/>
        </w:rPr>
      </w:pPr>
      <w:r w:rsidRPr="006D0DF5">
        <w:rPr>
          <w:rFonts w:cstheme="minorHAnsi"/>
          <w:sz w:val="24"/>
          <w:szCs w:val="24"/>
        </w:rPr>
        <w:t xml:space="preserve">Teachers who submit the </w:t>
      </w:r>
      <w:r w:rsidR="00130D67" w:rsidRPr="006D0DF5">
        <w:rPr>
          <w:rFonts w:cstheme="minorHAnsi"/>
          <w:sz w:val="24"/>
          <w:szCs w:val="24"/>
        </w:rPr>
        <w:t>high</w:t>
      </w:r>
      <w:r w:rsidR="00A6028C" w:rsidRPr="006D0DF5">
        <w:rPr>
          <w:rFonts w:cstheme="minorHAnsi"/>
          <w:sz w:val="24"/>
          <w:szCs w:val="24"/>
        </w:rPr>
        <w:t>est</w:t>
      </w:r>
      <w:r w:rsidR="00130D67" w:rsidRPr="006D0DF5">
        <w:rPr>
          <w:rFonts w:cstheme="minorHAnsi"/>
          <w:sz w:val="24"/>
          <w:szCs w:val="24"/>
        </w:rPr>
        <w:t>-rated</w:t>
      </w:r>
      <w:r w:rsidRPr="006D0DF5">
        <w:rPr>
          <w:rFonts w:cstheme="minorHAnsi"/>
          <w:sz w:val="24"/>
          <w:szCs w:val="24"/>
        </w:rPr>
        <w:t xml:space="preserve"> </w:t>
      </w:r>
      <w:r w:rsidR="00270295" w:rsidRPr="006D0DF5">
        <w:rPr>
          <w:rFonts w:cstheme="minorHAnsi"/>
          <w:sz w:val="24"/>
          <w:szCs w:val="24"/>
        </w:rPr>
        <w:t xml:space="preserve">performance </w:t>
      </w:r>
      <w:r w:rsidRPr="006D0DF5">
        <w:rPr>
          <w:rFonts w:cstheme="minorHAnsi"/>
          <w:sz w:val="24"/>
          <w:szCs w:val="24"/>
        </w:rPr>
        <w:t>tasks</w:t>
      </w:r>
      <w:r w:rsidR="00270295" w:rsidRPr="006D0DF5">
        <w:rPr>
          <w:rFonts w:cstheme="minorHAnsi"/>
          <w:sz w:val="24"/>
          <w:szCs w:val="24"/>
        </w:rPr>
        <w:t xml:space="preserve">, which will be vetted by a panel of </w:t>
      </w:r>
      <w:r w:rsidR="0057165D" w:rsidRPr="006D0DF5">
        <w:rPr>
          <w:rFonts w:cstheme="minorHAnsi"/>
          <w:sz w:val="24"/>
          <w:szCs w:val="24"/>
        </w:rPr>
        <w:t xml:space="preserve">educators and other </w:t>
      </w:r>
      <w:r w:rsidR="00270295" w:rsidRPr="006D0DF5">
        <w:rPr>
          <w:rFonts w:cstheme="minorHAnsi"/>
          <w:sz w:val="24"/>
          <w:szCs w:val="24"/>
        </w:rPr>
        <w:t>experts,</w:t>
      </w:r>
      <w:r w:rsidRPr="006D0DF5">
        <w:rPr>
          <w:rFonts w:cstheme="minorHAnsi"/>
          <w:sz w:val="24"/>
          <w:szCs w:val="24"/>
        </w:rPr>
        <w:t xml:space="preserve"> will each receive </w:t>
      </w:r>
      <w:r w:rsidR="00FC32FC" w:rsidRPr="006D0DF5">
        <w:rPr>
          <w:rFonts w:cstheme="minorHAnsi"/>
          <w:sz w:val="24"/>
          <w:szCs w:val="24"/>
        </w:rPr>
        <w:t xml:space="preserve">funding and recognition </w:t>
      </w:r>
      <w:r w:rsidRPr="006D0DF5">
        <w:rPr>
          <w:rFonts w:cstheme="minorHAnsi"/>
          <w:sz w:val="24"/>
          <w:szCs w:val="24"/>
        </w:rPr>
        <w:t xml:space="preserve">and </w:t>
      </w:r>
      <w:r w:rsidR="00FC32FC" w:rsidRPr="006D0DF5">
        <w:rPr>
          <w:rFonts w:cstheme="minorHAnsi"/>
          <w:sz w:val="24"/>
          <w:szCs w:val="24"/>
        </w:rPr>
        <w:t>these</w:t>
      </w:r>
      <w:r w:rsidRPr="006D0DF5">
        <w:rPr>
          <w:rFonts w:cstheme="minorHAnsi"/>
          <w:sz w:val="24"/>
          <w:szCs w:val="24"/>
        </w:rPr>
        <w:t xml:space="preserve"> tasks will be piloted throughout the Kaleidoscope network of schools and districts</w:t>
      </w:r>
      <w:r w:rsidR="002A5BC0" w:rsidRPr="006D0DF5">
        <w:rPr>
          <w:rFonts w:cstheme="minorHAnsi"/>
          <w:sz w:val="24"/>
          <w:szCs w:val="24"/>
        </w:rPr>
        <w:t>.</w:t>
      </w:r>
      <w:r w:rsidR="00797D76" w:rsidRPr="006D0DF5">
        <w:rPr>
          <w:rFonts w:cstheme="minorHAnsi"/>
          <w:sz w:val="24"/>
          <w:szCs w:val="24"/>
        </w:rPr>
        <w:t xml:space="preserve">  </w:t>
      </w:r>
      <w:r w:rsidR="003906F1" w:rsidRPr="006D0DF5">
        <w:rPr>
          <w:rFonts w:cstheme="minorHAnsi"/>
          <w:sz w:val="24"/>
          <w:szCs w:val="24"/>
        </w:rPr>
        <w:t>We will make sure implementation of these tasks is coupled with rigorous, rapid evaluation efforts</w:t>
      </w:r>
      <w:r w:rsidR="00270295" w:rsidRPr="006D0DF5">
        <w:rPr>
          <w:rFonts w:cstheme="minorHAnsi"/>
          <w:sz w:val="24"/>
          <w:szCs w:val="24"/>
        </w:rPr>
        <w:t xml:space="preserve"> to assess effectiveness.</w:t>
      </w:r>
    </w:p>
    <w:p w14:paraId="70A99224" w14:textId="77777777" w:rsidR="002A5BC0" w:rsidRPr="006D0DF5" w:rsidRDefault="002A5BC0" w:rsidP="00C76C30">
      <w:pPr>
        <w:spacing w:after="0" w:line="276" w:lineRule="auto"/>
        <w:rPr>
          <w:rFonts w:cstheme="minorHAnsi"/>
          <w:sz w:val="24"/>
          <w:szCs w:val="24"/>
        </w:rPr>
      </w:pPr>
    </w:p>
    <w:p w14:paraId="34585894" w14:textId="0A0CA14C" w:rsidR="002A5BC0" w:rsidRPr="006D0DF5" w:rsidRDefault="002A5BC0" w:rsidP="00C76C30">
      <w:pPr>
        <w:spacing w:after="0" w:line="276" w:lineRule="auto"/>
        <w:rPr>
          <w:rFonts w:cstheme="minorHAnsi"/>
          <w:sz w:val="24"/>
          <w:szCs w:val="24"/>
        </w:rPr>
      </w:pPr>
      <w:r w:rsidRPr="006D0DF5">
        <w:rPr>
          <w:rFonts w:cstheme="minorHAnsi"/>
          <w:sz w:val="24"/>
          <w:szCs w:val="24"/>
        </w:rPr>
        <w:t>Educators whose tasks are selected will also be invited to join a</w:t>
      </w:r>
      <w:r w:rsidR="00270295" w:rsidRPr="006D0DF5">
        <w:rPr>
          <w:rFonts w:cstheme="minorHAnsi"/>
          <w:sz w:val="24"/>
          <w:szCs w:val="24"/>
        </w:rPr>
        <w:t xml:space="preserve"> transformative task</w:t>
      </w:r>
      <w:r w:rsidRPr="006D0DF5">
        <w:rPr>
          <w:rFonts w:cstheme="minorHAnsi"/>
          <w:sz w:val="24"/>
          <w:szCs w:val="24"/>
        </w:rPr>
        <w:t xml:space="preserve"> workgroup to collaborate with the Commissioner and </w:t>
      </w:r>
      <w:r w:rsidR="00FC32FC" w:rsidRPr="006D0DF5">
        <w:rPr>
          <w:rFonts w:cstheme="minorHAnsi"/>
          <w:sz w:val="24"/>
          <w:szCs w:val="24"/>
        </w:rPr>
        <w:t>DESE staff</w:t>
      </w:r>
      <w:r w:rsidRPr="006D0DF5">
        <w:rPr>
          <w:rFonts w:cstheme="minorHAnsi"/>
          <w:sz w:val="24"/>
          <w:szCs w:val="24"/>
        </w:rPr>
        <w:t xml:space="preserve"> </w:t>
      </w:r>
      <w:r w:rsidR="004C3762" w:rsidRPr="006D0DF5">
        <w:rPr>
          <w:rFonts w:cstheme="minorHAnsi"/>
          <w:sz w:val="24"/>
          <w:szCs w:val="24"/>
        </w:rPr>
        <w:t>to</w:t>
      </w:r>
      <w:r w:rsidR="00B87A1A" w:rsidRPr="006D0DF5">
        <w:rPr>
          <w:rFonts w:cstheme="minorHAnsi"/>
          <w:sz w:val="24"/>
          <w:szCs w:val="24"/>
        </w:rPr>
        <w:t xml:space="preserve"> </w:t>
      </w:r>
      <w:r w:rsidR="00FC32FC" w:rsidRPr="006D0DF5">
        <w:rPr>
          <w:rFonts w:cstheme="minorHAnsi"/>
          <w:sz w:val="24"/>
          <w:szCs w:val="24"/>
        </w:rPr>
        <w:t>identify</w:t>
      </w:r>
      <w:r w:rsidR="00B87A1A" w:rsidRPr="006D0DF5">
        <w:rPr>
          <w:rFonts w:cstheme="minorHAnsi"/>
          <w:sz w:val="24"/>
          <w:szCs w:val="24"/>
        </w:rPr>
        <w:t xml:space="preserve"> and</w:t>
      </w:r>
      <w:r w:rsidRPr="006D0DF5">
        <w:rPr>
          <w:rFonts w:cstheme="minorHAnsi"/>
          <w:sz w:val="24"/>
          <w:szCs w:val="24"/>
        </w:rPr>
        <w:t xml:space="preserve"> develop models for scaling transformative instruction.  </w:t>
      </w:r>
      <w:r w:rsidR="00FC32FC" w:rsidRPr="006D0DF5">
        <w:rPr>
          <w:rFonts w:cstheme="minorHAnsi"/>
          <w:sz w:val="24"/>
          <w:szCs w:val="24"/>
        </w:rPr>
        <w:t>Through this effort, we will</w:t>
      </w:r>
      <w:r w:rsidRPr="006D0DF5">
        <w:rPr>
          <w:rFonts w:cstheme="minorHAnsi"/>
          <w:sz w:val="24"/>
          <w:szCs w:val="24"/>
        </w:rPr>
        <w:t xml:space="preserve"> partner directly with our </w:t>
      </w:r>
      <w:r w:rsidR="00DC1CE4" w:rsidRPr="006D0DF5">
        <w:rPr>
          <w:rFonts w:cstheme="minorHAnsi"/>
          <w:sz w:val="24"/>
          <w:szCs w:val="24"/>
        </w:rPr>
        <w:t>classroom teachers</w:t>
      </w:r>
      <w:r w:rsidR="00FC32FC" w:rsidRPr="006D0DF5">
        <w:rPr>
          <w:rFonts w:cstheme="minorHAnsi"/>
          <w:sz w:val="24"/>
          <w:szCs w:val="24"/>
        </w:rPr>
        <w:t xml:space="preserve"> and expand the reach of their best ideas</w:t>
      </w:r>
      <w:r w:rsidRPr="006D0DF5">
        <w:rPr>
          <w:rFonts w:cstheme="minorHAnsi"/>
          <w:sz w:val="24"/>
          <w:szCs w:val="24"/>
        </w:rPr>
        <w:t>.</w:t>
      </w:r>
    </w:p>
    <w:p w14:paraId="3C4AF604" w14:textId="77777777" w:rsidR="003906F1" w:rsidRPr="006D0DF5" w:rsidRDefault="003906F1" w:rsidP="00C76C30">
      <w:pPr>
        <w:spacing w:after="0" w:line="276" w:lineRule="auto"/>
        <w:rPr>
          <w:rFonts w:cstheme="minorHAnsi"/>
          <w:sz w:val="24"/>
          <w:szCs w:val="24"/>
        </w:rPr>
      </w:pPr>
    </w:p>
    <w:p w14:paraId="43086AFB" w14:textId="77777777" w:rsidR="00F23D8B" w:rsidRPr="006D0DF5" w:rsidRDefault="00F23D8B" w:rsidP="00C76C30">
      <w:pPr>
        <w:spacing w:after="0" w:line="276" w:lineRule="auto"/>
        <w:rPr>
          <w:rFonts w:cstheme="minorHAnsi"/>
          <w:b/>
          <w:sz w:val="24"/>
          <w:szCs w:val="24"/>
        </w:rPr>
      </w:pPr>
    </w:p>
    <w:p w14:paraId="22CCBF89" w14:textId="1BA2624F" w:rsidR="003906F1" w:rsidRPr="007B5F26" w:rsidRDefault="009A00B9" w:rsidP="007B5F26">
      <w:pPr>
        <w:pStyle w:val="Heading2"/>
      </w:pPr>
      <w:r w:rsidRPr="007B5F26">
        <w:t>Moving</w:t>
      </w:r>
      <w:r w:rsidR="002A5BC0" w:rsidRPr="007B5F26">
        <w:t xml:space="preserve"> Forward </w:t>
      </w:r>
    </w:p>
    <w:p w14:paraId="23DCBA92" w14:textId="77777777" w:rsidR="002A5BC0" w:rsidRPr="006D0DF5" w:rsidRDefault="002A5BC0" w:rsidP="00C76C30">
      <w:pPr>
        <w:spacing w:after="0" w:line="276" w:lineRule="auto"/>
        <w:rPr>
          <w:rFonts w:cstheme="minorHAnsi"/>
          <w:sz w:val="24"/>
          <w:szCs w:val="24"/>
        </w:rPr>
      </w:pPr>
    </w:p>
    <w:p w14:paraId="65EE37AC" w14:textId="7495206D" w:rsidR="00F86EBF" w:rsidRPr="006D0DF5" w:rsidRDefault="00F86EBF" w:rsidP="00C76C30">
      <w:pPr>
        <w:spacing w:after="0" w:line="276" w:lineRule="auto"/>
        <w:rPr>
          <w:rFonts w:cstheme="minorHAnsi"/>
          <w:sz w:val="24"/>
          <w:szCs w:val="24"/>
        </w:rPr>
      </w:pPr>
      <w:r w:rsidRPr="006D0DF5">
        <w:rPr>
          <w:rFonts w:cstheme="minorHAnsi"/>
          <w:sz w:val="24"/>
          <w:szCs w:val="24"/>
        </w:rPr>
        <w:t xml:space="preserve">The past 25 years of education reform gave </w:t>
      </w:r>
      <w:r w:rsidR="00A6028C" w:rsidRPr="006D0DF5">
        <w:rPr>
          <w:rFonts w:cstheme="minorHAnsi"/>
          <w:sz w:val="24"/>
          <w:szCs w:val="24"/>
        </w:rPr>
        <w:t>our Commonwealth</w:t>
      </w:r>
      <w:r w:rsidRPr="006D0DF5">
        <w:rPr>
          <w:rFonts w:cstheme="minorHAnsi"/>
          <w:sz w:val="24"/>
          <w:szCs w:val="24"/>
        </w:rPr>
        <w:t xml:space="preserve"> </w:t>
      </w:r>
      <w:r w:rsidR="00B60561" w:rsidRPr="006D0DF5">
        <w:rPr>
          <w:rFonts w:cstheme="minorHAnsi"/>
          <w:sz w:val="24"/>
          <w:szCs w:val="24"/>
        </w:rPr>
        <w:t>a</w:t>
      </w:r>
      <w:r w:rsidR="00FE6801" w:rsidRPr="006D0DF5">
        <w:rPr>
          <w:rFonts w:cstheme="minorHAnsi"/>
          <w:sz w:val="24"/>
          <w:szCs w:val="24"/>
        </w:rPr>
        <w:t>n essential</w:t>
      </w:r>
      <w:r w:rsidR="00B60561" w:rsidRPr="006D0DF5">
        <w:rPr>
          <w:rFonts w:cstheme="minorHAnsi"/>
          <w:sz w:val="24"/>
          <w:szCs w:val="24"/>
        </w:rPr>
        <w:t xml:space="preserve"> foundation</w:t>
      </w:r>
      <w:r w:rsidRPr="006D0DF5">
        <w:rPr>
          <w:rFonts w:cstheme="minorHAnsi"/>
          <w:sz w:val="24"/>
          <w:szCs w:val="24"/>
        </w:rPr>
        <w:t>.  This work was necessary – but, in the end, not sufficient – to support</w:t>
      </w:r>
      <w:r w:rsidR="00A6028C" w:rsidRPr="006D0DF5">
        <w:rPr>
          <w:rFonts w:cstheme="minorHAnsi"/>
          <w:sz w:val="24"/>
          <w:szCs w:val="24"/>
        </w:rPr>
        <w:t xml:space="preserve"> equitable and</w:t>
      </w:r>
      <w:r w:rsidRPr="006D0DF5">
        <w:rPr>
          <w:rFonts w:cstheme="minorHAnsi"/>
          <w:sz w:val="24"/>
          <w:szCs w:val="24"/>
        </w:rPr>
        <w:t xml:space="preserve"> high-quality learning environments and strong outcomes for every student</w:t>
      </w:r>
      <w:r w:rsidR="009A00B9" w:rsidRPr="006D0DF5">
        <w:rPr>
          <w:rFonts w:cstheme="minorHAnsi"/>
          <w:sz w:val="24"/>
          <w:szCs w:val="24"/>
        </w:rPr>
        <w:t xml:space="preserve"> in the Commonwealth</w:t>
      </w:r>
      <w:r w:rsidRPr="006D0DF5">
        <w:rPr>
          <w:rFonts w:cstheme="minorHAnsi"/>
          <w:sz w:val="24"/>
          <w:szCs w:val="24"/>
        </w:rPr>
        <w:t>.</w:t>
      </w:r>
      <w:r w:rsidR="00A6028C" w:rsidRPr="006D0DF5">
        <w:rPr>
          <w:rFonts w:cstheme="minorHAnsi"/>
          <w:sz w:val="24"/>
          <w:szCs w:val="24"/>
        </w:rPr>
        <w:t xml:space="preserve">  </w:t>
      </w:r>
      <w:r w:rsidR="002A5BC0" w:rsidRPr="006D0DF5">
        <w:rPr>
          <w:rFonts w:cstheme="minorHAnsi"/>
          <w:sz w:val="24"/>
          <w:szCs w:val="24"/>
        </w:rPr>
        <w:t>It is</w:t>
      </w:r>
      <w:r w:rsidRPr="006D0DF5">
        <w:rPr>
          <w:rFonts w:cstheme="minorHAnsi"/>
          <w:sz w:val="24"/>
          <w:szCs w:val="24"/>
        </w:rPr>
        <w:t xml:space="preserve"> now</w:t>
      </w:r>
      <w:r w:rsidR="002A5BC0" w:rsidRPr="006D0DF5">
        <w:rPr>
          <w:rFonts w:cstheme="minorHAnsi"/>
          <w:sz w:val="24"/>
          <w:szCs w:val="24"/>
        </w:rPr>
        <w:t xml:space="preserve"> up to us as educators, school leaders, superintendents, school committees</w:t>
      </w:r>
      <w:r w:rsidR="0056270B" w:rsidRPr="006D0DF5">
        <w:rPr>
          <w:rFonts w:cstheme="minorHAnsi"/>
          <w:sz w:val="24"/>
          <w:szCs w:val="24"/>
        </w:rPr>
        <w:t>,</w:t>
      </w:r>
      <w:r w:rsidR="00270295" w:rsidRPr="006D0DF5">
        <w:rPr>
          <w:rFonts w:cstheme="minorHAnsi"/>
          <w:sz w:val="24"/>
          <w:szCs w:val="24"/>
        </w:rPr>
        <w:t xml:space="preserve"> </w:t>
      </w:r>
      <w:r w:rsidRPr="006D0DF5">
        <w:rPr>
          <w:rFonts w:cstheme="minorHAnsi"/>
          <w:sz w:val="24"/>
          <w:szCs w:val="24"/>
        </w:rPr>
        <w:t>and</w:t>
      </w:r>
      <w:r w:rsidR="002A5BC0" w:rsidRPr="006D0DF5">
        <w:rPr>
          <w:rFonts w:cstheme="minorHAnsi"/>
          <w:sz w:val="24"/>
          <w:szCs w:val="24"/>
        </w:rPr>
        <w:t xml:space="preserve"> in collaboration with our </w:t>
      </w:r>
      <w:r w:rsidR="00270295" w:rsidRPr="006D0DF5">
        <w:rPr>
          <w:rFonts w:cstheme="minorHAnsi"/>
          <w:sz w:val="24"/>
          <w:szCs w:val="24"/>
        </w:rPr>
        <w:t>families, communities</w:t>
      </w:r>
      <w:r w:rsidR="0056270B" w:rsidRPr="006D0DF5">
        <w:rPr>
          <w:rFonts w:cstheme="minorHAnsi"/>
          <w:sz w:val="24"/>
          <w:szCs w:val="24"/>
        </w:rPr>
        <w:t>,</w:t>
      </w:r>
      <w:r w:rsidR="00270295" w:rsidRPr="006D0DF5">
        <w:rPr>
          <w:rFonts w:cstheme="minorHAnsi"/>
          <w:sz w:val="24"/>
          <w:szCs w:val="24"/>
        </w:rPr>
        <w:t xml:space="preserve"> and partners</w:t>
      </w:r>
      <w:r w:rsidR="002A5BC0" w:rsidRPr="006D0DF5">
        <w:rPr>
          <w:rFonts w:cstheme="minorHAnsi"/>
          <w:sz w:val="24"/>
          <w:szCs w:val="24"/>
        </w:rPr>
        <w:t xml:space="preserve"> to map our way forward.  The Kaleidoscope Collective for Learning, alongside other new initiatives addressing each of our themes, is where we will start.</w:t>
      </w:r>
    </w:p>
    <w:p w14:paraId="7EDAAA01" w14:textId="77777777" w:rsidR="00F86EBF" w:rsidRPr="006D0DF5" w:rsidRDefault="00F86EBF" w:rsidP="00C76C30">
      <w:pPr>
        <w:spacing w:after="0" w:line="276" w:lineRule="auto"/>
        <w:rPr>
          <w:rFonts w:cstheme="minorHAnsi"/>
          <w:sz w:val="24"/>
          <w:szCs w:val="24"/>
        </w:rPr>
      </w:pPr>
    </w:p>
    <w:p w14:paraId="09A743B5" w14:textId="4408F1F6" w:rsidR="009A00B9" w:rsidRPr="00B06FCC" w:rsidRDefault="00F86EBF" w:rsidP="00C76C30">
      <w:pPr>
        <w:spacing w:after="0" w:line="276" w:lineRule="auto"/>
        <w:rPr>
          <w:rFonts w:cstheme="minorHAnsi"/>
          <w:sz w:val="24"/>
          <w:szCs w:val="24"/>
        </w:rPr>
      </w:pPr>
      <w:r w:rsidRPr="006D0DF5">
        <w:rPr>
          <w:rFonts w:cstheme="minorHAnsi"/>
          <w:sz w:val="24"/>
          <w:szCs w:val="24"/>
        </w:rPr>
        <w:t xml:space="preserve">I look forward to </w:t>
      </w:r>
      <w:r w:rsidR="00A6028C" w:rsidRPr="006D0DF5">
        <w:rPr>
          <w:rFonts w:cstheme="minorHAnsi"/>
          <w:sz w:val="24"/>
          <w:szCs w:val="24"/>
        </w:rPr>
        <w:t xml:space="preserve">further </w:t>
      </w:r>
      <w:r w:rsidRPr="006D0DF5">
        <w:rPr>
          <w:rFonts w:cstheme="minorHAnsi"/>
          <w:sz w:val="24"/>
          <w:szCs w:val="24"/>
        </w:rPr>
        <w:t xml:space="preserve">discussing </w:t>
      </w:r>
      <w:r w:rsidR="00A6028C" w:rsidRPr="006D0DF5">
        <w:rPr>
          <w:rFonts w:cstheme="minorHAnsi"/>
          <w:sz w:val="24"/>
          <w:szCs w:val="24"/>
        </w:rPr>
        <w:t>the</w:t>
      </w:r>
      <w:r w:rsidRPr="006D0DF5">
        <w:rPr>
          <w:rFonts w:cstheme="minorHAnsi"/>
          <w:sz w:val="24"/>
          <w:szCs w:val="24"/>
        </w:rPr>
        <w:t xml:space="preserve"> </w:t>
      </w:r>
      <w:r w:rsidR="00A6028C" w:rsidRPr="006D0DF5">
        <w:rPr>
          <w:rFonts w:cstheme="minorHAnsi"/>
          <w:sz w:val="24"/>
          <w:szCs w:val="24"/>
        </w:rPr>
        <w:t>themes and plans outlined in this document</w:t>
      </w:r>
      <w:r w:rsidRPr="006D0DF5">
        <w:rPr>
          <w:rFonts w:cstheme="minorHAnsi"/>
          <w:sz w:val="24"/>
          <w:szCs w:val="24"/>
        </w:rPr>
        <w:t xml:space="preserve"> </w:t>
      </w:r>
      <w:r w:rsidR="00A6028C" w:rsidRPr="006D0DF5">
        <w:rPr>
          <w:rFonts w:cstheme="minorHAnsi"/>
          <w:sz w:val="24"/>
          <w:szCs w:val="24"/>
        </w:rPr>
        <w:t xml:space="preserve">with </w:t>
      </w:r>
      <w:r w:rsidR="00DC1CE4" w:rsidRPr="006D0DF5">
        <w:rPr>
          <w:rFonts w:cstheme="minorHAnsi"/>
          <w:sz w:val="24"/>
          <w:szCs w:val="24"/>
        </w:rPr>
        <w:t>the</w:t>
      </w:r>
      <w:r w:rsidR="00A6028C" w:rsidRPr="006D0DF5">
        <w:rPr>
          <w:rFonts w:cstheme="minorHAnsi"/>
          <w:sz w:val="24"/>
          <w:szCs w:val="24"/>
        </w:rPr>
        <w:t xml:space="preserve"> Massachusetts education community, and</w:t>
      </w:r>
      <w:r w:rsidRPr="006D0DF5">
        <w:rPr>
          <w:rFonts w:cstheme="minorHAnsi"/>
          <w:sz w:val="24"/>
          <w:szCs w:val="24"/>
        </w:rPr>
        <w:t xml:space="preserve"> building upon them together in the coming months and years.</w:t>
      </w:r>
    </w:p>
    <w:sectPr w:rsidR="009A00B9" w:rsidRPr="00B06FCC" w:rsidSect="00297576">
      <w:footerReference w:type="default" r:id="rId23"/>
      <w:pgSz w:w="12240" w:h="15840"/>
      <w:pgMar w:top="1440"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B40C" w14:textId="77777777" w:rsidR="0025509D" w:rsidRDefault="0025509D" w:rsidP="00CA3992">
      <w:pPr>
        <w:spacing w:after="0" w:line="240" w:lineRule="auto"/>
      </w:pPr>
      <w:r>
        <w:separator/>
      </w:r>
    </w:p>
  </w:endnote>
  <w:endnote w:type="continuationSeparator" w:id="0">
    <w:p w14:paraId="31D223CA" w14:textId="77777777" w:rsidR="0025509D" w:rsidRDefault="0025509D" w:rsidP="00C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35111"/>
      <w:docPartObj>
        <w:docPartGallery w:val="Page Numbers (Bottom of Page)"/>
        <w:docPartUnique/>
      </w:docPartObj>
    </w:sdtPr>
    <w:sdtEndPr>
      <w:rPr>
        <w:noProof/>
      </w:rPr>
    </w:sdtEndPr>
    <w:sdtContent>
      <w:p w14:paraId="622E0C63" w14:textId="580699AE" w:rsidR="00E35B1B" w:rsidRDefault="00E35B1B">
        <w:pPr>
          <w:pStyle w:val="Footer"/>
          <w:jc w:val="right"/>
        </w:pPr>
        <w:r>
          <w:rPr>
            <w:noProof/>
          </w:rPr>
          <w:drawing>
            <wp:anchor distT="0" distB="0" distL="114300" distR="114300" simplePos="0" relativeHeight="251658240" behindDoc="0" locked="0" layoutInCell="1" allowOverlap="1" wp14:anchorId="10427FE1" wp14:editId="46715E3C">
              <wp:simplePos x="0" y="0"/>
              <wp:positionH relativeFrom="margin">
                <wp:align>center</wp:align>
              </wp:positionH>
              <wp:positionV relativeFrom="paragraph">
                <wp:posOffset>-40005</wp:posOffset>
              </wp:positionV>
              <wp:extent cx="1088136" cy="530352"/>
              <wp:effectExtent l="0" t="0" r="0" b="3175"/>
              <wp:wrapNone/>
              <wp:docPr id="4" name="Picture 4"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Logo_205x100_color.png"/>
                      <pic:cNvPicPr/>
                    </pic:nvPicPr>
                    <pic:blipFill>
                      <a:blip r:embed="rId1">
                        <a:extLst>
                          <a:ext uri="{28A0092B-C50C-407E-A947-70E740481C1C}">
                            <a14:useLocalDpi xmlns:a14="http://schemas.microsoft.com/office/drawing/2010/main" val="0"/>
                          </a:ext>
                        </a:extLst>
                      </a:blip>
                      <a:stretch>
                        <a:fillRect/>
                      </a:stretch>
                    </pic:blipFill>
                    <pic:spPr>
                      <a:xfrm>
                        <a:off x="0" y="0"/>
                        <a:ext cx="1088136" cy="530352"/>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DCC062B" w14:textId="254F682B" w:rsidR="0099294A" w:rsidRDefault="00297576" w:rsidP="00297576">
    <w:pPr>
      <w:pStyle w:val="Footer"/>
      <w:tabs>
        <w:tab w:val="clear" w:pos="4680"/>
        <w:tab w:val="clear" w:pos="9360"/>
        <w:tab w:val="left" w:pos="12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97B7" w14:textId="77777777" w:rsidR="00297576" w:rsidRDefault="00297576">
    <w:pPr>
      <w:pStyle w:val="Footer"/>
      <w:jc w:val="right"/>
    </w:pPr>
  </w:p>
  <w:p w14:paraId="2A3E16E8" w14:textId="77777777" w:rsidR="00297576" w:rsidRDefault="00297576" w:rsidP="00297576">
    <w:pPr>
      <w:pStyle w:val="Footer"/>
      <w:jc w:val="right"/>
      <w:rPr>
        <w:noProof/>
      </w:rPr>
    </w:pPr>
    <w:r>
      <w:tab/>
    </w:r>
    <w:sdt>
      <w:sdtPr>
        <w:id w:val="-1491243805"/>
        <w:docPartObj>
          <w:docPartGallery w:val="Page Numbers (Bottom of Page)"/>
          <w:docPartUnique/>
        </w:docPartObj>
      </w:sdtPr>
      <w:sdtEndPr>
        <w:rPr>
          <w:noProof/>
        </w:rPr>
      </w:sdtEndPr>
      <w:sdtContent>
        <w:r>
          <w:rPr>
            <w:noProof/>
          </w:rPr>
          <w:drawing>
            <wp:anchor distT="0" distB="0" distL="114300" distR="114300" simplePos="0" relativeHeight="251662336" behindDoc="0" locked="0" layoutInCell="1" allowOverlap="1" wp14:anchorId="7528C174" wp14:editId="19D07F78">
              <wp:simplePos x="0" y="0"/>
              <wp:positionH relativeFrom="margin">
                <wp:align>center</wp:align>
              </wp:positionH>
              <wp:positionV relativeFrom="paragraph">
                <wp:posOffset>-40005</wp:posOffset>
              </wp:positionV>
              <wp:extent cx="1088136" cy="530352"/>
              <wp:effectExtent l="0" t="0" r="0" b="3175"/>
              <wp:wrapNone/>
              <wp:docPr id="2" name="Picture 4"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Logo_205x100_color.png"/>
                      <pic:cNvPicPr/>
                    </pic:nvPicPr>
                    <pic:blipFill>
                      <a:blip r:embed="rId1">
                        <a:extLst>
                          <a:ext uri="{28A0092B-C50C-407E-A947-70E740481C1C}">
                            <a14:useLocalDpi xmlns:a14="http://schemas.microsoft.com/office/drawing/2010/main" val="0"/>
                          </a:ext>
                        </a:extLst>
                      </a:blip>
                      <a:stretch>
                        <a:fillRect/>
                      </a:stretch>
                    </pic:blipFill>
                    <pic:spPr>
                      <a:xfrm>
                        <a:off x="0" y="0"/>
                        <a:ext cx="1088136" cy="530352"/>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t>1</w:t>
        </w:r>
        <w:r>
          <w:rPr>
            <w:noProof/>
          </w:rPr>
          <w:fldChar w:fldCharType="end"/>
        </w:r>
      </w:sdtContent>
    </w:sdt>
  </w:p>
  <w:p w14:paraId="2B018A70" w14:textId="77777777" w:rsidR="00297576" w:rsidRDefault="00297576" w:rsidP="00297576">
    <w:pPr>
      <w:pStyle w:val="Footer"/>
      <w:tabs>
        <w:tab w:val="clear" w:pos="4680"/>
        <w:tab w:val="clear" w:pos="9360"/>
        <w:tab w:val="left" w:pos="3446"/>
        <w:tab w:val="left" w:pos="63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1F85" w14:textId="77777777" w:rsidR="0025509D" w:rsidRDefault="0025509D" w:rsidP="00CA3992">
      <w:pPr>
        <w:spacing w:after="0" w:line="240" w:lineRule="auto"/>
      </w:pPr>
      <w:r>
        <w:separator/>
      </w:r>
    </w:p>
  </w:footnote>
  <w:footnote w:type="continuationSeparator" w:id="0">
    <w:p w14:paraId="6E50A70F" w14:textId="77777777" w:rsidR="0025509D" w:rsidRDefault="0025509D" w:rsidP="00CA3992">
      <w:pPr>
        <w:spacing w:after="0" w:line="240" w:lineRule="auto"/>
      </w:pPr>
      <w:r>
        <w:continuationSeparator/>
      </w:r>
    </w:p>
  </w:footnote>
  <w:footnote w:id="1">
    <w:p w14:paraId="0C47CC7B" w14:textId="309FF2A6" w:rsidR="00F157E7" w:rsidRDefault="00F157E7">
      <w:pPr>
        <w:pStyle w:val="FootnoteText"/>
      </w:pPr>
      <w:r w:rsidRPr="00A228FC">
        <w:rPr>
          <w:vertAlign w:val="superscript"/>
        </w:rPr>
        <w:footnoteRef/>
      </w:r>
      <w:r>
        <w:t xml:space="preserve"> </w:t>
      </w:r>
      <w:r w:rsidRPr="004C2BD9">
        <w:t>The Massachusetts Education Equity Partnership</w:t>
      </w:r>
      <w:r>
        <w:t xml:space="preserve"> (2018). </w:t>
      </w:r>
      <w:hyperlink r:id="rId1" w:history="1">
        <w:r w:rsidRPr="00EC6856">
          <w:rPr>
            <w:rStyle w:val="Hyperlink"/>
          </w:rPr>
          <w:t>#1 for Some: Opportunity and Achievement in Massachusetts</w:t>
        </w:r>
      </w:hyperlink>
      <w:r>
        <w:t>.</w:t>
      </w:r>
    </w:p>
  </w:footnote>
  <w:footnote w:id="2">
    <w:p w14:paraId="0CDBC10C" w14:textId="77777777" w:rsidR="00C8230A" w:rsidRPr="00AA6203" w:rsidRDefault="00C8230A" w:rsidP="00C8230A">
      <w:pPr>
        <w:pStyle w:val="FootnoteText"/>
        <w:rPr>
          <w:rFonts w:cstheme="minorHAnsi"/>
          <w:i/>
        </w:rPr>
      </w:pPr>
      <w:r w:rsidRPr="00AA6203">
        <w:rPr>
          <w:rStyle w:val="FootnoteReference"/>
          <w:rFonts w:cstheme="minorHAnsi"/>
        </w:rPr>
        <w:footnoteRef/>
      </w:r>
      <w:r w:rsidRPr="00AA6203">
        <w:rPr>
          <w:rFonts w:cstheme="minorHAnsi"/>
        </w:rPr>
        <w:t xml:space="preserve"> TNTP</w:t>
      </w:r>
      <w:r>
        <w:rPr>
          <w:rFonts w:cstheme="minorHAnsi"/>
        </w:rPr>
        <w:t xml:space="preserve"> (</w:t>
      </w:r>
      <w:r w:rsidRPr="00AA6203">
        <w:rPr>
          <w:rFonts w:cstheme="minorHAnsi"/>
        </w:rPr>
        <w:t>2018</w:t>
      </w:r>
      <w:r>
        <w:rPr>
          <w:rFonts w:cstheme="minorHAnsi"/>
        </w:rPr>
        <w:t>)</w:t>
      </w:r>
      <w:r w:rsidRPr="00AA6203">
        <w:rPr>
          <w:rFonts w:cstheme="minorHAnsi"/>
        </w:rPr>
        <w:t xml:space="preserve">. </w:t>
      </w:r>
      <w:hyperlink r:id="rId2" w:history="1">
        <w:r w:rsidRPr="00AA6203">
          <w:rPr>
            <w:rStyle w:val="Hyperlink"/>
            <w:rFonts w:cstheme="minorHAnsi"/>
            <w:i/>
          </w:rPr>
          <w:t>The Opportunity Myth: What Students Can Show Us About How School Is Letting them Down—and How to Fix It</w:t>
        </w:r>
      </w:hyperlink>
      <w:r w:rsidRPr="00AA6203">
        <w:rPr>
          <w:rFonts w:cstheme="minorHAnsi"/>
          <w:i/>
        </w:rPr>
        <w:t>.</w:t>
      </w:r>
    </w:p>
  </w:footnote>
  <w:footnote w:id="3">
    <w:p w14:paraId="3B1345EA" w14:textId="77777777" w:rsidR="006D0DF5" w:rsidRPr="00A955D9" w:rsidRDefault="006D0DF5" w:rsidP="006D0DF5">
      <w:pPr>
        <w:pStyle w:val="FootnoteText"/>
        <w:rPr>
          <w:rFonts w:cstheme="minorHAnsi"/>
          <w:color w:val="000000" w:themeColor="text1"/>
        </w:rPr>
      </w:pPr>
      <w:r w:rsidRPr="00A955D9">
        <w:rPr>
          <w:rStyle w:val="FootnoteReference"/>
          <w:rFonts w:cstheme="minorHAnsi"/>
          <w:color w:val="000000" w:themeColor="text1"/>
        </w:rPr>
        <w:footnoteRef/>
      </w:r>
      <w:r w:rsidRPr="00A955D9">
        <w:rPr>
          <w:rFonts w:cstheme="minorHAnsi"/>
          <w:color w:val="000000" w:themeColor="text1"/>
        </w:rPr>
        <w:t xml:space="preserve"> Mehta, Jal and Fine, Sarah, </w:t>
      </w:r>
      <w:r w:rsidRPr="00A955D9">
        <w:rPr>
          <w:rFonts w:cstheme="minorHAnsi"/>
          <w:color w:val="000000" w:themeColor="text1"/>
          <w:shd w:val="clear" w:color="auto" w:fill="FFFFFF"/>
        </w:rPr>
        <w:t>(2019). </w:t>
      </w:r>
      <w:r w:rsidRPr="00A955D9">
        <w:rPr>
          <w:rFonts w:cstheme="minorHAnsi"/>
          <w:i/>
          <w:color w:val="000000" w:themeColor="text1"/>
          <w:shd w:val="clear" w:color="auto" w:fill="FFFFFF"/>
        </w:rPr>
        <w:t>In Search of Deeper Learning</w:t>
      </w:r>
      <w:r w:rsidRPr="00A955D9">
        <w:rPr>
          <w:rFonts w:cstheme="minorHAnsi"/>
          <w:color w:val="000000" w:themeColor="text1"/>
          <w:shd w:val="clear" w:color="auto" w:fill="FFFFFF"/>
        </w:rPr>
        <w:t>. Cambridge, MA: Harvard University Press, 14.</w:t>
      </w:r>
    </w:p>
  </w:footnote>
  <w:footnote w:id="4">
    <w:p w14:paraId="2AEF252F" w14:textId="4FDFD840" w:rsidR="004503A3" w:rsidRPr="00605F35" w:rsidRDefault="004503A3" w:rsidP="00605F35">
      <w:pPr>
        <w:spacing w:after="0"/>
        <w:rPr>
          <w:color w:val="000000" w:themeColor="text1"/>
          <w:sz w:val="20"/>
          <w:szCs w:val="20"/>
          <w:shd w:val="clear" w:color="auto" w:fill="FFFFFF"/>
        </w:rPr>
      </w:pPr>
      <w:r w:rsidRPr="00605F35">
        <w:rPr>
          <w:rStyle w:val="FootnoteReference"/>
          <w:rFonts w:cstheme="minorHAnsi"/>
          <w:color w:val="000000" w:themeColor="text1"/>
          <w:sz w:val="20"/>
          <w:szCs w:val="20"/>
        </w:rPr>
        <w:footnoteRef/>
      </w:r>
      <w:r w:rsidRPr="00605F35">
        <w:rPr>
          <w:rStyle w:val="FootnoteReference"/>
          <w:rFonts w:cstheme="minorHAnsi"/>
          <w:color w:val="000000" w:themeColor="text1"/>
          <w:sz w:val="20"/>
          <w:szCs w:val="20"/>
        </w:rPr>
        <w:t xml:space="preserve"> </w:t>
      </w:r>
      <w:r w:rsidRPr="00605F35">
        <w:rPr>
          <w:sz w:val="20"/>
          <w:szCs w:val="20"/>
        </w:rPr>
        <w:t xml:space="preserve">Newmann, Fred M. (1996). </w:t>
      </w:r>
      <w:r w:rsidRPr="00605F35">
        <w:rPr>
          <w:i/>
          <w:iCs/>
          <w:sz w:val="20"/>
          <w:szCs w:val="20"/>
        </w:rPr>
        <w:t>Authentic Achievement: Restructuring Schools for Intellectual Quality</w:t>
      </w:r>
      <w:r w:rsidRPr="00605F35">
        <w:rPr>
          <w:sz w:val="20"/>
          <w:szCs w:val="20"/>
        </w:rPr>
        <w:t xml:space="preserve">. </w:t>
      </w:r>
      <w:r w:rsidR="00AA6203" w:rsidRPr="00605F35">
        <w:rPr>
          <w:sz w:val="20"/>
          <w:szCs w:val="20"/>
        </w:rPr>
        <w:t>San Francisco</w:t>
      </w:r>
      <w:r w:rsidR="00F157E7" w:rsidRPr="00605F35">
        <w:rPr>
          <w:sz w:val="20"/>
          <w:szCs w:val="20"/>
        </w:rPr>
        <w:t>, CA</w:t>
      </w:r>
      <w:r w:rsidR="00AA6203" w:rsidRPr="00605F35">
        <w:rPr>
          <w:sz w:val="20"/>
          <w:szCs w:val="20"/>
        </w:rPr>
        <w:t xml:space="preserve">: Jossey-Bass. </w:t>
      </w:r>
    </w:p>
  </w:footnote>
  <w:footnote w:id="5">
    <w:p w14:paraId="1CC4EE4C" w14:textId="2ACF5503" w:rsidR="00C35B48" w:rsidRDefault="00C35B48" w:rsidP="00AA6203">
      <w:pPr>
        <w:pStyle w:val="FootnoteText"/>
      </w:pPr>
      <w:r w:rsidRPr="00A955D9">
        <w:rPr>
          <w:rStyle w:val="FootnoteReference"/>
          <w:rFonts w:cstheme="minorHAnsi"/>
          <w:color w:val="000000" w:themeColor="text1"/>
        </w:rPr>
        <w:footnoteRef/>
      </w:r>
      <w:r w:rsidRPr="00A955D9">
        <w:rPr>
          <w:rFonts w:cstheme="minorHAnsi"/>
          <w:color w:val="000000" w:themeColor="text1"/>
        </w:rPr>
        <w:t xml:space="preserve"> Mehta and Fine</w:t>
      </w:r>
      <w:r w:rsidR="00AB3736" w:rsidRPr="00A955D9">
        <w:rPr>
          <w:rFonts w:cstheme="minorHAnsi"/>
          <w:color w:val="000000" w:themeColor="text1"/>
        </w:rPr>
        <w:t xml:space="preserve">, </w:t>
      </w:r>
      <w:r w:rsidRPr="00A955D9">
        <w:rPr>
          <w:rFonts w:cstheme="minorHAnsi"/>
          <w:color w:val="000000" w:themeColor="text1"/>
        </w:rPr>
        <w:t>27-28</w:t>
      </w:r>
      <w:r w:rsidR="00AB3736" w:rsidRPr="00A955D9">
        <w:rPr>
          <w:rFonts w:cstheme="minorHAnsi"/>
          <w:color w:val="000000" w:themeColor="text1"/>
        </w:rPr>
        <w:t>.</w:t>
      </w:r>
    </w:p>
  </w:footnote>
  <w:footnote w:id="6">
    <w:p w14:paraId="54636391" w14:textId="451194BB" w:rsidR="008079BE" w:rsidRPr="00F93106" w:rsidRDefault="008079BE">
      <w:pPr>
        <w:pStyle w:val="FootnoteText"/>
        <w:rPr>
          <w:color w:val="000000" w:themeColor="text1"/>
        </w:rPr>
      </w:pPr>
      <w:r w:rsidRPr="00F93106">
        <w:rPr>
          <w:rStyle w:val="FootnoteReference"/>
          <w:color w:val="000000" w:themeColor="text1"/>
        </w:rPr>
        <w:footnoteRef/>
      </w:r>
      <w:r w:rsidRPr="00F93106">
        <w:rPr>
          <w:color w:val="000000" w:themeColor="text1"/>
        </w:rPr>
        <w:t xml:space="preserve"> Mehta and Fine</w:t>
      </w:r>
      <w:r w:rsidR="00AB3736" w:rsidRPr="00F93106">
        <w:rPr>
          <w:color w:val="000000" w:themeColor="text1"/>
        </w:rPr>
        <w:t>, 26.</w:t>
      </w:r>
    </w:p>
  </w:footnote>
  <w:footnote w:id="7">
    <w:p w14:paraId="6F1EAC56" w14:textId="032C94A3" w:rsidR="00EB4116" w:rsidRPr="00F93106" w:rsidRDefault="00A955D9" w:rsidP="009B00F8">
      <w:pPr>
        <w:pStyle w:val="Heading4"/>
        <w:shd w:val="clear" w:color="auto" w:fill="FFFFFF"/>
        <w:spacing w:before="0" w:beforeAutospacing="0" w:after="0" w:afterAutospacing="0"/>
        <w:rPr>
          <w:rFonts w:asciiTheme="minorHAnsi" w:hAnsiTheme="minorHAnsi" w:cstheme="minorHAnsi"/>
          <w:b w:val="0"/>
          <w:color w:val="000000" w:themeColor="text1"/>
          <w:sz w:val="20"/>
          <w:szCs w:val="20"/>
        </w:rPr>
      </w:pPr>
      <w:r w:rsidRPr="00F93106">
        <w:rPr>
          <w:rStyle w:val="FootnoteReference"/>
          <w:rFonts w:asciiTheme="minorHAnsi" w:hAnsiTheme="minorHAnsi" w:cstheme="minorHAnsi"/>
          <w:b w:val="0"/>
          <w:color w:val="000000" w:themeColor="text1"/>
          <w:sz w:val="20"/>
          <w:szCs w:val="20"/>
        </w:rPr>
        <w:footnoteRef/>
      </w:r>
      <w:r w:rsidR="00EB4116" w:rsidRPr="00F93106">
        <w:rPr>
          <w:rFonts w:asciiTheme="minorHAnsi" w:hAnsiTheme="minorHAnsi" w:cstheme="minorHAnsi"/>
          <w:b w:val="0"/>
          <w:color w:val="000000" w:themeColor="text1"/>
          <w:sz w:val="20"/>
          <w:szCs w:val="20"/>
          <w:shd w:val="clear" w:color="auto" w:fill="FFFFFF"/>
        </w:rPr>
        <w:t xml:space="preserve"> </w:t>
      </w:r>
      <w:r w:rsidRPr="00F93106">
        <w:rPr>
          <w:rFonts w:asciiTheme="minorHAnsi" w:hAnsiTheme="minorHAnsi" w:cstheme="minorHAnsi"/>
          <w:b w:val="0"/>
          <w:color w:val="000000" w:themeColor="text1"/>
          <w:sz w:val="20"/>
          <w:szCs w:val="20"/>
          <w:shd w:val="clear" w:color="auto" w:fill="FFFFFF"/>
        </w:rPr>
        <w:t xml:space="preserve">City, Elizabeth, </w:t>
      </w:r>
      <w:r w:rsidR="00EB4116" w:rsidRPr="00F93106">
        <w:rPr>
          <w:rFonts w:asciiTheme="minorHAnsi" w:hAnsiTheme="minorHAnsi" w:cstheme="minorHAnsi"/>
          <w:b w:val="0"/>
          <w:color w:val="000000" w:themeColor="text1"/>
          <w:sz w:val="20"/>
          <w:szCs w:val="20"/>
          <w:shd w:val="clear" w:color="auto" w:fill="FFFFFF"/>
        </w:rPr>
        <w:t xml:space="preserve">and Richard Elmore, </w:t>
      </w:r>
      <w:r w:rsidRPr="00F93106">
        <w:rPr>
          <w:rFonts w:asciiTheme="minorHAnsi" w:hAnsiTheme="minorHAnsi" w:cstheme="minorHAnsi"/>
          <w:b w:val="0"/>
          <w:color w:val="000000" w:themeColor="text1"/>
          <w:sz w:val="20"/>
          <w:szCs w:val="20"/>
          <w:shd w:val="clear" w:color="auto" w:fill="FFFFFF"/>
        </w:rPr>
        <w:t>Sarah Fiarman, and Lee Teitel</w:t>
      </w:r>
      <w:r w:rsidR="00EB4116" w:rsidRPr="00F93106">
        <w:rPr>
          <w:rFonts w:asciiTheme="minorHAnsi" w:hAnsiTheme="minorHAnsi" w:cstheme="minorHAnsi"/>
          <w:b w:val="0"/>
          <w:color w:val="000000" w:themeColor="text1"/>
          <w:sz w:val="20"/>
          <w:szCs w:val="20"/>
          <w:shd w:val="clear" w:color="auto" w:fill="FFFFFF"/>
        </w:rPr>
        <w:t xml:space="preserve"> (2009). </w:t>
      </w:r>
      <w:r w:rsidR="00EB4116" w:rsidRPr="00F93106">
        <w:rPr>
          <w:rFonts w:asciiTheme="minorHAnsi" w:hAnsiTheme="minorHAnsi" w:cstheme="minorHAnsi"/>
          <w:b w:val="0"/>
          <w:i/>
          <w:color w:val="000000" w:themeColor="text1"/>
          <w:sz w:val="20"/>
          <w:szCs w:val="20"/>
        </w:rPr>
        <w:t xml:space="preserve">Instructional Rounds in Education: </w:t>
      </w:r>
      <w:r w:rsidR="00EB4116" w:rsidRPr="00F93106">
        <w:rPr>
          <w:rStyle w:val="Emphasis"/>
          <w:rFonts w:asciiTheme="minorHAnsi" w:hAnsiTheme="minorHAnsi" w:cstheme="minorHAnsi"/>
          <w:b w:val="0"/>
          <w:i w:val="0"/>
          <w:iCs w:val="0"/>
          <w:color w:val="000000" w:themeColor="text1"/>
          <w:sz w:val="20"/>
          <w:szCs w:val="20"/>
        </w:rPr>
        <w:t xml:space="preserve">A Network Approach to Improving Teaching and Learning. </w:t>
      </w:r>
      <w:r w:rsidR="00EB4116" w:rsidRPr="00F93106">
        <w:rPr>
          <w:rFonts w:asciiTheme="minorHAnsi" w:hAnsiTheme="minorHAnsi" w:cstheme="minorHAnsi"/>
          <w:b w:val="0"/>
          <w:color w:val="000000" w:themeColor="text1"/>
          <w:sz w:val="20"/>
          <w:szCs w:val="20"/>
          <w:shd w:val="clear" w:color="auto" w:fill="FFFFFF"/>
        </w:rPr>
        <w:t xml:space="preserve">Cambridge, MA: Harvard Education Press. </w:t>
      </w:r>
    </w:p>
    <w:p w14:paraId="70D9D2CD" w14:textId="27B2FEA9" w:rsidR="00A955D9" w:rsidRDefault="00A955D9">
      <w:pPr>
        <w:pStyle w:val="FootnoteText"/>
      </w:pPr>
    </w:p>
  </w:footnote>
  <w:footnote w:id="8">
    <w:p w14:paraId="7CCA6674" w14:textId="604EEBE2" w:rsidR="00D1078C" w:rsidRPr="00830F52" w:rsidRDefault="00D1078C" w:rsidP="009B00F8">
      <w:pPr>
        <w:pStyle w:val="Heading4"/>
        <w:shd w:val="clear" w:color="auto" w:fill="FFFFFF"/>
        <w:spacing w:before="0" w:beforeAutospacing="0" w:after="0" w:afterAutospacing="0"/>
        <w:rPr>
          <w:rFonts w:asciiTheme="minorHAnsi" w:eastAsiaTheme="minorHAnsi" w:hAnsiTheme="minorHAnsi" w:cstheme="minorHAnsi"/>
          <w:b w:val="0"/>
          <w:bCs w:val="0"/>
          <w:color w:val="444444"/>
          <w:sz w:val="20"/>
          <w:szCs w:val="20"/>
          <w:shd w:val="clear" w:color="auto" w:fill="FFFFFF"/>
        </w:rPr>
      </w:pPr>
      <w:r w:rsidRPr="00792340">
        <w:rPr>
          <w:rStyle w:val="FootnoteReference"/>
          <w:rFonts w:asciiTheme="minorHAnsi" w:hAnsiTheme="minorHAnsi" w:cstheme="minorHAnsi"/>
          <w:sz w:val="20"/>
          <w:szCs w:val="20"/>
        </w:rPr>
        <w:footnoteRef/>
      </w:r>
      <w:r w:rsidRPr="00792340">
        <w:rPr>
          <w:rFonts w:asciiTheme="minorHAnsi" w:hAnsiTheme="minorHAnsi" w:cstheme="minorHAnsi"/>
          <w:sz w:val="20"/>
          <w:szCs w:val="20"/>
        </w:rPr>
        <w:t xml:space="preserve"> </w:t>
      </w:r>
      <w:r w:rsidRPr="006F23E4">
        <w:rPr>
          <w:rFonts w:asciiTheme="minorHAnsi" w:eastAsiaTheme="minorHAnsi" w:hAnsiTheme="minorHAnsi" w:cstheme="minorHAnsi"/>
          <w:b w:val="0"/>
          <w:bCs w:val="0"/>
          <w:color w:val="000000" w:themeColor="text1"/>
          <w:sz w:val="20"/>
          <w:szCs w:val="20"/>
          <w:shd w:val="clear" w:color="auto" w:fill="FFFFFF"/>
        </w:rPr>
        <w:t>Weiss, Elaine and Reville, Paul (2019). </w:t>
      </w:r>
      <w:r w:rsidRPr="006F23E4">
        <w:rPr>
          <w:rFonts w:asciiTheme="minorHAnsi" w:eastAsiaTheme="minorHAnsi" w:hAnsiTheme="minorHAnsi" w:cstheme="minorHAnsi"/>
          <w:b w:val="0"/>
          <w:bCs w:val="0"/>
          <w:i/>
          <w:color w:val="000000" w:themeColor="text1"/>
          <w:sz w:val="20"/>
          <w:szCs w:val="20"/>
          <w:shd w:val="clear" w:color="auto" w:fill="FFFFFF"/>
        </w:rPr>
        <w:t>Broader, Bolder, Better: How Schools and Communities Help Students Overcome the Disadvantages of Poverty</w:t>
      </w:r>
      <w:r w:rsidRPr="006F23E4">
        <w:rPr>
          <w:rFonts w:asciiTheme="minorHAnsi" w:eastAsiaTheme="minorHAnsi" w:hAnsiTheme="minorHAnsi" w:cstheme="minorHAnsi"/>
          <w:b w:val="0"/>
          <w:bCs w:val="0"/>
          <w:color w:val="000000" w:themeColor="text1"/>
          <w:sz w:val="20"/>
          <w:szCs w:val="20"/>
          <w:shd w:val="clear" w:color="auto" w:fill="FFFFFF"/>
        </w:rPr>
        <w:t>. Cambridge, MA: Harvard University Press</w:t>
      </w:r>
      <w:r>
        <w:rPr>
          <w:rFonts w:asciiTheme="minorHAnsi" w:eastAsiaTheme="minorHAnsi" w:hAnsiTheme="minorHAnsi" w:cstheme="minorHAnsi"/>
          <w:b w:val="0"/>
          <w:bCs w:val="0"/>
          <w:color w:val="000000" w:themeColor="text1"/>
          <w:sz w:val="20"/>
          <w:szCs w:val="20"/>
          <w:shd w:val="clear" w:color="auto" w:fill="FFFFFF"/>
        </w:rPr>
        <w:t>, 4-5</w:t>
      </w:r>
      <w:r w:rsidRPr="006F23E4">
        <w:rPr>
          <w:rFonts w:asciiTheme="minorHAnsi" w:eastAsiaTheme="minorHAnsi" w:hAnsiTheme="minorHAnsi" w:cstheme="minorHAnsi"/>
          <w:b w:val="0"/>
          <w:bCs w:val="0"/>
          <w:color w:val="000000" w:themeColor="text1"/>
          <w:sz w:val="20"/>
          <w:szCs w:val="20"/>
          <w:shd w:val="clear" w:color="auto" w:fill="FFFFFF"/>
        </w:rPr>
        <w:t>.</w:t>
      </w:r>
    </w:p>
  </w:footnote>
  <w:footnote w:id="9">
    <w:p w14:paraId="7C7BA11C" w14:textId="52139AF1" w:rsidR="00830F52" w:rsidRDefault="00830F52" w:rsidP="009B00F8">
      <w:pPr>
        <w:pStyle w:val="FootnoteText"/>
      </w:pPr>
      <w:r>
        <w:rPr>
          <w:rStyle w:val="FootnoteReference"/>
        </w:rPr>
        <w:footnoteRef/>
      </w:r>
      <w:r w:rsidR="00B376AB">
        <w:t xml:space="preserve"> </w:t>
      </w:r>
      <w:r w:rsidRPr="00830F52">
        <w:t>Snellman, Kaisa, Jennifer M. Silva, Carl B. Frederick, and Robert D. Putnam. “</w:t>
      </w:r>
      <w:hyperlink r:id="rId3" w:anchor="articleCitationDownloadContainer" w:history="1">
        <w:r w:rsidRPr="00AA0145">
          <w:rPr>
            <w:rStyle w:val="Hyperlink"/>
          </w:rPr>
          <w:t>The Engagement Gap: Social Mobility and Extracurricular Participation among American Youth</w:t>
        </w:r>
      </w:hyperlink>
      <w:r w:rsidRPr="00830F52">
        <w:t xml:space="preserve">.” The ANNALS of the American Academy of Political and Social Science 657, no. 1 (January 2015): 194–207. </w:t>
      </w:r>
    </w:p>
  </w:footnote>
  <w:footnote w:id="10">
    <w:p w14:paraId="26B6F612" w14:textId="4EBC1F8F" w:rsidR="00B81366" w:rsidRDefault="00B81366" w:rsidP="00576D58">
      <w:pPr>
        <w:pStyle w:val="FootnoteText"/>
        <w:contextualSpacing/>
      </w:pPr>
      <w:r w:rsidRPr="00F157E7">
        <w:rPr>
          <w:rStyle w:val="FootnoteReference"/>
          <w:color w:val="000000" w:themeColor="text1"/>
        </w:rPr>
        <w:footnoteRef/>
      </w:r>
      <w:r w:rsidRPr="00F157E7">
        <w:rPr>
          <w:color w:val="000000" w:themeColor="text1"/>
        </w:rPr>
        <w:t xml:space="preserve"> </w:t>
      </w:r>
      <w:r w:rsidRPr="00F157E7">
        <w:rPr>
          <w:rFonts w:cstheme="minorHAnsi"/>
          <w:color w:val="000000" w:themeColor="text1"/>
          <w:shd w:val="clear" w:color="auto" w:fill="FFFFFF"/>
        </w:rPr>
        <w:t>Goldhaber, D</w:t>
      </w:r>
      <w:r w:rsidR="00EB4116">
        <w:rPr>
          <w:rFonts w:cstheme="minorHAnsi"/>
          <w:color w:val="000000" w:themeColor="text1"/>
          <w:shd w:val="clear" w:color="auto" w:fill="FFFFFF"/>
        </w:rPr>
        <w:t>an</w:t>
      </w:r>
      <w:r w:rsidRPr="00F157E7">
        <w:rPr>
          <w:rFonts w:cstheme="minorHAnsi"/>
          <w:color w:val="000000" w:themeColor="text1"/>
          <w:shd w:val="clear" w:color="auto" w:fill="FFFFFF"/>
        </w:rPr>
        <w:t>,</w:t>
      </w:r>
      <w:r w:rsidR="00EB4116">
        <w:rPr>
          <w:rFonts w:cstheme="minorHAnsi"/>
          <w:color w:val="000000" w:themeColor="text1"/>
          <w:shd w:val="clear" w:color="auto" w:fill="FFFFFF"/>
        </w:rPr>
        <w:t xml:space="preserve"> Roddy</w:t>
      </w:r>
      <w:r w:rsidRPr="00F157E7">
        <w:rPr>
          <w:rFonts w:cstheme="minorHAnsi"/>
          <w:color w:val="000000" w:themeColor="text1"/>
          <w:shd w:val="clear" w:color="auto" w:fill="FFFFFF"/>
        </w:rPr>
        <w:t xml:space="preserve"> Theobald,</w:t>
      </w:r>
      <w:r w:rsidR="00EB4116">
        <w:rPr>
          <w:rFonts w:cstheme="minorHAnsi"/>
          <w:color w:val="000000" w:themeColor="text1"/>
          <w:shd w:val="clear" w:color="auto" w:fill="FFFFFF"/>
        </w:rPr>
        <w:t xml:space="preserve"> and</w:t>
      </w:r>
      <w:r w:rsidRPr="00F157E7">
        <w:rPr>
          <w:rFonts w:cstheme="minorHAnsi"/>
          <w:color w:val="000000" w:themeColor="text1"/>
          <w:shd w:val="clear" w:color="auto" w:fill="FFFFFF"/>
        </w:rPr>
        <w:t xml:space="preserve"> </w:t>
      </w:r>
      <w:r w:rsidR="00EB4116">
        <w:rPr>
          <w:rFonts w:cstheme="minorHAnsi"/>
          <w:color w:val="000000" w:themeColor="text1"/>
          <w:shd w:val="clear" w:color="auto" w:fill="FFFFFF"/>
        </w:rPr>
        <w:t xml:space="preserve">Christopher </w:t>
      </w:r>
      <w:r w:rsidRPr="00F157E7">
        <w:rPr>
          <w:rFonts w:cstheme="minorHAnsi"/>
          <w:color w:val="000000" w:themeColor="text1"/>
          <w:shd w:val="clear" w:color="auto" w:fill="FFFFFF"/>
        </w:rPr>
        <w:t>Tien</w:t>
      </w:r>
      <w:r w:rsidR="00EB4116">
        <w:rPr>
          <w:rFonts w:cstheme="minorHAnsi"/>
          <w:color w:val="000000" w:themeColor="text1"/>
          <w:shd w:val="clear" w:color="auto" w:fill="FFFFFF"/>
        </w:rPr>
        <w:t xml:space="preserve"> </w:t>
      </w:r>
      <w:r w:rsidRPr="00F157E7">
        <w:rPr>
          <w:rFonts w:cstheme="minorHAnsi"/>
          <w:color w:val="000000" w:themeColor="text1"/>
          <w:shd w:val="clear" w:color="auto" w:fill="FFFFFF"/>
        </w:rPr>
        <w:t xml:space="preserve">(2019). </w:t>
      </w:r>
      <w:r w:rsidR="007837DC" w:rsidRPr="00F157E7">
        <w:rPr>
          <w:rFonts w:cstheme="minorHAnsi"/>
          <w:color w:val="000000" w:themeColor="text1"/>
          <w:shd w:val="clear" w:color="auto" w:fill="FFFFFF"/>
        </w:rPr>
        <w:t>“</w:t>
      </w:r>
      <w:hyperlink r:id="rId4" w:history="1">
        <w:r w:rsidRPr="00EB4116">
          <w:rPr>
            <w:rStyle w:val="Hyperlink"/>
            <w:rFonts w:cstheme="minorHAnsi"/>
            <w:shd w:val="clear" w:color="auto" w:fill="FFFFFF"/>
          </w:rPr>
          <w:t>Why we need a diverse teacher workforce</w:t>
        </w:r>
      </w:hyperlink>
      <w:r w:rsidR="00EB4116">
        <w:rPr>
          <w:rFonts w:cstheme="minorHAnsi"/>
          <w:color w:val="000000" w:themeColor="text1"/>
          <w:shd w:val="clear" w:color="auto" w:fill="FFFFFF"/>
        </w:rPr>
        <w:t>.”</w:t>
      </w:r>
      <w:r w:rsidRPr="00F157E7">
        <w:rPr>
          <w:rFonts w:cstheme="minorHAnsi"/>
          <w:color w:val="000000" w:themeColor="text1"/>
          <w:shd w:val="clear" w:color="auto" w:fill="FFFFFF"/>
        </w:rPr>
        <w:t> </w:t>
      </w:r>
      <w:r w:rsidRPr="00EB4116">
        <w:t>Phi Delta </w:t>
      </w:r>
      <w:proofErr w:type="spellStart"/>
      <w:r w:rsidRPr="00EB4116">
        <w:t>Kappan</w:t>
      </w:r>
      <w:proofErr w:type="spellEnd"/>
      <w:r w:rsidRPr="00EB4116">
        <w:t>,</w:t>
      </w:r>
      <w:r w:rsidR="00F157E7" w:rsidRPr="00EB4116">
        <w:t xml:space="preserve"> </w:t>
      </w:r>
      <w:r w:rsidRPr="00EB4116">
        <w:t>100 (5), 25-30. </w:t>
      </w:r>
    </w:p>
  </w:footnote>
  <w:footnote w:id="11">
    <w:p w14:paraId="1CB911E3" w14:textId="6F4D52AC" w:rsidR="00761804" w:rsidRDefault="00761804">
      <w:pPr>
        <w:pStyle w:val="FootnoteText"/>
        <w:contextualSpacing/>
      </w:pPr>
      <w:r w:rsidRPr="00A228FC">
        <w:rPr>
          <w:vertAlign w:val="superscript"/>
        </w:rPr>
        <w:footnoteRef/>
      </w:r>
      <w:r w:rsidRPr="00A228FC">
        <w:rPr>
          <w:vertAlign w:val="superscript"/>
        </w:rPr>
        <w:t xml:space="preserve"> </w:t>
      </w:r>
      <w:r>
        <w:t>Forman, Ben (2019)</w:t>
      </w:r>
      <w:r w:rsidR="00576D58">
        <w:t>.</w:t>
      </w:r>
      <w:r w:rsidR="00576D58" w:rsidRPr="00576D58">
        <w:rPr>
          <w:i/>
        </w:rPr>
        <w:t xml:space="preserve"> </w:t>
      </w:r>
      <w:hyperlink r:id="rId5" w:history="1">
        <w:r w:rsidR="00576D58" w:rsidRPr="007C49A7">
          <w:rPr>
            <w:rStyle w:val="Hyperlink"/>
            <w:i/>
          </w:rPr>
          <w:t>Investing</w:t>
        </w:r>
        <w:r w:rsidRPr="007C49A7">
          <w:rPr>
            <w:rStyle w:val="Hyperlink"/>
            <w:i/>
          </w:rPr>
          <w:t xml:space="preserve"> in Early College: Our Most Promising Pathway</w:t>
        </w:r>
      </w:hyperlink>
      <w:r w:rsidR="00576D58" w:rsidRPr="00576D58">
        <w:t xml:space="preserve">. Published by </w:t>
      </w:r>
      <w:proofErr w:type="spellStart"/>
      <w:r w:rsidRPr="00576D58">
        <w:t>MassInc</w:t>
      </w:r>
      <w:proofErr w:type="spellEnd"/>
      <w:r w:rsidRPr="00576D58">
        <w:t>.</w:t>
      </w:r>
      <w:r>
        <w:t xml:space="preserve"> </w:t>
      </w:r>
    </w:p>
  </w:footnote>
  <w:footnote w:id="12">
    <w:p w14:paraId="7CAA0C2C" w14:textId="496E2A27" w:rsidR="00576D58" w:rsidRDefault="00576D58">
      <w:pPr>
        <w:pStyle w:val="FootnoteText"/>
      </w:pPr>
      <w:r>
        <w:rPr>
          <w:rStyle w:val="FootnoteReference"/>
        </w:rPr>
        <w:footnoteRef/>
      </w:r>
      <w:r>
        <w:t xml:space="preserve"> </w:t>
      </w:r>
      <w:r w:rsidRPr="00576D58">
        <w:rPr>
          <w:i/>
        </w:rPr>
        <w:t>Schueler, Beth (2018).</w:t>
      </w:r>
      <w:r w:rsidRPr="00F006F7">
        <w:rPr>
          <w:color w:val="444444"/>
          <w:shd w:val="clear" w:color="auto" w:fill="FFFFFF"/>
        </w:rPr>
        <w:t xml:space="preserve"> “</w:t>
      </w:r>
      <w:hyperlink r:id="rId6" w:history="1">
        <w:r w:rsidRPr="00F006F7">
          <w:rPr>
            <w:rStyle w:val="Hyperlink"/>
            <w:shd w:val="clear" w:color="auto" w:fill="FFFFFF"/>
          </w:rPr>
          <w:t>Making the Most of School Vacation: A Field Experiment of Small Group Math Instruction</w:t>
        </w:r>
      </w:hyperlink>
      <w:r w:rsidR="006F23E4">
        <w:rPr>
          <w:color w:val="444444"/>
          <w:shd w:val="clear" w:color="auto" w:fill="FFFFFF"/>
        </w:rPr>
        <w:t>.</w:t>
      </w:r>
      <w:r>
        <w:rPr>
          <w:i/>
          <w:color w:val="444444"/>
          <w:shd w:val="clear" w:color="auto" w:fill="FFFFFF"/>
        </w:rPr>
        <w:t xml:space="preserve">“ </w:t>
      </w:r>
      <w:r w:rsidRPr="00576D58">
        <w:rPr>
          <w:i/>
          <w:color w:val="000000" w:themeColor="text1"/>
          <w:shd w:val="clear" w:color="auto" w:fill="FFFFFF"/>
        </w:rPr>
        <w:t>American Education Finance and Policy</w:t>
      </w:r>
      <w:r w:rsidRPr="00576D58">
        <w:rPr>
          <w:color w:val="000000" w:themeColor="text1"/>
          <w:shd w:val="clear" w:color="auto" w:fill="FFFFFF"/>
        </w:rPr>
        <w:t xml:space="preserve">, </w:t>
      </w:r>
      <w:r w:rsidR="00EC6856">
        <w:rPr>
          <w:color w:val="000000" w:themeColor="text1"/>
          <w:shd w:val="clear" w:color="auto" w:fill="FFFFFF"/>
        </w:rPr>
        <w:t xml:space="preserve">recently </w:t>
      </w:r>
      <w:r w:rsidRPr="00576D58">
        <w:rPr>
          <w:color w:val="000000" w:themeColor="text1"/>
          <w:shd w:val="clear" w:color="auto" w:fill="FFFFFF"/>
        </w:rPr>
        <w:t>accepted for publication.</w:t>
      </w:r>
    </w:p>
  </w:footnote>
  <w:footnote w:id="13">
    <w:p w14:paraId="0CB73E24" w14:textId="68F065A1" w:rsidR="001E22C9" w:rsidRPr="00AA6203" w:rsidRDefault="001E22C9" w:rsidP="001E22C9">
      <w:pPr>
        <w:pStyle w:val="FootnoteText"/>
      </w:pPr>
      <w:r>
        <w:rPr>
          <w:rStyle w:val="FootnoteReference"/>
        </w:rPr>
        <w:footnoteRef/>
      </w:r>
      <w:r>
        <w:t xml:space="preserve"> </w:t>
      </w:r>
      <w:r w:rsidR="00AA6203">
        <w:t xml:space="preserve">Sheldon, Steven and Jung, Sol Bee (2018).  </w:t>
      </w:r>
      <w:hyperlink r:id="rId7" w:history="1">
        <w:r w:rsidR="00AA6203" w:rsidRPr="00AA6203">
          <w:rPr>
            <w:rStyle w:val="Hyperlink"/>
            <w:i/>
          </w:rPr>
          <w:t>Student Outcomes and Parent Year 3 Evaluation Teacher Home Visits</w:t>
        </w:r>
      </w:hyperlink>
      <w:r w:rsidR="00AA6203">
        <w:t>. Prepared</w:t>
      </w:r>
      <w:r w:rsidR="0032466C">
        <w:t xml:space="preserve"> by Johns Hopkins School of </w:t>
      </w:r>
      <w:r w:rsidR="002F6905">
        <w:t>Education</w:t>
      </w:r>
      <w:r w:rsidR="00AA6203">
        <w:t xml:space="preserve"> for Parent Teacher Home Visits. </w:t>
      </w:r>
    </w:p>
  </w:footnote>
  <w:footnote w:id="14">
    <w:p w14:paraId="5ABF57FE" w14:textId="21BC4871" w:rsidR="00732FC0" w:rsidRPr="00501143" w:rsidRDefault="00732FC0">
      <w:pPr>
        <w:pStyle w:val="FootnoteText"/>
      </w:pPr>
      <w:r>
        <w:rPr>
          <w:rStyle w:val="FootnoteReference"/>
        </w:rPr>
        <w:footnoteRef/>
      </w:r>
      <w:r>
        <w:t xml:space="preserve"> </w:t>
      </w:r>
      <w:r w:rsidR="00501143">
        <w:t xml:space="preserve">Rubinstein, Saul and McCarthy, John E. </w:t>
      </w:r>
      <w:r w:rsidR="00F157E7">
        <w:t>(</w:t>
      </w:r>
      <w:r w:rsidR="00501143">
        <w:t>2014</w:t>
      </w:r>
      <w:r w:rsidR="00F157E7">
        <w:t>)</w:t>
      </w:r>
      <w:r w:rsidR="00501143">
        <w:t xml:space="preserve">. </w:t>
      </w:r>
      <w:hyperlink r:id="rId8" w:history="1">
        <w:r w:rsidR="00501143" w:rsidRPr="00501143">
          <w:rPr>
            <w:rStyle w:val="Hyperlink"/>
            <w:i/>
          </w:rPr>
          <w:t>Teachers Unions and Management Partnerships: How Working Together Improves Student Achievement</w:t>
        </w:r>
      </w:hyperlink>
      <w:r w:rsidR="00501143">
        <w:rPr>
          <w:i/>
        </w:rPr>
        <w:t xml:space="preserve">. </w:t>
      </w:r>
      <w:r w:rsidR="00501143">
        <w:t xml:space="preserve">Published by the Center for American Progress.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F15"/>
    <w:multiLevelType w:val="hybridMultilevel"/>
    <w:tmpl w:val="2D30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620D6"/>
    <w:multiLevelType w:val="hybridMultilevel"/>
    <w:tmpl w:val="B7CE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2597B"/>
    <w:multiLevelType w:val="hybridMultilevel"/>
    <w:tmpl w:val="FE64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E01B6"/>
    <w:multiLevelType w:val="hybridMultilevel"/>
    <w:tmpl w:val="818EA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7032F"/>
    <w:multiLevelType w:val="hybridMultilevel"/>
    <w:tmpl w:val="9AF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F2A60"/>
    <w:multiLevelType w:val="hybridMultilevel"/>
    <w:tmpl w:val="DA4896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56ED7741"/>
    <w:multiLevelType w:val="hybridMultilevel"/>
    <w:tmpl w:val="9520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95CA0"/>
    <w:multiLevelType w:val="hybridMultilevel"/>
    <w:tmpl w:val="6EBA4B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775613">
    <w:abstractNumId w:val="3"/>
  </w:num>
  <w:num w:numId="2" w16cid:durableId="306471920">
    <w:abstractNumId w:val="7"/>
  </w:num>
  <w:num w:numId="3" w16cid:durableId="893154249">
    <w:abstractNumId w:val="6"/>
  </w:num>
  <w:num w:numId="4" w16cid:durableId="2050958780">
    <w:abstractNumId w:val="1"/>
  </w:num>
  <w:num w:numId="5" w16cid:durableId="390814561">
    <w:abstractNumId w:val="2"/>
  </w:num>
  <w:num w:numId="6" w16cid:durableId="180509985">
    <w:abstractNumId w:val="5"/>
  </w:num>
  <w:num w:numId="7" w16cid:durableId="905799042">
    <w:abstractNumId w:val="0"/>
  </w:num>
  <w:num w:numId="8" w16cid:durableId="2147240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44"/>
    <w:rsid w:val="00025195"/>
    <w:rsid w:val="00027961"/>
    <w:rsid w:val="00032E9C"/>
    <w:rsid w:val="0003474A"/>
    <w:rsid w:val="000526BF"/>
    <w:rsid w:val="00076C51"/>
    <w:rsid w:val="00096CCC"/>
    <w:rsid w:val="000A3292"/>
    <w:rsid w:val="000A6212"/>
    <w:rsid w:val="000B1781"/>
    <w:rsid w:val="000B66C9"/>
    <w:rsid w:val="000D2059"/>
    <w:rsid w:val="000D5460"/>
    <w:rsid w:val="000D7059"/>
    <w:rsid w:val="000E4769"/>
    <w:rsid w:val="000F4914"/>
    <w:rsid w:val="00125007"/>
    <w:rsid w:val="00126351"/>
    <w:rsid w:val="0012733F"/>
    <w:rsid w:val="00130489"/>
    <w:rsid w:val="00130D67"/>
    <w:rsid w:val="001311A7"/>
    <w:rsid w:val="001526D8"/>
    <w:rsid w:val="001558F2"/>
    <w:rsid w:val="0015723E"/>
    <w:rsid w:val="001660DD"/>
    <w:rsid w:val="00180196"/>
    <w:rsid w:val="00193E94"/>
    <w:rsid w:val="001B4601"/>
    <w:rsid w:val="001C446A"/>
    <w:rsid w:val="001D0069"/>
    <w:rsid w:val="001D410A"/>
    <w:rsid w:val="001D4D0F"/>
    <w:rsid w:val="001E0A35"/>
    <w:rsid w:val="001E22C9"/>
    <w:rsid w:val="001F3A8B"/>
    <w:rsid w:val="00201A83"/>
    <w:rsid w:val="00206F67"/>
    <w:rsid w:val="002124BA"/>
    <w:rsid w:val="0023233C"/>
    <w:rsid w:val="00232FC8"/>
    <w:rsid w:val="00234C03"/>
    <w:rsid w:val="002406AE"/>
    <w:rsid w:val="002448A3"/>
    <w:rsid w:val="0025509D"/>
    <w:rsid w:val="0025586E"/>
    <w:rsid w:val="00270295"/>
    <w:rsid w:val="00271BD8"/>
    <w:rsid w:val="00272CED"/>
    <w:rsid w:val="00282925"/>
    <w:rsid w:val="0028592D"/>
    <w:rsid w:val="00287653"/>
    <w:rsid w:val="00290177"/>
    <w:rsid w:val="00295F48"/>
    <w:rsid w:val="00297576"/>
    <w:rsid w:val="002A0B90"/>
    <w:rsid w:val="002A5BC0"/>
    <w:rsid w:val="002C1437"/>
    <w:rsid w:val="002D1736"/>
    <w:rsid w:val="002D532F"/>
    <w:rsid w:val="002D716B"/>
    <w:rsid w:val="002E667F"/>
    <w:rsid w:val="002F21DA"/>
    <w:rsid w:val="002F6905"/>
    <w:rsid w:val="00305555"/>
    <w:rsid w:val="00311C41"/>
    <w:rsid w:val="0031522A"/>
    <w:rsid w:val="00320078"/>
    <w:rsid w:val="0032466C"/>
    <w:rsid w:val="00327002"/>
    <w:rsid w:val="00327AA8"/>
    <w:rsid w:val="0034666F"/>
    <w:rsid w:val="00350349"/>
    <w:rsid w:val="003602C7"/>
    <w:rsid w:val="0036406C"/>
    <w:rsid w:val="00366935"/>
    <w:rsid w:val="00387483"/>
    <w:rsid w:val="00387D79"/>
    <w:rsid w:val="003906F1"/>
    <w:rsid w:val="003A59F6"/>
    <w:rsid w:val="003B7E01"/>
    <w:rsid w:val="003C0071"/>
    <w:rsid w:val="003C442B"/>
    <w:rsid w:val="003C67D7"/>
    <w:rsid w:val="003E4ABA"/>
    <w:rsid w:val="003F1CD9"/>
    <w:rsid w:val="0040117E"/>
    <w:rsid w:val="00403513"/>
    <w:rsid w:val="0040547C"/>
    <w:rsid w:val="004079C6"/>
    <w:rsid w:val="004101A5"/>
    <w:rsid w:val="00431615"/>
    <w:rsid w:val="004319F9"/>
    <w:rsid w:val="004355CF"/>
    <w:rsid w:val="004503A3"/>
    <w:rsid w:val="00451411"/>
    <w:rsid w:val="00453D53"/>
    <w:rsid w:val="00462F34"/>
    <w:rsid w:val="00491EA8"/>
    <w:rsid w:val="004973CB"/>
    <w:rsid w:val="004A0ABA"/>
    <w:rsid w:val="004A6D65"/>
    <w:rsid w:val="004B217E"/>
    <w:rsid w:val="004B5402"/>
    <w:rsid w:val="004C2BD9"/>
    <w:rsid w:val="004C3762"/>
    <w:rsid w:val="004D0FF8"/>
    <w:rsid w:val="004D3885"/>
    <w:rsid w:val="004D6278"/>
    <w:rsid w:val="004E2D12"/>
    <w:rsid w:val="004E4C18"/>
    <w:rsid w:val="004F1C3A"/>
    <w:rsid w:val="004F3560"/>
    <w:rsid w:val="00500C6E"/>
    <w:rsid w:val="00501143"/>
    <w:rsid w:val="00505D37"/>
    <w:rsid w:val="005151FF"/>
    <w:rsid w:val="0051688A"/>
    <w:rsid w:val="005355D1"/>
    <w:rsid w:val="0056270B"/>
    <w:rsid w:val="0057165D"/>
    <w:rsid w:val="00575AD9"/>
    <w:rsid w:val="0057605E"/>
    <w:rsid w:val="00576D58"/>
    <w:rsid w:val="00577587"/>
    <w:rsid w:val="005930CD"/>
    <w:rsid w:val="005A155C"/>
    <w:rsid w:val="005B21A6"/>
    <w:rsid w:val="005B5088"/>
    <w:rsid w:val="005C307F"/>
    <w:rsid w:val="006059B0"/>
    <w:rsid w:val="00605F35"/>
    <w:rsid w:val="0061648B"/>
    <w:rsid w:val="006209D1"/>
    <w:rsid w:val="006243AE"/>
    <w:rsid w:val="00633C18"/>
    <w:rsid w:val="00636DF2"/>
    <w:rsid w:val="0065207D"/>
    <w:rsid w:val="0065216F"/>
    <w:rsid w:val="006634A9"/>
    <w:rsid w:val="00663B9F"/>
    <w:rsid w:val="00665D39"/>
    <w:rsid w:val="006676E1"/>
    <w:rsid w:val="00670821"/>
    <w:rsid w:val="0068383F"/>
    <w:rsid w:val="00690C84"/>
    <w:rsid w:val="00690C87"/>
    <w:rsid w:val="006A0E44"/>
    <w:rsid w:val="006A4494"/>
    <w:rsid w:val="006A5F73"/>
    <w:rsid w:val="006B6DB2"/>
    <w:rsid w:val="006B6E63"/>
    <w:rsid w:val="006C5402"/>
    <w:rsid w:val="006D0DF5"/>
    <w:rsid w:val="006D16A4"/>
    <w:rsid w:val="006E7AD2"/>
    <w:rsid w:val="006F23E4"/>
    <w:rsid w:val="00717C93"/>
    <w:rsid w:val="007257AC"/>
    <w:rsid w:val="0073205A"/>
    <w:rsid w:val="00732FC0"/>
    <w:rsid w:val="007510A3"/>
    <w:rsid w:val="00752FE1"/>
    <w:rsid w:val="00761804"/>
    <w:rsid w:val="007837DC"/>
    <w:rsid w:val="00791A90"/>
    <w:rsid w:val="00792340"/>
    <w:rsid w:val="00797D76"/>
    <w:rsid w:val="007B5F26"/>
    <w:rsid w:val="007C0DDC"/>
    <w:rsid w:val="007C2F8D"/>
    <w:rsid w:val="007C49A7"/>
    <w:rsid w:val="007C7FD4"/>
    <w:rsid w:val="007D6B37"/>
    <w:rsid w:val="007F12F0"/>
    <w:rsid w:val="007F5123"/>
    <w:rsid w:val="00800707"/>
    <w:rsid w:val="00800E72"/>
    <w:rsid w:val="008029DF"/>
    <w:rsid w:val="008079BE"/>
    <w:rsid w:val="0081049C"/>
    <w:rsid w:val="00820744"/>
    <w:rsid w:val="00830F52"/>
    <w:rsid w:val="00835E3A"/>
    <w:rsid w:val="008531BE"/>
    <w:rsid w:val="0086433D"/>
    <w:rsid w:val="008717F9"/>
    <w:rsid w:val="00880537"/>
    <w:rsid w:val="0088305F"/>
    <w:rsid w:val="0089515B"/>
    <w:rsid w:val="008A0CD4"/>
    <w:rsid w:val="008A716B"/>
    <w:rsid w:val="008B5F0A"/>
    <w:rsid w:val="008C4C66"/>
    <w:rsid w:val="008C7C18"/>
    <w:rsid w:val="008C7ED2"/>
    <w:rsid w:val="008E4FBD"/>
    <w:rsid w:val="00903D2B"/>
    <w:rsid w:val="00906AC2"/>
    <w:rsid w:val="00907C8A"/>
    <w:rsid w:val="00915725"/>
    <w:rsid w:val="00932184"/>
    <w:rsid w:val="009322D8"/>
    <w:rsid w:val="00954969"/>
    <w:rsid w:val="00963A84"/>
    <w:rsid w:val="0096607E"/>
    <w:rsid w:val="00973A46"/>
    <w:rsid w:val="00980353"/>
    <w:rsid w:val="00991A1C"/>
    <w:rsid w:val="0099294A"/>
    <w:rsid w:val="009954F2"/>
    <w:rsid w:val="009976AD"/>
    <w:rsid w:val="009A00B9"/>
    <w:rsid w:val="009A4F23"/>
    <w:rsid w:val="009B00F8"/>
    <w:rsid w:val="009B7A95"/>
    <w:rsid w:val="009D15B9"/>
    <w:rsid w:val="00A00A7E"/>
    <w:rsid w:val="00A12CED"/>
    <w:rsid w:val="00A228FC"/>
    <w:rsid w:val="00A3348E"/>
    <w:rsid w:val="00A41908"/>
    <w:rsid w:val="00A6028C"/>
    <w:rsid w:val="00A91713"/>
    <w:rsid w:val="00A94895"/>
    <w:rsid w:val="00A955D9"/>
    <w:rsid w:val="00AA0145"/>
    <w:rsid w:val="00AA6203"/>
    <w:rsid w:val="00AB3736"/>
    <w:rsid w:val="00AC0B8C"/>
    <w:rsid w:val="00AC4E45"/>
    <w:rsid w:val="00AC563D"/>
    <w:rsid w:val="00AD514F"/>
    <w:rsid w:val="00AE6345"/>
    <w:rsid w:val="00AF0ED6"/>
    <w:rsid w:val="00B06FCC"/>
    <w:rsid w:val="00B31F48"/>
    <w:rsid w:val="00B376AB"/>
    <w:rsid w:val="00B60561"/>
    <w:rsid w:val="00B60AAE"/>
    <w:rsid w:val="00B81366"/>
    <w:rsid w:val="00B87A1A"/>
    <w:rsid w:val="00BA451B"/>
    <w:rsid w:val="00BC10A0"/>
    <w:rsid w:val="00BC343D"/>
    <w:rsid w:val="00BC45BF"/>
    <w:rsid w:val="00BE27DB"/>
    <w:rsid w:val="00BF074B"/>
    <w:rsid w:val="00BF4F0A"/>
    <w:rsid w:val="00BF6C49"/>
    <w:rsid w:val="00C35B48"/>
    <w:rsid w:val="00C601A2"/>
    <w:rsid w:val="00C614B9"/>
    <w:rsid w:val="00C64057"/>
    <w:rsid w:val="00C715D9"/>
    <w:rsid w:val="00C76C30"/>
    <w:rsid w:val="00C77736"/>
    <w:rsid w:val="00C8135C"/>
    <w:rsid w:val="00C8230A"/>
    <w:rsid w:val="00C87AB7"/>
    <w:rsid w:val="00C92990"/>
    <w:rsid w:val="00C930DF"/>
    <w:rsid w:val="00C94698"/>
    <w:rsid w:val="00CA20E0"/>
    <w:rsid w:val="00CA3992"/>
    <w:rsid w:val="00CB29F5"/>
    <w:rsid w:val="00CC42A7"/>
    <w:rsid w:val="00CE1BF7"/>
    <w:rsid w:val="00CE688F"/>
    <w:rsid w:val="00CE7B7E"/>
    <w:rsid w:val="00CF62C9"/>
    <w:rsid w:val="00D1078C"/>
    <w:rsid w:val="00D238E8"/>
    <w:rsid w:val="00D242A7"/>
    <w:rsid w:val="00D36E5D"/>
    <w:rsid w:val="00D601A9"/>
    <w:rsid w:val="00D63C2D"/>
    <w:rsid w:val="00D651F8"/>
    <w:rsid w:val="00D6739E"/>
    <w:rsid w:val="00D70039"/>
    <w:rsid w:val="00D752FA"/>
    <w:rsid w:val="00D82F34"/>
    <w:rsid w:val="00D838BC"/>
    <w:rsid w:val="00DC1CE4"/>
    <w:rsid w:val="00DC6580"/>
    <w:rsid w:val="00DD256D"/>
    <w:rsid w:val="00DF34CF"/>
    <w:rsid w:val="00E01453"/>
    <w:rsid w:val="00E12D4A"/>
    <w:rsid w:val="00E1650F"/>
    <w:rsid w:val="00E227B2"/>
    <w:rsid w:val="00E35B1B"/>
    <w:rsid w:val="00E51EEC"/>
    <w:rsid w:val="00E53EB3"/>
    <w:rsid w:val="00E63895"/>
    <w:rsid w:val="00E76D78"/>
    <w:rsid w:val="00E906DF"/>
    <w:rsid w:val="00E93231"/>
    <w:rsid w:val="00E95763"/>
    <w:rsid w:val="00E9780D"/>
    <w:rsid w:val="00EB4116"/>
    <w:rsid w:val="00EC6856"/>
    <w:rsid w:val="00EC7812"/>
    <w:rsid w:val="00F006F7"/>
    <w:rsid w:val="00F0225A"/>
    <w:rsid w:val="00F03507"/>
    <w:rsid w:val="00F157E7"/>
    <w:rsid w:val="00F15CAC"/>
    <w:rsid w:val="00F23AE5"/>
    <w:rsid w:val="00F23D8B"/>
    <w:rsid w:val="00F255D1"/>
    <w:rsid w:val="00F26AB0"/>
    <w:rsid w:val="00F344FF"/>
    <w:rsid w:val="00F46695"/>
    <w:rsid w:val="00F5714C"/>
    <w:rsid w:val="00F62D91"/>
    <w:rsid w:val="00F70582"/>
    <w:rsid w:val="00F72AD1"/>
    <w:rsid w:val="00F82723"/>
    <w:rsid w:val="00F82A62"/>
    <w:rsid w:val="00F86EBF"/>
    <w:rsid w:val="00F9246F"/>
    <w:rsid w:val="00F93106"/>
    <w:rsid w:val="00FA5AB3"/>
    <w:rsid w:val="00FB117A"/>
    <w:rsid w:val="00FB304E"/>
    <w:rsid w:val="00FC2857"/>
    <w:rsid w:val="00FC32FC"/>
    <w:rsid w:val="00FC3BCD"/>
    <w:rsid w:val="00FC44DE"/>
    <w:rsid w:val="00FC6F61"/>
    <w:rsid w:val="00FD2D50"/>
    <w:rsid w:val="00FE6801"/>
    <w:rsid w:val="00FE7FE8"/>
    <w:rsid w:val="00FF7D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B38D8"/>
  <w15:chartTrackingRefBased/>
  <w15:docId w15:val="{491B5673-FC62-4947-8EA0-624DDBCA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F26"/>
    <w:pPr>
      <w:spacing w:after="0"/>
      <w:jc w:val="center"/>
      <w:outlineLvl w:val="0"/>
    </w:pPr>
    <w:rPr>
      <w:rFonts w:cstheme="minorHAnsi"/>
      <w:b/>
      <w:color w:val="2F5496" w:themeColor="accent1" w:themeShade="BF"/>
      <w:sz w:val="48"/>
      <w:szCs w:val="48"/>
    </w:rPr>
  </w:style>
  <w:style w:type="paragraph" w:styleId="Heading2">
    <w:name w:val="heading 2"/>
    <w:next w:val="Normal"/>
    <w:link w:val="Heading2Char"/>
    <w:uiPriority w:val="9"/>
    <w:unhideWhenUsed/>
    <w:qFormat/>
    <w:rsid w:val="007B5F26"/>
    <w:pPr>
      <w:spacing w:after="0"/>
      <w:outlineLvl w:val="1"/>
    </w:pPr>
    <w:rPr>
      <w:rFonts w:cstheme="minorHAnsi"/>
      <w:b/>
      <w:color w:val="2F5496" w:themeColor="accent1" w:themeShade="BF"/>
      <w:sz w:val="25"/>
      <w:szCs w:val="25"/>
      <w:u w:val="single"/>
    </w:rPr>
  </w:style>
  <w:style w:type="paragraph" w:styleId="Heading3">
    <w:name w:val="heading 3"/>
    <w:next w:val="Normal"/>
    <w:link w:val="Heading3Char"/>
    <w:uiPriority w:val="9"/>
    <w:unhideWhenUsed/>
    <w:qFormat/>
    <w:rsid w:val="007B5F26"/>
    <w:pPr>
      <w:spacing w:after="0"/>
      <w:outlineLvl w:val="2"/>
    </w:pPr>
    <w:rPr>
      <w:rFonts w:cstheme="minorHAnsi"/>
      <w:b/>
      <w:color w:val="2F5496" w:themeColor="accent1" w:themeShade="BF"/>
      <w:sz w:val="24"/>
      <w:szCs w:val="24"/>
    </w:rPr>
  </w:style>
  <w:style w:type="paragraph" w:styleId="Heading4">
    <w:name w:val="heading 4"/>
    <w:basedOn w:val="Normal"/>
    <w:link w:val="Heading4Char"/>
    <w:uiPriority w:val="9"/>
    <w:qFormat/>
    <w:rsid w:val="007923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723"/>
    <w:pPr>
      <w:ind w:left="720"/>
      <w:contextualSpacing/>
    </w:pPr>
  </w:style>
  <w:style w:type="paragraph" w:styleId="BalloonText">
    <w:name w:val="Balloon Text"/>
    <w:basedOn w:val="Normal"/>
    <w:link w:val="BalloonTextChar"/>
    <w:uiPriority w:val="99"/>
    <w:semiHidden/>
    <w:unhideWhenUsed/>
    <w:rsid w:val="00DC6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580"/>
    <w:rPr>
      <w:rFonts w:ascii="Segoe UI" w:hAnsi="Segoe UI" w:cs="Segoe UI"/>
      <w:sz w:val="18"/>
      <w:szCs w:val="18"/>
    </w:rPr>
  </w:style>
  <w:style w:type="character" w:styleId="Hyperlink">
    <w:name w:val="Hyperlink"/>
    <w:basedOn w:val="DefaultParagraphFont"/>
    <w:uiPriority w:val="99"/>
    <w:unhideWhenUsed/>
    <w:rsid w:val="00633C18"/>
    <w:rPr>
      <w:color w:val="0563C1" w:themeColor="hyperlink"/>
      <w:u w:val="single"/>
    </w:rPr>
  </w:style>
  <w:style w:type="character" w:customStyle="1" w:styleId="UnresolvedMention1">
    <w:name w:val="Unresolved Mention1"/>
    <w:basedOn w:val="DefaultParagraphFont"/>
    <w:uiPriority w:val="99"/>
    <w:semiHidden/>
    <w:unhideWhenUsed/>
    <w:rsid w:val="00633C18"/>
    <w:rPr>
      <w:color w:val="605E5C"/>
      <w:shd w:val="clear" w:color="auto" w:fill="E1DFDD"/>
    </w:rPr>
  </w:style>
  <w:style w:type="paragraph" w:styleId="EndnoteText">
    <w:name w:val="endnote text"/>
    <w:basedOn w:val="Normal"/>
    <w:link w:val="EndnoteTextChar"/>
    <w:uiPriority w:val="99"/>
    <w:semiHidden/>
    <w:unhideWhenUsed/>
    <w:rsid w:val="00CA39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3992"/>
    <w:rPr>
      <w:sz w:val="20"/>
      <w:szCs w:val="20"/>
    </w:rPr>
  </w:style>
  <w:style w:type="character" w:styleId="EndnoteReference">
    <w:name w:val="endnote reference"/>
    <w:basedOn w:val="DefaultParagraphFont"/>
    <w:uiPriority w:val="99"/>
    <w:semiHidden/>
    <w:unhideWhenUsed/>
    <w:rsid w:val="00CA3992"/>
    <w:rPr>
      <w:vertAlign w:val="superscript"/>
    </w:rPr>
  </w:style>
  <w:style w:type="character" w:styleId="FollowedHyperlink">
    <w:name w:val="FollowedHyperlink"/>
    <w:basedOn w:val="DefaultParagraphFont"/>
    <w:uiPriority w:val="99"/>
    <w:semiHidden/>
    <w:unhideWhenUsed/>
    <w:rsid w:val="002406AE"/>
    <w:rPr>
      <w:color w:val="954F72" w:themeColor="followedHyperlink"/>
      <w:u w:val="single"/>
    </w:rPr>
  </w:style>
  <w:style w:type="paragraph" w:styleId="Header">
    <w:name w:val="header"/>
    <w:basedOn w:val="Normal"/>
    <w:link w:val="HeaderChar"/>
    <w:uiPriority w:val="99"/>
    <w:unhideWhenUsed/>
    <w:rsid w:val="00751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0A3"/>
  </w:style>
  <w:style w:type="paragraph" w:styleId="Footer">
    <w:name w:val="footer"/>
    <w:basedOn w:val="Normal"/>
    <w:link w:val="FooterChar"/>
    <w:uiPriority w:val="99"/>
    <w:unhideWhenUsed/>
    <w:rsid w:val="00751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0A3"/>
  </w:style>
  <w:style w:type="paragraph" w:styleId="FootnoteText">
    <w:name w:val="footnote text"/>
    <w:basedOn w:val="Normal"/>
    <w:link w:val="FootnoteTextChar"/>
    <w:uiPriority w:val="99"/>
    <w:semiHidden/>
    <w:unhideWhenUsed/>
    <w:rsid w:val="008C7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C18"/>
    <w:rPr>
      <w:sz w:val="20"/>
      <w:szCs w:val="20"/>
    </w:rPr>
  </w:style>
  <w:style w:type="character" w:styleId="FootnoteReference">
    <w:name w:val="footnote reference"/>
    <w:basedOn w:val="DefaultParagraphFont"/>
    <w:uiPriority w:val="99"/>
    <w:semiHidden/>
    <w:unhideWhenUsed/>
    <w:rsid w:val="008C7C18"/>
    <w:rPr>
      <w:vertAlign w:val="superscript"/>
    </w:rPr>
  </w:style>
  <w:style w:type="character" w:styleId="Emphasis">
    <w:name w:val="Emphasis"/>
    <w:basedOn w:val="DefaultParagraphFont"/>
    <w:uiPriority w:val="20"/>
    <w:qFormat/>
    <w:rsid w:val="008C7C18"/>
    <w:rPr>
      <w:i/>
      <w:iCs/>
    </w:rPr>
  </w:style>
  <w:style w:type="character" w:styleId="CommentReference">
    <w:name w:val="annotation reference"/>
    <w:basedOn w:val="DefaultParagraphFont"/>
    <w:uiPriority w:val="99"/>
    <w:semiHidden/>
    <w:unhideWhenUsed/>
    <w:rsid w:val="007C2F8D"/>
    <w:rPr>
      <w:sz w:val="16"/>
      <w:szCs w:val="16"/>
    </w:rPr>
  </w:style>
  <w:style w:type="paragraph" w:styleId="CommentText">
    <w:name w:val="annotation text"/>
    <w:basedOn w:val="Normal"/>
    <w:link w:val="CommentTextChar"/>
    <w:uiPriority w:val="99"/>
    <w:semiHidden/>
    <w:unhideWhenUsed/>
    <w:rsid w:val="007C2F8D"/>
    <w:pPr>
      <w:spacing w:line="240" w:lineRule="auto"/>
    </w:pPr>
    <w:rPr>
      <w:sz w:val="20"/>
      <w:szCs w:val="20"/>
    </w:rPr>
  </w:style>
  <w:style w:type="character" w:customStyle="1" w:styleId="CommentTextChar">
    <w:name w:val="Comment Text Char"/>
    <w:basedOn w:val="DefaultParagraphFont"/>
    <w:link w:val="CommentText"/>
    <w:uiPriority w:val="99"/>
    <w:semiHidden/>
    <w:rsid w:val="007C2F8D"/>
    <w:rPr>
      <w:sz w:val="20"/>
      <w:szCs w:val="20"/>
    </w:rPr>
  </w:style>
  <w:style w:type="paragraph" w:styleId="CommentSubject">
    <w:name w:val="annotation subject"/>
    <w:basedOn w:val="CommentText"/>
    <w:next w:val="CommentText"/>
    <w:link w:val="CommentSubjectChar"/>
    <w:uiPriority w:val="99"/>
    <w:semiHidden/>
    <w:unhideWhenUsed/>
    <w:rsid w:val="007C2F8D"/>
    <w:rPr>
      <w:b/>
      <w:bCs/>
    </w:rPr>
  </w:style>
  <w:style w:type="character" w:customStyle="1" w:styleId="CommentSubjectChar">
    <w:name w:val="Comment Subject Char"/>
    <w:basedOn w:val="CommentTextChar"/>
    <w:link w:val="CommentSubject"/>
    <w:uiPriority w:val="99"/>
    <w:semiHidden/>
    <w:rsid w:val="007C2F8D"/>
    <w:rPr>
      <w:b/>
      <w:bCs/>
      <w:sz w:val="20"/>
      <w:szCs w:val="20"/>
    </w:rPr>
  </w:style>
  <w:style w:type="character" w:styleId="UnresolvedMention">
    <w:name w:val="Unresolved Mention"/>
    <w:basedOn w:val="DefaultParagraphFont"/>
    <w:uiPriority w:val="99"/>
    <w:semiHidden/>
    <w:unhideWhenUsed/>
    <w:rsid w:val="00D838BC"/>
    <w:rPr>
      <w:color w:val="605E5C"/>
      <w:shd w:val="clear" w:color="auto" w:fill="E1DFDD"/>
    </w:rPr>
  </w:style>
  <w:style w:type="character" w:customStyle="1" w:styleId="Heading4Char">
    <w:name w:val="Heading 4 Char"/>
    <w:basedOn w:val="DefaultParagraphFont"/>
    <w:link w:val="Heading4"/>
    <w:uiPriority w:val="9"/>
    <w:rsid w:val="00792340"/>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7B5F26"/>
    <w:rPr>
      <w:rFonts w:cstheme="minorHAnsi"/>
      <w:b/>
      <w:color w:val="2F5496" w:themeColor="accent1" w:themeShade="BF"/>
      <w:sz w:val="48"/>
      <w:szCs w:val="48"/>
    </w:rPr>
  </w:style>
  <w:style w:type="character" w:customStyle="1" w:styleId="Heading2Char">
    <w:name w:val="Heading 2 Char"/>
    <w:basedOn w:val="DefaultParagraphFont"/>
    <w:link w:val="Heading2"/>
    <w:uiPriority w:val="9"/>
    <w:rsid w:val="007B5F26"/>
    <w:rPr>
      <w:rFonts w:cstheme="minorHAnsi"/>
      <w:b/>
      <w:color w:val="2F5496" w:themeColor="accent1" w:themeShade="BF"/>
      <w:sz w:val="25"/>
      <w:szCs w:val="25"/>
      <w:u w:val="single"/>
    </w:rPr>
  </w:style>
  <w:style w:type="character" w:customStyle="1" w:styleId="Heading3Char">
    <w:name w:val="Heading 3 Char"/>
    <w:basedOn w:val="DefaultParagraphFont"/>
    <w:link w:val="Heading3"/>
    <w:uiPriority w:val="9"/>
    <w:rsid w:val="007B5F26"/>
    <w:rPr>
      <w:rFonts w:cstheme="minorHAnsi"/>
      <w:b/>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1070">
      <w:bodyDiv w:val="1"/>
      <w:marLeft w:val="0"/>
      <w:marRight w:val="0"/>
      <w:marTop w:val="0"/>
      <w:marBottom w:val="0"/>
      <w:divBdr>
        <w:top w:val="none" w:sz="0" w:space="0" w:color="auto"/>
        <w:left w:val="none" w:sz="0" w:space="0" w:color="auto"/>
        <w:bottom w:val="none" w:sz="0" w:space="0" w:color="auto"/>
        <w:right w:val="none" w:sz="0" w:space="0" w:color="auto"/>
      </w:divBdr>
      <w:divsChild>
        <w:div w:id="1716739633">
          <w:marLeft w:val="0"/>
          <w:marRight w:val="0"/>
          <w:marTop w:val="0"/>
          <w:marBottom w:val="0"/>
          <w:divBdr>
            <w:top w:val="none" w:sz="0" w:space="0" w:color="auto"/>
            <w:left w:val="none" w:sz="0" w:space="0" w:color="auto"/>
            <w:bottom w:val="none" w:sz="0" w:space="0" w:color="auto"/>
            <w:right w:val="none" w:sz="0" w:space="0" w:color="auto"/>
          </w:divBdr>
        </w:div>
        <w:div w:id="475075056">
          <w:marLeft w:val="0"/>
          <w:marRight w:val="0"/>
          <w:marTop w:val="0"/>
          <w:marBottom w:val="0"/>
          <w:divBdr>
            <w:top w:val="none" w:sz="0" w:space="0" w:color="auto"/>
            <w:left w:val="none" w:sz="0" w:space="0" w:color="auto"/>
            <w:bottom w:val="none" w:sz="0" w:space="0" w:color="auto"/>
            <w:right w:val="none" w:sz="0" w:space="0" w:color="auto"/>
          </w:divBdr>
        </w:div>
        <w:div w:id="661738479">
          <w:marLeft w:val="0"/>
          <w:marRight w:val="0"/>
          <w:marTop w:val="0"/>
          <w:marBottom w:val="0"/>
          <w:divBdr>
            <w:top w:val="none" w:sz="0" w:space="0" w:color="auto"/>
            <w:left w:val="none" w:sz="0" w:space="0" w:color="auto"/>
            <w:bottom w:val="none" w:sz="0" w:space="0" w:color="auto"/>
            <w:right w:val="none" w:sz="0" w:space="0" w:color="auto"/>
          </w:divBdr>
        </w:div>
        <w:div w:id="470561248">
          <w:marLeft w:val="0"/>
          <w:marRight w:val="0"/>
          <w:marTop w:val="0"/>
          <w:marBottom w:val="0"/>
          <w:divBdr>
            <w:top w:val="none" w:sz="0" w:space="0" w:color="auto"/>
            <w:left w:val="none" w:sz="0" w:space="0" w:color="auto"/>
            <w:bottom w:val="none" w:sz="0" w:space="0" w:color="auto"/>
            <w:right w:val="none" w:sz="0" w:space="0" w:color="auto"/>
          </w:divBdr>
        </w:div>
        <w:div w:id="1783105800">
          <w:marLeft w:val="0"/>
          <w:marRight w:val="0"/>
          <w:marTop w:val="0"/>
          <w:marBottom w:val="0"/>
          <w:divBdr>
            <w:top w:val="none" w:sz="0" w:space="0" w:color="auto"/>
            <w:left w:val="none" w:sz="0" w:space="0" w:color="auto"/>
            <w:bottom w:val="none" w:sz="0" w:space="0" w:color="auto"/>
            <w:right w:val="none" w:sz="0" w:space="0" w:color="auto"/>
          </w:divBdr>
        </w:div>
        <w:div w:id="12343101">
          <w:marLeft w:val="0"/>
          <w:marRight w:val="0"/>
          <w:marTop w:val="0"/>
          <w:marBottom w:val="0"/>
          <w:divBdr>
            <w:top w:val="none" w:sz="0" w:space="0" w:color="auto"/>
            <w:left w:val="none" w:sz="0" w:space="0" w:color="auto"/>
            <w:bottom w:val="none" w:sz="0" w:space="0" w:color="auto"/>
            <w:right w:val="none" w:sz="0" w:space="0" w:color="auto"/>
          </w:divBdr>
        </w:div>
        <w:div w:id="1620333338">
          <w:marLeft w:val="0"/>
          <w:marRight w:val="0"/>
          <w:marTop w:val="0"/>
          <w:marBottom w:val="0"/>
          <w:divBdr>
            <w:top w:val="none" w:sz="0" w:space="0" w:color="auto"/>
            <w:left w:val="none" w:sz="0" w:space="0" w:color="auto"/>
            <w:bottom w:val="none" w:sz="0" w:space="0" w:color="auto"/>
            <w:right w:val="none" w:sz="0" w:space="0" w:color="auto"/>
          </w:divBdr>
        </w:div>
        <w:div w:id="1069814238">
          <w:marLeft w:val="0"/>
          <w:marRight w:val="0"/>
          <w:marTop w:val="0"/>
          <w:marBottom w:val="0"/>
          <w:divBdr>
            <w:top w:val="none" w:sz="0" w:space="0" w:color="auto"/>
            <w:left w:val="none" w:sz="0" w:space="0" w:color="auto"/>
            <w:bottom w:val="none" w:sz="0" w:space="0" w:color="auto"/>
            <w:right w:val="none" w:sz="0" w:space="0" w:color="auto"/>
          </w:divBdr>
        </w:div>
        <w:div w:id="220677528">
          <w:marLeft w:val="0"/>
          <w:marRight w:val="0"/>
          <w:marTop w:val="0"/>
          <w:marBottom w:val="0"/>
          <w:divBdr>
            <w:top w:val="none" w:sz="0" w:space="0" w:color="auto"/>
            <w:left w:val="none" w:sz="0" w:space="0" w:color="auto"/>
            <w:bottom w:val="none" w:sz="0" w:space="0" w:color="auto"/>
            <w:right w:val="none" w:sz="0" w:space="0" w:color="auto"/>
          </w:divBdr>
        </w:div>
      </w:divsChild>
    </w:div>
    <w:div w:id="333001079">
      <w:bodyDiv w:val="1"/>
      <w:marLeft w:val="0"/>
      <w:marRight w:val="0"/>
      <w:marTop w:val="0"/>
      <w:marBottom w:val="0"/>
      <w:divBdr>
        <w:top w:val="none" w:sz="0" w:space="0" w:color="auto"/>
        <w:left w:val="none" w:sz="0" w:space="0" w:color="auto"/>
        <w:bottom w:val="none" w:sz="0" w:space="0" w:color="auto"/>
        <w:right w:val="none" w:sz="0" w:space="0" w:color="auto"/>
      </w:divBdr>
    </w:div>
    <w:div w:id="437608115">
      <w:bodyDiv w:val="1"/>
      <w:marLeft w:val="0"/>
      <w:marRight w:val="0"/>
      <w:marTop w:val="0"/>
      <w:marBottom w:val="0"/>
      <w:divBdr>
        <w:top w:val="none" w:sz="0" w:space="0" w:color="auto"/>
        <w:left w:val="none" w:sz="0" w:space="0" w:color="auto"/>
        <w:bottom w:val="none" w:sz="0" w:space="0" w:color="auto"/>
        <w:right w:val="none" w:sz="0" w:space="0" w:color="auto"/>
      </w:divBdr>
    </w:div>
    <w:div w:id="549147373">
      <w:bodyDiv w:val="1"/>
      <w:marLeft w:val="0"/>
      <w:marRight w:val="0"/>
      <w:marTop w:val="0"/>
      <w:marBottom w:val="0"/>
      <w:divBdr>
        <w:top w:val="none" w:sz="0" w:space="0" w:color="auto"/>
        <w:left w:val="none" w:sz="0" w:space="0" w:color="auto"/>
        <w:bottom w:val="none" w:sz="0" w:space="0" w:color="auto"/>
        <w:right w:val="none" w:sz="0" w:space="0" w:color="auto"/>
      </w:divBdr>
      <w:divsChild>
        <w:div w:id="78411629">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950812369">
      <w:bodyDiv w:val="1"/>
      <w:marLeft w:val="0"/>
      <w:marRight w:val="0"/>
      <w:marTop w:val="0"/>
      <w:marBottom w:val="0"/>
      <w:divBdr>
        <w:top w:val="none" w:sz="0" w:space="0" w:color="auto"/>
        <w:left w:val="none" w:sz="0" w:space="0" w:color="auto"/>
        <w:bottom w:val="none" w:sz="0" w:space="0" w:color="auto"/>
        <w:right w:val="none" w:sz="0" w:space="0" w:color="auto"/>
      </w:divBdr>
    </w:div>
    <w:div w:id="20164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kappanonline.org/why-we-need-diverse-teacher-workforce-segregation-goldhaber-theobald-tien/" TargetMode="External"/><Relationship Id="rId3" Type="http://schemas.openxmlformats.org/officeDocument/2006/relationships/customXml" Target="../customXml/item3.xml"/><Relationship Id="rId21" Type="http://schemas.openxmlformats.org/officeDocument/2006/relationships/hyperlink" Target="http://www.pthvp.org/wp-content/uploads/2018/12/18-11-30-Student-Outcomes-and-PTHV-Report-FINAL.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epg.org/hep-home/books/broader,-bolder,-bett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up.harvard.edu/catalog.php?isbn=9780674988392" TargetMode="External"/><Relationship Id="rId20" Type="http://schemas.openxmlformats.org/officeDocument/2006/relationships/hyperlink" Target="https://www.mitpressjournals.org/doi/abs/10.1162/edfp_a_0026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ntp.org/publications/view/student-experiences/the-opportunity-myth"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massinc.org/research/investing-in-early-colle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umber1forsome.org/wp-content/uploads/sites/16/2018/09/Number-1-for-Some-9.25-18.pdf" TargetMode="External"/><Relationship Id="rId22" Type="http://schemas.openxmlformats.org/officeDocument/2006/relationships/hyperlink" Target="https://cdn.americanprogress.org/wp-content/uploads/2014/03/Rubinstein-EduReform-repo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cdn.americanprogress.org/wp-content/uploads/2014/03/Rubinstein-EduReform-report.pdf" TargetMode="External"/><Relationship Id="rId3" Type="http://schemas.openxmlformats.org/officeDocument/2006/relationships/hyperlink" Target="https://journals.sagepub.com/doi/abs/10.1177/0002716214548398?journalCode=anna" TargetMode="External"/><Relationship Id="rId7" Type="http://schemas.openxmlformats.org/officeDocument/2006/relationships/hyperlink" Target="http://www.pthvp.org/wp-content/uploads/2018/12/18-11-30-Student-Outcomes-and-PTHV-Report-FINAL.pdf" TargetMode="External"/><Relationship Id="rId2" Type="http://schemas.openxmlformats.org/officeDocument/2006/relationships/hyperlink" Target="https://tntp.org/assets/documents/TNTP_The-Opportunity-Myth_Web.pdf" TargetMode="External"/><Relationship Id="rId1" Type="http://schemas.openxmlformats.org/officeDocument/2006/relationships/hyperlink" Target="https://number1forsome.org/wp-content/uploads/sites/16/2018/09/Number-1-for-Some-9.25-18.pdf" TargetMode="External"/><Relationship Id="rId6" Type="http://schemas.openxmlformats.org/officeDocument/2006/relationships/hyperlink" Target="https://doi.org/10.1162/edfp_a_00269" TargetMode="External"/><Relationship Id="rId5" Type="http://schemas.openxmlformats.org/officeDocument/2006/relationships/hyperlink" Target="https://massinc.org/research/investing-in-early-college/" TargetMode="External"/><Relationship Id="rId4" Type="http://schemas.openxmlformats.org/officeDocument/2006/relationships/hyperlink" Target="https://www.kappanonline.org/why-we-need-diverse-teacher-workforce-segregation-goldhaber-theobald-t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DESE-231-52509</_dlc_DocId>
    <_dlc_DocIdUrl xmlns="733efe1c-5bbe-4968-87dc-d400e65c879f">
      <Url>https://sharepoint.doemass.org/ese/webteam/cps/_layouts/DocIdRedir.aspx?ID=DESE-231-52509</Url>
      <Description>DESE-231-52509</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BF3169-0A7B-40FE-ADEC-39492E467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2D987-3F62-4FD8-9388-80EE88584F35}">
  <ds:schemaRefs>
    <ds:schemaRef ds:uri="http://schemas.openxmlformats.org/officeDocument/2006/bibliography"/>
  </ds:schemaRefs>
</ds:datastoreItem>
</file>

<file path=customXml/itemProps3.xml><?xml version="1.0" encoding="utf-8"?>
<ds:datastoreItem xmlns:ds="http://schemas.openxmlformats.org/officeDocument/2006/customXml" ds:itemID="{8EF7BB34-895C-4EF2-9976-F5D2D963F876}">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D4DF0E5C-8B22-4BE9-9D2D-E9DFFD2FFFA8}">
  <ds:schemaRefs>
    <ds:schemaRef ds:uri="http://schemas.microsoft.com/sharepoint/v3/contenttype/forms"/>
  </ds:schemaRefs>
</ds:datastoreItem>
</file>

<file path=customXml/itemProps5.xml><?xml version="1.0" encoding="utf-8"?>
<ds:datastoreItem xmlns:ds="http://schemas.openxmlformats.org/officeDocument/2006/customXml" ds:itemID="{40A9D959-B69F-4086-8CDC-19B7A4B6A6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5175</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item 3 Our Way Forward - June 2019 BESE</vt:lpstr>
    </vt:vector>
  </TitlesOfParts>
  <Company/>
  <LinksUpToDate>false</LinksUpToDate>
  <CharactersWithSpaces>34610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Way Forward - June 2019 BESE</dc:title>
  <dc:subject/>
  <dc:creator>DESE</dc:creator>
  <cp:keywords/>
  <dc:description/>
  <cp:lastModifiedBy>Zou, Dong (EOE)</cp:lastModifiedBy>
  <cp:revision>9</cp:revision>
  <cp:lastPrinted>2019-06-20T21:29:00Z</cp:lastPrinted>
  <dcterms:created xsi:type="dcterms:W3CDTF">2019-06-20T13:38:00Z</dcterms:created>
  <dcterms:modified xsi:type="dcterms:W3CDTF">2025-10-03T15:03:00Z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25 2019</vt:lpwstr>
  </property>
</Properties>
</file>