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E6F3D" w14:textId="77777777" w:rsidR="00FD23FE" w:rsidRDefault="00CC0E1C">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57216" behindDoc="0" locked="0" layoutInCell="0" allowOverlap="1" wp14:anchorId="0939C8FE" wp14:editId="6DC37F70">
            <wp:simplePos x="0" y="0"/>
            <wp:positionH relativeFrom="column">
              <wp:posOffset>-457200</wp:posOffset>
            </wp:positionH>
            <wp:positionV relativeFrom="page">
              <wp:posOffset>304800</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00FD23FE">
        <w:rPr>
          <w:rFonts w:ascii="Arial" w:hAnsi="Arial"/>
          <w:b/>
          <w:i/>
          <w:sz w:val="40"/>
        </w:rPr>
        <w:t>Massachusetts Department of</w:t>
      </w:r>
    </w:p>
    <w:p w14:paraId="094E3DD2" w14:textId="77777777" w:rsidR="00FD23FE" w:rsidRDefault="00FD23FE">
      <w:pPr>
        <w:outlineLvl w:val="0"/>
        <w:rPr>
          <w:rFonts w:ascii="Arial" w:hAnsi="Arial"/>
          <w:b/>
          <w:i/>
          <w:sz w:val="50"/>
        </w:rPr>
      </w:pPr>
      <w:r>
        <w:rPr>
          <w:rFonts w:ascii="Arial" w:hAnsi="Arial"/>
          <w:b/>
          <w:i/>
          <w:sz w:val="40"/>
        </w:rPr>
        <w:t>Elementary and Secondary Education</w:t>
      </w:r>
    </w:p>
    <w:p w14:paraId="19A65FC8" w14:textId="77777777" w:rsidR="00FD23FE" w:rsidRDefault="0039536F">
      <w:pPr>
        <w:rPr>
          <w:rFonts w:ascii="Arial" w:hAnsi="Arial"/>
          <w:i/>
        </w:rPr>
      </w:pPr>
      <w:r>
        <w:rPr>
          <w:rFonts w:ascii="Arial" w:hAnsi="Arial"/>
          <w:i/>
          <w:noProof/>
          <w:snapToGrid/>
        </w:rPr>
        <mc:AlternateContent>
          <mc:Choice Requires="wps">
            <w:drawing>
              <wp:anchor distT="4294967295" distB="4294967295" distL="114300" distR="114300" simplePos="0" relativeHeight="251658240" behindDoc="0" locked="0" layoutInCell="0" allowOverlap="1" wp14:anchorId="24339AB1" wp14:editId="4D952544">
                <wp:simplePos x="0" y="0"/>
                <wp:positionH relativeFrom="column">
                  <wp:posOffset>885825</wp:posOffset>
                </wp:positionH>
                <wp:positionV relativeFrom="paragraph">
                  <wp:posOffset>68580</wp:posOffset>
                </wp:positionV>
                <wp:extent cx="48387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87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5B568C"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5.4pt" to="450.7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" o:allowincell="f" strokeweight="1pt"/>
            </w:pict>
          </mc:Fallback>
        </mc:AlternateContent>
      </w:r>
    </w:p>
    <w:p w14:paraId="1EB541DE" w14:textId="77777777" w:rsidR="00FD23FE" w:rsidRDefault="00FD23FE" w:rsidP="00CC0E1C">
      <w:pPr>
        <w:pStyle w:val="Heading3"/>
        <w:tabs>
          <w:tab w:val="right" w:pos="9090"/>
        </w:tabs>
        <w:ind w:right="360"/>
        <w:rPr>
          <w:sz w:val="16"/>
          <w:szCs w:val="16"/>
        </w:rPr>
      </w:pPr>
      <w:r>
        <w:rPr>
          <w:sz w:val="16"/>
          <w:szCs w:val="16"/>
        </w:rPr>
        <w:t xml:space="preserve">75 Pleasant Street, Malden, Massachusetts 02148-4906 </w:t>
      </w:r>
      <w:r>
        <w:rPr>
          <w:sz w:val="16"/>
          <w:szCs w:val="16"/>
        </w:rPr>
        <w:tab/>
        <w:t>Telephone: (781) 338-3000</w:t>
      </w:r>
    </w:p>
    <w:p w14:paraId="2AAC9CB2" w14:textId="77777777" w:rsidR="00FD23FE" w:rsidRDefault="00FD23FE" w:rsidP="00CC0E1C">
      <w:pPr>
        <w:pStyle w:val="Heading2"/>
        <w:tabs>
          <w:tab w:val="right" w:pos="9000"/>
        </w:tabs>
        <w:ind w:right="360"/>
        <w:rPr>
          <w:sz w:val="16"/>
          <w:szCs w:val="16"/>
        </w:rPr>
      </w:pPr>
      <w:r>
        <w:rPr>
          <w:sz w:val="16"/>
          <w:szCs w:val="16"/>
        </w:rPr>
        <w:t xml:space="preserve">                                                                                                                 TTY: N.E.T. Relay 1-800-439-2370</w:t>
      </w:r>
    </w:p>
    <w:p w14:paraId="3B04113C" w14:textId="77777777" w:rsidR="00FD23FE" w:rsidRDefault="00FD23FE">
      <w:pPr>
        <w:ind w:left="720"/>
        <w:rPr>
          <w:rFonts w:ascii="Arial" w:hAnsi="Arial"/>
          <w:i/>
          <w:sz w:val="16"/>
          <w:szCs w:val="16"/>
        </w:rPr>
      </w:pPr>
    </w:p>
    <w:p w14:paraId="261609F5" w14:textId="77777777" w:rsidR="00FD23FE" w:rsidRDefault="00FD23FE">
      <w:pPr>
        <w:ind w:left="720"/>
        <w:rPr>
          <w:rFonts w:ascii="Arial" w:hAnsi="Arial"/>
          <w:i/>
          <w:sz w:val="18"/>
        </w:rPr>
        <w:sectPr w:rsidR="00FD23FE">
          <w:footerReference w:type="even" r:id="rId12"/>
          <w:footerReference w:type="default" r:id="rId13"/>
          <w:endnotePr>
            <w:numFmt w:val="decimal"/>
          </w:endnotePr>
          <w:pgSz w:w="12240" w:h="15840"/>
          <w:pgMar w:top="864" w:right="1080" w:bottom="1440" w:left="1800" w:header="1440" w:footer="1440" w:gutter="0"/>
          <w:cols w:space="720"/>
          <w:noEndnote/>
          <w:titlePg/>
        </w:sectPr>
      </w:pPr>
    </w:p>
    <w:p w14:paraId="3688C9B5" w14:textId="77777777" w:rsidR="00FD23FE" w:rsidRDefault="00FD23FE">
      <w:pPr>
        <w:ind w:left="720"/>
        <w:jc w:val="center"/>
        <w:rPr>
          <w:rFonts w:ascii="Arial" w:hAnsi="Arial"/>
          <w:i/>
          <w:sz w:val="16"/>
          <w:szCs w:val="16"/>
        </w:rPr>
      </w:pPr>
    </w:p>
    <w:tbl>
      <w:tblPr>
        <w:tblW w:w="0" w:type="auto"/>
        <w:tblLook w:val="01E0" w:firstRow="1" w:lastRow="1" w:firstColumn="1" w:lastColumn="1" w:noHBand="0" w:noVBand="0"/>
      </w:tblPr>
      <w:tblGrid>
        <w:gridCol w:w="2951"/>
        <w:gridCol w:w="8425"/>
      </w:tblGrid>
      <w:tr w:rsidR="00FD23FE" w14:paraId="694C8243" w14:textId="77777777">
        <w:tc>
          <w:tcPr>
            <w:tcW w:w="2988" w:type="dxa"/>
          </w:tcPr>
          <w:p w14:paraId="38AEE618" w14:textId="77777777" w:rsidR="00FD23FE" w:rsidRDefault="00814D48">
            <w:pPr>
              <w:jc w:val="center"/>
              <w:rPr>
                <w:rFonts w:ascii="Arial" w:hAnsi="Arial" w:cs="Arial"/>
                <w:sz w:val="16"/>
                <w:szCs w:val="16"/>
              </w:rPr>
            </w:pPr>
            <w:r>
              <w:rPr>
                <w:rFonts w:ascii="Arial" w:hAnsi="Arial" w:cs="Arial"/>
                <w:sz w:val="16"/>
                <w:szCs w:val="16"/>
              </w:rPr>
              <w:t>Jeffrey C. Riley</w:t>
            </w:r>
          </w:p>
          <w:p w14:paraId="28BDE92F" w14:textId="77777777" w:rsidR="00FD23FE" w:rsidRDefault="00FD23FE">
            <w:pPr>
              <w:jc w:val="center"/>
              <w:rPr>
                <w:rFonts w:ascii="Arial" w:hAnsi="Arial"/>
                <w:i/>
                <w:sz w:val="16"/>
                <w:szCs w:val="16"/>
              </w:rPr>
            </w:pPr>
            <w:r>
              <w:rPr>
                <w:rFonts w:ascii="Arial" w:hAnsi="Arial"/>
                <w:i/>
                <w:sz w:val="16"/>
                <w:szCs w:val="16"/>
              </w:rPr>
              <w:t>Commissioner</w:t>
            </w:r>
          </w:p>
        </w:tc>
        <w:tc>
          <w:tcPr>
            <w:tcW w:w="8604" w:type="dxa"/>
          </w:tcPr>
          <w:p w14:paraId="18A767F9" w14:textId="77777777" w:rsidR="00FD23FE" w:rsidRDefault="00FD23FE">
            <w:pPr>
              <w:jc w:val="center"/>
              <w:rPr>
                <w:rFonts w:ascii="Arial" w:hAnsi="Arial"/>
                <w:i/>
                <w:sz w:val="16"/>
                <w:szCs w:val="16"/>
              </w:rPr>
            </w:pPr>
          </w:p>
        </w:tc>
      </w:tr>
    </w:tbl>
    <w:p w14:paraId="372E3721" w14:textId="77777777" w:rsidR="00FD23FE" w:rsidRDefault="00FD23FE">
      <w:pPr>
        <w:rPr>
          <w:rFonts w:ascii="Arial" w:hAnsi="Arial"/>
          <w:i/>
          <w:sz w:val="18"/>
        </w:rPr>
      </w:pPr>
    </w:p>
    <w:p w14:paraId="0305D152" w14:textId="77777777" w:rsidR="00FD23FE" w:rsidRDefault="00FD23FE">
      <w:pPr>
        <w:sectPr w:rsidR="00FD23FE">
          <w:endnotePr>
            <w:numFmt w:val="decimal"/>
          </w:endnotePr>
          <w:type w:val="continuous"/>
          <w:pgSz w:w="12240" w:h="15840"/>
          <w:pgMar w:top="864" w:right="432" w:bottom="1440" w:left="432" w:header="1440" w:footer="1440" w:gutter="0"/>
          <w:cols w:space="720"/>
          <w:noEndnote/>
        </w:sectPr>
      </w:pPr>
    </w:p>
    <w:p w14:paraId="113BF296" w14:textId="77777777" w:rsidR="00FD23FE" w:rsidRDefault="00FD23FE">
      <w:pPr>
        <w:pStyle w:val="Heading1"/>
        <w:tabs>
          <w:tab w:val="clear" w:pos="4680"/>
        </w:tabs>
      </w:pPr>
      <w:r>
        <w:t>MEMORANDUM</w:t>
      </w:r>
    </w:p>
    <w:p w14:paraId="43D61606" w14:textId="77777777" w:rsidR="00FD23FE" w:rsidRDefault="00FD23FE">
      <w:pPr>
        <w:pStyle w:val="Footer"/>
        <w:widowControl w:val="0"/>
        <w:tabs>
          <w:tab w:val="clear" w:pos="4320"/>
          <w:tab w:val="clear" w:pos="8640"/>
        </w:tabs>
        <w:rPr>
          <w:snapToGrid w:val="0"/>
          <w:szCs w:val="20"/>
        </w:rPr>
      </w:pPr>
    </w:p>
    <w:p w14:paraId="0717B123" w14:textId="77777777" w:rsidR="007A22FF" w:rsidRDefault="007A22FF">
      <w:pPr>
        <w:pStyle w:val="Footer"/>
        <w:widowControl w:val="0"/>
        <w:tabs>
          <w:tab w:val="clear" w:pos="4320"/>
          <w:tab w:val="clear" w:pos="8640"/>
        </w:tabs>
        <w:rPr>
          <w:snapToGrid w:val="0"/>
          <w:szCs w:val="20"/>
        </w:rPr>
      </w:pPr>
    </w:p>
    <w:tbl>
      <w:tblPr>
        <w:tblW w:w="0" w:type="auto"/>
        <w:tblLook w:val="01E0" w:firstRow="1" w:lastRow="1" w:firstColumn="1" w:lastColumn="1" w:noHBand="0" w:noVBand="0"/>
      </w:tblPr>
      <w:tblGrid>
        <w:gridCol w:w="1184"/>
        <w:gridCol w:w="8176"/>
      </w:tblGrid>
      <w:tr w:rsidR="00223A0F" w14:paraId="28F0F6D3" w14:textId="77777777" w:rsidTr="00223A0F">
        <w:tc>
          <w:tcPr>
            <w:tcW w:w="1184" w:type="dxa"/>
          </w:tcPr>
          <w:p w14:paraId="32F32DBC" w14:textId="77777777" w:rsidR="00223A0F" w:rsidRDefault="00223A0F" w:rsidP="00223A0F">
            <w:pPr>
              <w:rPr>
                <w:b/>
              </w:rPr>
            </w:pPr>
            <w:r>
              <w:rPr>
                <w:b/>
              </w:rPr>
              <w:t>To:</w:t>
            </w:r>
          </w:p>
        </w:tc>
        <w:tc>
          <w:tcPr>
            <w:tcW w:w="8176" w:type="dxa"/>
          </w:tcPr>
          <w:p w14:paraId="362E4A9B" w14:textId="44F64A8E" w:rsidR="00223A0F" w:rsidRDefault="004F08EE" w:rsidP="00223A0F">
            <w:pPr>
              <w:rPr>
                <w:b/>
              </w:rPr>
            </w:pPr>
            <w:r w:rsidRPr="004F08EE">
              <w:rPr>
                <w:rFonts w:cstheme="minorHAnsi"/>
                <w:b/>
                <w:bCs/>
                <w:szCs w:val="24"/>
              </w:rPr>
              <w:t xml:space="preserve">Superintendents, Charter School Leaders, Assistant Superintendents, Collaborative Leaders, Leaders of Approved Special Education Schools, </w:t>
            </w:r>
            <w:r w:rsidR="000B34B3">
              <w:rPr>
                <w:rFonts w:cstheme="minorHAnsi"/>
                <w:b/>
                <w:bCs/>
                <w:szCs w:val="24"/>
              </w:rPr>
              <w:t xml:space="preserve">School Nurses, </w:t>
            </w:r>
            <w:r w:rsidRPr="004F08EE">
              <w:rPr>
                <w:rFonts w:cstheme="minorHAnsi"/>
                <w:b/>
                <w:bCs/>
                <w:szCs w:val="24"/>
              </w:rPr>
              <w:t xml:space="preserve">and </w:t>
            </w:r>
            <w:r w:rsidR="000B34B3">
              <w:rPr>
                <w:rFonts w:cstheme="minorHAnsi"/>
                <w:b/>
                <w:bCs/>
                <w:szCs w:val="24"/>
              </w:rPr>
              <w:t xml:space="preserve">Local </w:t>
            </w:r>
            <w:r w:rsidR="00FC7A4D">
              <w:rPr>
                <w:b/>
              </w:rPr>
              <w:t xml:space="preserve">Public Health </w:t>
            </w:r>
            <w:r w:rsidR="000B34B3">
              <w:rPr>
                <w:b/>
              </w:rPr>
              <w:t>Colleagues</w:t>
            </w:r>
          </w:p>
        </w:tc>
      </w:tr>
      <w:tr w:rsidR="00223A0F" w14:paraId="2A308C2B" w14:textId="77777777" w:rsidTr="00223A0F">
        <w:tc>
          <w:tcPr>
            <w:tcW w:w="1184" w:type="dxa"/>
          </w:tcPr>
          <w:p w14:paraId="3F39C050" w14:textId="77777777" w:rsidR="00223A0F" w:rsidRDefault="00223A0F" w:rsidP="00223A0F">
            <w:pPr>
              <w:rPr>
                <w:b/>
              </w:rPr>
            </w:pPr>
            <w:r>
              <w:rPr>
                <w:b/>
              </w:rPr>
              <w:t>From:</w:t>
            </w:r>
            <w:r>
              <w:tab/>
            </w:r>
          </w:p>
        </w:tc>
        <w:tc>
          <w:tcPr>
            <w:tcW w:w="8176" w:type="dxa"/>
          </w:tcPr>
          <w:p w14:paraId="2D513345" w14:textId="76C280DB" w:rsidR="00223A0F" w:rsidRDefault="00FC7A4D" w:rsidP="00223A0F">
            <w:pPr>
              <w:rPr>
                <w:b/>
              </w:rPr>
            </w:pPr>
            <w:r>
              <w:rPr>
                <w:b/>
              </w:rPr>
              <w:t>Jeffrey C. Riley, Commissioner of Elementary and Secondary Education</w:t>
            </w:r>
          </w:p>
          <w:p w14:paraId="259397BA" w14:textId="2B0DC673" w:rsidR="00FC7A4D" w:rsidRDefault="00FC7A4D" w:rsidP="00223A0F">
            <w:pPr>
              <w:rPr>
                <w:b/>
              </w:rPr>
            </w:pPr>
            <w:r>
              <w:rPr>
                <w:b/>
              </w:rPr>
              <w:t xml:space="preserve">Dr. Monica </w:t>
            </w:r>
            <w:proofErr w:type="spellStart"/>
            <w:r>
              <w:rPr>
                <w:b/>
              </w:rPr>
              <w:t>Bharel</w:t>
            </w:r>
            <w:proofErr w:type="spellEnd"/>
            <w:r>
              <w:rPr>
                <w:b/>
              </w:rPr>
              <w:t xml:space="preserve">, </w:t>
            </w:r>
            <w:r w:rsidRPr="00FC7A4D">
              <w:rPr>
                <w:b/>
              </w:rPr>
              <w:t>Commissioner</w:t>
            </w:r>
            <w:r w:rsidR="00024A1F">
              <w:rPr>
                <w:b/>
              </w:rPr>
              <w:t xml:space="preserve">, </w:t>
            </w:r>
            <w:r w:rsidRPr="00FC7A4D">
              <w:rPr>
                <w:b/>
              </w:rPr>
              <w:t>Department of Public Health</w:t>
            </w:r>
          </w:p>
        </w:tc>
      </w:tr>
      <w:tr w:rsidR="00223A0F" w14:paraId="70D2B358" w14:textId="77777777" w:rsidTr="00223A0F">
        <w:tc>
          <w:tcPr>
            <w:tcW w:w="1184" w:type="dxa"/>
          </w:tcPr>
          <w:p w14:paraId="237E200B" w14:textId="77777777" w:rsidR="00223A0F" w:rsidRDefault="00223A0F" w:rsidP="00223A0F">
            <w:pPr>
              <w:rPr>
                <w:b/>
              </w:rPr>
            </w:pPr>
            <w:r>
              <w:rPr>
                <w:b/>
              </w:rPr>
              <w:t>Date:</w:t>
            </w:r>
            <w:r>
              <w:tab/>
            </w:r>
          </w:p>
        </w:tc>
        <w:tc>
          <w:tcPr>
            <w:tcW w:w="8176" w:type="dxa"/>
          </w:tcPr>
          <w:p w14:paraId="38A01858" w14:textId="4015DDCF" w:rsidR="00223A0F" w:rsidRDefault="00680AD1" w:rsidP="00223A0F">
            <w:pPr>
              <w:rPr>
                <w:b/>
              </w:rPr>
            </w:pPr>
            <w:bookmarkStart w:id="0" w:name="_GoBack"/>
            <w:r>
              <w:rPr>
                <w:b/>
              </w:rPr>
              <w:t>August 19, 2020</w:t>
            </w:r>
            <w:bookmarkEnd w:id="0"/>
          </w:p>
        </w:tc>
      </w:tr>
      <w:tr w:rsidR="00223A0F" w14:paraId="26CC2562" w14:textId="77777777" w:rsidTr="00223A0F">
        <w:tc>
          <w:tcPr>
            <w:tcW w:w="1184" w:type="dxa"/>
          </w:tcPr>
          <w:p w14:paraId="5E372CD4" w14:textId="77777777" w:rsidR="00223A0F" w:rsidRDefault="00223A0F" w:rsidP="00223A0F">
            <w:pPr>
              <w:rPr>
                <w:b/>
              </w:rPr>
            </w:pPr>
            <w:r>
              <w:rPr>
                <w:b/>
              </w:rPr>
              <w:t>Subject:</w:t>
            </w:r>
          </w:p>
        </w:tc>
        <w:tc>
          <w:tcPr>
            <w:tcW w:w="8176" w:type="dxa"/>
          </w:tcPr>
          <w:p w14:paraId="05BFB695" w14:textId="2703B7C6" w:rsidR="00223A0F" w:rsidRPr="00FC7A4D" w:rsidRDefault="00FC7A4D" w:rsidP="00223A0F">
            <w:pPr>
              <w:rPr>
                <w:rFonts w:cstheme="minorHAnsi"/>
                <w:b/>
                <w:bCs/>
                <w:szCs w:val="24"/>
              </w:rPr>
            </w:pPr>
            <w:r>
              <w:rPr>
                <w:rFonts w:cstheme="minorHAnsi"/>
                <w:b/>
                <w:bCs/>
                <w:szCs w:val="24"/>
              </w:rPr>
              <w:t>Joint Memo Clarifying Key Health and Safety Requirements for Schools</w:t>
            </w:r>
          </w:p>
        </w:tc>
      </w:tr>
    </w:tbl>
    <w:p w14:paraId="00C2DD5F" w14:textId="77777777" w:rsidR="00FD23FE" w:rsidRDefault="00FD23FE">
      <w:pPr>
        <w:pBdr>
          <w:bottom w:val="single" w:sz="4" w:space="1" w:color="auto"/>
        </w:pBdr>
      </w:pPr>
      <w:bookmarkStart w:id="1" w:name="TO"/>
      <w:bookmarkStart w:id="2" w:name="FROM"/>
      <w:bookmarkStart w:id="3" w:name="DATE"/>
      <w:bookmarkStart w:id="4" w:name="RE"/>
      <w:bookmarkEnd w:id="1"/>
      <w:bookmarkEnd w:id="2"/>
      <w:bookmarkEnd w:id="3"/>
      <w:bookmarkEnd w:id="4"/>
    </w:p>
    <w:p w14:paraId="4EB344E7" w14:textId="77777777" w:rsidR="00FD23FE" w:rsidRDefault="00FD23FE">
      <w:pPr>
        <w:rPr>
          <w:sz w:val="16"/>
        </w:rPr>
        <w:sectPr w:rsidR="00FD23FE">
          <w:endnotePr>
            <w:numFmt w:val="decimal"/>
          </w:endnotePr>
          <w:type w:val="continuous"/>
          <w:pgSz w:w="12240" w:h="15840"/>
          <w:pgMar w:top="1440" w:right="1440" w:bottom="1440" w:left="1440" w:header="1440" w:footer="1440" w:gutter="0"/>
          <w:cols w:space="720"/>
          <w:noEndnote/>
        </w:sectPr>
      </w:pPr>
    </w:p>
    <w:p w14:paraId="4E671F05" w14:textId="77777777" w:rsidR="00FD23FE" w:rsidRDefault="00FD23FE">
      <w:pPr>
        <w:rPr>
          <w:sz w:val="16"/>
        </w:rPr>
      </w:pPr>
    </w:p>
    <w:p w14:paraId="3276BEB1" w14:textId="77777777" w:rsidR="00FC7A4D" w:rsidRDefault="00FC7A4D" w:rsidP="00FC7A4D">
      <w:pPr>
        <w:rPr>
          <w:color w:val="000000"/>
          <w:szCs w:val="24"/>
        </w:rPr>
      </w:pPr>
    </w:p>
    <w:p w14:paraId="107E4EFD" w14:textId="04EC382F" w:rsidR="00FC7A4D" w:rsidRPr="00FC7A4D" w:rsidRDefault="00FC7A4D" w:rsidP="00FC7A4D">
      <w:pPr>
        <w:rPr>
          <w:color w:val="000000"/>
          <w:szCs w:val="24"/>
        </w:rPr>
      </w:pPr>
      <w:r w:rsidRPr="00FC7A4D">
        <w:rPr>
          <w:color w:val="000000"/>
          <w:szCs w:val="24"/>
        </w:rPr>
        <w:t xml:space="preserve">We are issuing this joint memo to provide refinements and updates to previously released Department of Elementary and Secondary Education (DESE) guidance, with a particular focus on protocols for responding to COVID-19 scenarios in school, on the bus, or in community settings. These refinements and updates are a result of questions that have come from the practical implementation of both DESE and </w:t>
      </w:r>
      <w:r w:rsidR="00024A1F">
        <w:rPr>
          <w:color w:val="000000"/>
          <w:szCs w:val="24"/>
        </w:rPr>
        <w:t xml:space="preserve">Department of </w:t>
      </w:r>
      <w:r w:rsidRPr="00FC7A4D">
        <w:rPr>
          <w:color w:val="000000"/>
          <w:szCs w:val="24"/>
        </w:rPr>
        <w:t>P</w:t>
      </w:r>
      <w:r w:rsidR="00024A1F">
        <w:rPr>
          <w:color w:val="000000"/>
          <w:szCs w:val="24"/>
        </w:rPr>
        <w:t xml:space="preserve">ublic </w:t>
      </w:r>
      <w:r w:rsidRPr="00FC7A4D">
        <w:rPr>
          <w:color w:val="000000"/>
          <w:szCs w:val="24"/>
        </w:rPr>
        <w:t>H</w:t>
      </w:r>
      <w:r w:rsidR="00024A1F">
        <w:rPr>
          <w:color w:val="000000"/>
          <w:szCs w:val="24"/>
        </w:rPr>
        <w:t>ealth (DPH)</w:t>
      </w:r>
      <w:r w:rsidRPr="00FC7A4D">
        <w:rPr>
          <w:color w:val="000000"/>
          <w:szCs w:val="24"/>
        </w:rPr>
        <w:t xml:space="preserve"> guidance</w:t>
      </w:r>
      <w:r w:rsidR="00024A1F">
        <w:rPr>
          <w:color w:val="000000"/>
          <w:szCs w:val="24"/>
        </w:rPr>
        <w:t>,</w:t>
      </w:r>
      <w:r w:rsidRPr="00FC7A4D">
        <w:rPr>
          <w:color w:val="000000"/>
          <w:szCs w:val="24"/>
        </w:rPr>
        <w:t xml:space="preserve"> as well as from evolving medical and scientific findings related to COVID-19. Please note that DESE and DPH intend to collaborate throughout the school year to conduct periodic reviews of guidance for schools and issue additional updates as necessary.</w:t>
      </w:r>
      <w:r w:rsidR="00F71B75">
        <w:rPr>
          <w:color w:val="000000"/>
          <w:szCs w:val="24"/>
        </w:rPr>
        <w:t xml:space="preserve"> DESE will also update its relevant guidance documents so that they include the </w:t>
      </w:r>
      <w:r w:rsidR="006C4F5C">
        <w:rPr>
          <w:color w:val="000000"/>
          <w:szCs w:val="24"/>
        </w:rPr>
        <w:t xml:space="preserve">clarified </w:t>
      </w:r>
      <w:r w:rsidR="00F71B75">
        <w:rPr>
          <w:color w:val="000000"/>
          <w:szCs w:val="24"/>
        </w:rPr>
        <w:t xml:space="preserve">guidelines </w:t>
      </w:r>
      <w:r w:rsidR="006C4F5C">
        <w:rPr>
          <w:color w:val="000000"/>
          <w:szCs w:val="24"/>
        </w:rPr>
        <w:t>described</w:t>
      </w:r>
      <w:r w:rsidR="00F71B75">
        <w:rPr>
          <w:color w:val="000000"/>
          <w:szCs w:val="24"/>
        </w:rPr>
        <w:t xml:space="preserve"> below.</w:t>
      </w:r>
    </w:p>
    <w:p w14:paraId="58A90CB6" w14:textId="77777777" w:rsidR="00FC7A4D" w:rsidRPr="00FC7A4D" w:rsidRDefault="00FC7A4D" w:rsidP="00FC7A4D">
      <w:pPr>
        <w:rPr>
          <w:color w:val="000000"/>
          <w:szCs w:val="24"/>
        </w:rPr>
      </w:pPr>
    </w:p>
    <w:p w14:paraId="685982EC" w14:textId="77777777" w:rsidR="00FC7A4D" w:rsidRPr="00FC7A4D" w:rsidRDefault="00FC7A4D" w:rsidP="00FC7A4D">
      <w:pPr>
        <w:rPr>
          <w:b/>
          <w:bCs/>
          <w:color w:val="000000"/>
          <w:szCs w:val="24"/>
        </w:rPr>
      </w:pPr>
      <w:r w:rsidRPr="00FC7A4D">
        <w:rPr>
          <w:b/>
          <w:bCs/>
          <w:color w:val="000000"/>
          <w:szCs w:val="24"/>
        </w:rPr>
        <w:t>Definition of a close contact</w:t>
      </w:r>
    </w:p>
    <w:p w14:paraId="4D008BA6" w14:textId="5C07B18D" w:rsidR="00FC7A4D" w:rsidRPr="00FC7A4D" w:rsidRDefault="00FC7A4D" w:rsidP="00FC7A4D">
      <w:pPr>
        <w:pStyle w:val="ListParagraph"/>
        <w:numPr>
          <w:ilvl w:val="0"/>
          <w:numId w:val="14"/>
        </w:numPr>
        <w:spacing w:after="0" w:line="240" w:lineRule="auto"/>
        <w:rPr>
          <w:rFonts w:ascii="Times New Roman" w:hAnsi="Times New Roman" w:cs="Times New Roman"/>
          <w:color w:val="000000"/>
          <w:sz w:val="24"/>
          <w:szCs w:val="24"/>
        </w:rPr>
      </w:pPr>
      <w:r w:rsidRPr="00FC7A4D">
        <w:rPr>
          <w:rFonts w:ascii="Times New Roman" w:hAnsi="Times New Roman" w:cs="Times New Roman"/>
          <w:color w:val="000000"/>
          <w:sz w:val="24"/>
          <w:szCs w:val="24"/>
        </w:rPr>
        <w:t xml:space="preserve">If a student or staff member tests positive for COVID-19, their close contacts will be defined as </w:t>
      </w:r>
      <w:r w:rsidRPr="00FC7A4D">
        <w:rPr>
          <w:rFonts w:ascii="Times New Roman" w:hAnsi="Times New Roman" w:cs="Times New Roman"/>
          <w:color w:val="000000"/>
          <w:sz w:val="24"/>
          <w:szCs w:val="24"/>
          <w:u w:val="single"/>
        </w:rPr>
        <w:t>only those who have been within 6 feet of distance of the individual for at least fifteen minutes, while the person was infectious</w:t>
      </w:r>
      <w:r w:rsidRPr="00FC7A4D">
        <w:rPr>
          <w:rFonts w:ascii="Times New Roman" w:hAnsi="Times New Roman" w:cs="Times New Roman"/>
          <w:color w:val="000000"/>
          <w:sz w:val="24"/>
          <w:szCs w:val="24"/>
        </w:rPr>
        <w:t>. The infectious period begins 2 days prior to symptom onset. If someone is asymptomatic, the infectious period is considered to begin 2 days prior to the collection of their positive test. While previous guidance stated that all students in an elementary classroom would be defined as close contacts, this new guidance provides a narrower definition of a close contact which mirrors DPH guidance.</w:t>
      </w:r>
      <w:r w:rsidRPr="00FC7A4D">
        <w:rPr>
          <w:rFonts w:ascii="Times New Roman" w:hAnsi="Times New Roman" w:cs="Times New Roman"/>
          <w:color w:val="000000"/>
          <w:sz w:val="24"/>
          <w:szCs w:val="24"/>
        </w:rPr>
        <w:br/>
      </w:r>
    </w:p>
    <w:p w14:paraId="28FA3912" w14:textId="77777777" w:rsidR="00FC7A4D" w:rsidRPr="00FC7A4D" w:rsidRDefault="00FC7A4D" w:rsidP="00FC7A4D">
      <w:pPr>
        <w:rPr>
          <w:b/>
          <w:bCs/>
          <w:color w:val="000000"/>
          <w:szCs w:val="24"/>
        </w:rPr>
      </w:pPr>
      <w:r w:rsidRPr="00FC7A4D">
        <w:rPr>
          <w:b/>
          <w:bCs/>
          <w:color w:val="000000"/>
          <w:szCs w:val="24"/>
        </w:rPr>
        <w:t>Policy of when a close contact may return to school</w:t>
      </w:r>
    </w:p>
    <w:p w14:paraId="226C323F" w14:textId="77777777" w:rsidR="00FC7A4D" w:rsidRPr="00FC7A4D" w:rsidRDefault="00FC7A4D" w:rsidP="00FC7A4D">
      <w:pPr>
        <w:pStyle w:val="ListParagraph"/>
        <w:numPr>
          <w:ilvl w:val="0"/>
          <w:numId w:val="14"/>
        </w:numPr>
        <w:spacing w:after="0" w:line="240" w:lineRule="auto"/>
        <w:rPr>
          <w:rFonts w:ascii="Times New Roman" w:hAnsi="Times New Roman" w:cs="Times New Roman"/>
          <w:color w:val="000000"/>
          <w:sz w:val="24"/>
          <w:szCs w:val="24"/>
        </w:rPr>
      </w:pPr>
      <w:r w:rsidRPr="00FC7A4D">
        <w:rPr>
          <w:rFonts w:ascii="Times New Roman" w:hAnsi="Times New Roman" w:cs="Times New Roman"/>
          <w:color w:val="000000"/>
          <w:sz w:val="24"/>
          <w:szCs w:val="24"/>
        </w:rPr>
        <w:t xml:space="preserve">All close contacts should be tested but </w:t>
      </w:r>
      <w:r w:rsidRPr="00FC7A4D">
        <w:rPr>
          <w:rFonts w:ascii="Times New Roman" w:hAnsi="Times New Roman" w:cs="Times New Roman"/>
          <w:color w:val="000000"/>
          <w:sz w:val="24"/>
          <w:szCs w:val="24"/>
          <w:u w:val="single"/>
        </w:rPr>
        <w:t>must self-quarantine for 14 days after the last exposure to the person who tested positive</w:t>
      </w:r>
      <w:r w:rsidRPr="00FC7A4D">
        <w:rPr>
          <w:rFonts w:ascii="Times New Roman" w:hAnsi="Times New Roman" w:cs="Times New Roman"/>
          <w:color w:val="000000"/>
          <w:sz w:val="24"/>
          <w:szCs w:val="24"/>
        </w:rPr>
        <w:t xml:space="preserve">, regardless of test result. After further consultation with the medical community, we are updating this guidance as the virus can cause illness from 2-14 days after exposure and even asymptomatic individuals can transmit the virus. Going forward, even if an individual identified as a close contact </w:t>
      </w:r>
      <w:r w:rsidRPr="00FC7A4D">
        <w:rPr>
          <w:rFonts w:ascii="Times New Roman" w:hAnsi="Times New Roman" w:cs="Times New Roman"/>
          <w:color w:val="000000"/>
          <w:sz w:val="24"/>
          <w:szCs w:val="24"/>
        </w:rPr>
        <w:lastRenderedPageBreak/>
        <w:t xml:space="preserve">receives a negative test result, they must continue to self-quarantine for the full 14 days as the virus may take up to 14 days to cause illness. </w:t>
      </w:r>
    </w:p>
    <w:p w14:paraId="2BD05209" w14:textId="77777777" w:rsidR="00FC7A4D" w:rsidRPr="00FC7A4D" w:rsidRDefault="00FC7A4D" w:rsidP="00FC7A4D">
      <w:pPr>
        <w:rPr>
          <w:color w:val="000000"/>
          <w:szCs w:val="24"/>
        </w:rPr>
      </w:pPr>
    </w:p>
    <w:p w14:paraId="71E7F11E" w14:textId="77777777" w:rsidR="00FC7A4D" w:rsidRPr="00FC7A4D" w:rsidRDefault="00FC7A4D" w:rsidP="00FC7A4D">
      <w:pPr>
        <w:rPr>
          <w:b/>
          <w:bCs/>
          <w:color w:val="000000"/>
          <w:szCs w:val="24"/>
        </w:rPr>
      </w:pPr>
      <w:r w:rsidRPr="00FC7A4D">
        <w:rPr>
          <w:b/>
          <w:bCs/>
          <w:color w:val="000000"/>
          <w:szCs w:val="24"/>
        </w:rPr>
        <w:t>Policy of when a student/staff person may return to school after COVID-19 symptoms</w:t>
      </w:r>
    </w:p>
    <w:p w14:paraId="6A1A0189" w14:textId="77777777" w:rsidR="00FC7A4D" w:rsidRPr="00FC7A4D" w:rsidRDefault="00FC7A4D" w:rsidP="00FC7A4D">
      <w:pPr>
        <w:pStyle w:val="ListParagraph"/>
        <w:numPr>
          <w:ilvl w:val="0"/>
          <w:numId w:val="14"/>
        </w:numPr>
        <w:spacing w:after="0" w:line="240" w:lineRule="auto"/>
        <w:rPr>
          <w:rFonts w:ascii="Times New Roman" w:hAnsi="Times New Roman" w:cs="Times New Roman"/>
          <w:color w:val="000000"/>
          <w:sz w:val="24"/>
          <w:szCs w:val="24"/>
          <w:u w:val="single"/>
        </w:rPr>
      </w:pPr>
      <w:r w:rsidRPr="00FC7A4D">
        <w:rPr>
          <w:rFonts w:ascii="Times New Roman" w:hAnsi="Times New Roman" w:cs="Times New Roman"/>
          <w:color w:val="000000"/>
          <w:sz w:val="24"/>
          <w:szCs w:val="24"/>
        </w:rPr>
        <w:t xml:space="preserve">If a student or staff member has COVID-19-like symptoms, </w:t>
      </w:r>
      <w:r w:rsidRPr="00FC7A4D">
        <w:rPr>
          <w:rFonts w:ascii="Times New Roman" w:hAnsi="Times New Roman" w:cs="Times New Roman"/>
          <w:color w:val="000000"/>
          <w:sz w:val="24"/>
          <w:szCs w:val="24"/>
          <w:u w:val="single"/>
        </w:rPr>
        <w:t>they may return to school after they have tested negative for COVID-19, have improvement in symptoms, and have been without fever for at least 24 hours without the use of fever reducing medications</w:t>
      </w:r>
      <w:r w:rsidRPr="00FC7A4D">
        <w:rPr>
          <w:rFonts w:ascii="Times New Roman" w:hAnsi="Times New Roman" w:cs="Times New Roman"/>
          <w:color w:val="000000"/>
          <w:sz w:val="24"/>
          <w:szCs w:val="24"/>
        </w:rPr>
        <w:t>. If a provider makes an alternative diagnosis for the COVID-19-like symptoms, the individual may return to school based on the recommendations for that alternative diagnosis (e.g., influenza or strep pharyngitis).</w:t>
      </w:r>
    </w:p>
    <w:p w14:paraId="7F166F4C" w14:textId="1F09DA94" w:rsidR="00FC7A4D" w:rsidRPr="00FC7A4D" w:rsidRDefault="00FC7A4D" w:rsidP="00FC7A4D">
      <w:pPr>
        <w:pStyle w:val="ListParagraph"/>
        <w:numPr>
          <w:ilvl w:val="0"/>
          <w:numId w:val="14"/>
        </w:numPr>
        <w:spacing w:after="0" w:line="240" w:lineRule="auto"/>
        <w:rPr>
          <w:rFonts w:ascii="Times New Roman" w:hAnsi="Times New Roman" w:cs="Times New Roman"/>
          <w:color w:val="000000"/>
          <w:sz w:val="24"/>
          <w:szCs w:val="24"/>
        </w:rPr>
      </w:pPr>
      <w:r w:rsidRPr="00FC7A4D">
        <w:rPr>
          <w:rFonts w:ascii="Times New Roman" w:hAnsi="Times New Roman" w:cs="Times New Roman"/>
          <w:color w:val="000000"/>
          <w:sz w:val="24"/>
          <w:szCs w:val="24"/>
        </w:rPr>
        <w:t xml:space="preserve">If a student or staff member presents COVID-19-like symptoms and chooses not to be tested, </w:t>
      </w:r>
      <w:r w:rsidRPr="00FC7A4D">
        <w:rPr>
          <w:rFonts w:ascii="Times New Roman" w:hAnsi="Times New Roman" w:cs="Times New Roman"/>
          <w:color w:val="000000"/>
          <w:sz w:val="24"/>
          <w:szCs w:val="24"/>
          <w:u w:val="single"/>
        </w:rPr>
        <w:t>they may return to school 10 days from start of symptoms, as long as their symptoms have improved and they have been without fever for at least 24 hours prior to their return to school without the use of fever reducing medication</w:t>
      </w:r>
      <w:r w:rsidRPr="00FC7A4D">
        <w:rPr>
          <w:rFonts w:ascii="Times New Roman" w:hAnsi="Times New Roman" w:cs="Times New Roman"/>
          <w:color w:val="000000"/>
          <w:sz w:val="24"/>
          <w:szCs w:val="24"/>
        </w:rPr>
        <w:t xml:space="preserve">. </w:t>
      </w:r>
    </w:p>
    <w:p w14:paraId="1AB8BE4F" w14:textId="77777777" w:rsidR="00FC7A4D" w:rsidRPr="00FC7A4D" w:rsidRDefault="00FC7A4D" w:rsidP="00FC7A4D">
      <w:pPr>
        <w:rPr>
          <w:b/>
          <w:bCs/>
          <w:color w:val="000000"/>
          <w:szCs w:val="24"/>
        </w:rPr>
      </w:pPr>
    </w:p>
    <w:p w14:paraId="3C698E61" w14:textId="77777777" w:rsidR="00FC7A4D" w:rsidRPr="00FC7A4D" w:rsidRDefault="00FC7A4D" w:rsidP="00FC7A4D">
      <w:pPr>
        <w:rPr>
          <w:b/>
          <w:bCs/>
          <w:color w:val="000000"/>
          <w:szCs w:val="24"/>
        </w:rPr>
      </w:pPr>
      <w:r w:rsidRPr="00FC7A4D">
        <w:rPr>
          <w:b/>
          <w:bCs/>
          <w:color w:val="000000"/>
          <w:szCs w:val="24"/>
        </w:rPr>
        <w:t>Definition of COVID-19 related fever</w:t>
      </w:r>
    </w:p>
    <w:p w14:paraId="3887E320" w14:textId="0ACAB3DF" w:rsidR="00FC7A4D" w:rsidRPr="00FC7A4D" w:rsidRDefault="00FC7A4D" w:rsidP="00FC7A4D">
      <w:pPr>
        <w:pStyle w:val="ListParagraph"/>
        <w:numPr>
          <w:ilvl w:val="0"/>
          <w:numId w:val="14"/>
        </w:numPr>
        <w:spacing w:after="0" w:line="240" w:lineRule="auto"/>
        <w:rPr>
          <w:rFonts w:ascii="Times New Roman" w:hAnsi="Times New Roman" w:cs="Times New Roman"/>
          <w:color w:val="000000"/>
          <w:sz w:val="24"/>
          <w:szCs w:val="24"/>
        </w:rPr>
      </w:pPr>
      <w:r w:rsidRPr="00FC7A4D">
        <w:rPr>
          <w:rFonts w:ascii="Times New Roman" w:hAnsi="Times New Roman" w:cs="Times New Roman"/>
          <w:color w:val="000000"/>
          <w:sz w:val="24"/>
          <w:szCs w:val="24"/>
        </w:rPr>
        <w:t xml:space="preserve">Over the summer, the threshold for a COVID-19 related fever by </w:t>
      </w:r>
      <w:r w:rsidR="000B34B3">
        <w:rPr>
          <w:rFonts w:ascii="Times New Roman" w:hAnsi="Times New Roman" w:cs="Times New Roman"/>
          <w:color w:val="000000"/>
          <w:sz w:val="24"/>
          <w:szCs w:val="24"/>
        </w:rPr>
        <w:t>t</w:t>
      </w:r>
      <w:r w:rsidR="000B34B3" w:rsidRPr="00FC7A4D">
        <w:rPr>
          <w:rFonts w:ascii="Times New Roman" w:hAnsi="Times New Roman" w:cs="Times New Roman"/>
          <w:color w:val="000000"/>
          <w:sz w:val="24"/>
          <w:szCs w:val="24"/>
        </w:rPr>
        <w:t>he Centers for Disease Control</w:t>
      </w:r>
      <w:r w:rsidR="000B34B3">
        <w:rPr>
          <w:rFonts w:ascii="Times New Roman" w:hAnsi="Times New Roman" w:cs="Times New Roman"/>
          <w:color w:val="000000"/>
          <w:sz w:val="24"/>
          <w:szCs w:val="24"/>
        </w:rPr>
        <w:t xml:space="preserve"> and Prevention</w:t>
      </w:r>
      <w:r w:rsidR="000B34B3" w:rsidRPr="00FC7A4D">
        <w:rPr>
          <w:rFonts w:ascii="Times New Roman" w:hAnsi="Times New Roman" w:cs="Times New Roman"/>
          <w:color w:val="000000"/>
          <w:sz w:val="24"/>
          <w:szCs w:val="24"/>
        </w:rPr>
        <w:t xml:space="preserve"> </w:t>
      </w:r>
      <w:r w:rsidR="000B34B3">
        <w:rPr>
          <w:rFonts w:ascii="Times New Roman" w:hAnsi="Times New Roman" w:cs="Times New Roman"/>
          <w:color w:val="000000"/>
          <w:sz w:val="24"/>
          <w:szCs w:val="24"/>
        </w:rPr>
        <w:t>(</w:t>
      </w:r>
      <w:r w:rsidRPr="00FC7A4D">
        <w:rPr>
          <w:rFonts w:ascii="Times New Roman" w:hAnsi="Times New Roman" w:cs="Times New Roman"/>
          <w:color w:val="000000"/>
          <w:sz w:val="24"/>
          <w:szCs w:val="24"/>
        </w:rPr>
        <w:t>CDC</w:t>
      </w:r>
      <w:r w:rsidR="000B34B3">
        <w:rPr>
          <w:rFonts w:ascii="Times New Roman" w:hAnsi="Times New Roman" w:cs="Times New Roman"/>
          <w:color w:val="000000"/>
          <w:sz w:val="24"/>
          <w:szCs w:val="24"/>
        </w:rPr>
        <w:t>)</w:t>
      </w:r>
      <w:r w:rsidRPr="00FC7A4D">
        <w:rPr>
          <w:rFonts w:ascii="Times New Roman" w:hAnsi="Times New Roman" w:cs="Times New Roman"/>
          <w:color w:val="000000"/>
          <w:sz w:val="24"/>
          <w:szCs w:val="24"/>
        </w:rPr>
        <w:t xml:space="preserve"> has been updated from greater than 100.4</w:t>
      </w:r>
      <w:r w:rsidRPr="00FC7A4D">
        <w:rPr>
          <w:rFonts w:ascii="Times New Roman" w:hAnsi="Times New Roman" w:cs="Times New Roman"/>
          <w:bCs/>
          <w:sz w:val="24"/>
          <w:szCs w:val="24"/>
        </w:rPr>
        <w:t>˚F</w:t>
      </w:r>
      <w:r w:rsidRPr="00FC7A4D" w:rsidDel="002F3778">
        <w:rPr>
          <w:rFonts w:ascii="Times New Roman" w:hAnsi="Times New Roman" w:cs="Times New Roman"/>
          <w:color w:val="000000"/>
          <w:sz w:val="24"/>
          <w:szCs w:val="24"/>
        </w:rPr>
        <w:t xml:space="preserve"> </w:t>
      </w:r>
      <w:r w:rsidRPr="00FC7A4D">
        <w:rPr>
          <w:rFonts w:ascii="Times New Roman" w:hAnsi="Times New Roman" w:cs="Times New Roman"/>
          <w:color w:val="000000"/>
          <w:sz w:val="24"/>
          <w:szCs w:val="24"/>
        </w:rPr>
        <w:t>to greater than 100.0</w:t>
      </w:r>
      <w:r w:rsidRPr="00FC7A4D">
        <w:rPr>
          <w:rFonts w:ascii="Times New Roman" w:hAnsi="Times New Roman" w:cs="Times New Roman"/>
          <w:bCs/>
          <w:sz w:val="24"/>
          <w:szCs w:val="24"/>
        </w:rPr>
        <w:t>˚F</w:t>
      </w:r>
      <w:r w:rsidRPr="00FC7A4D">
        <w:rPr>
          <w:rFonts w:ascii="Times New Roman" w:hAnsi="Times New Roman" w:cs="Times New Roman"/>
          <w:color w:val="000000"/>
          <w:sz w:val="24"/>
          <w:szCs w:val="24"/>
        </w:rPr>
        <w:t xml:space="preserve">. As a result, going forward, a fever as a COVID-19 symptom will be defined as </w:t>
      </w:r>
      <w:r w:rsidRPr="00FC7A4D">
        <w:rPr>
          <w:rFonts w:ascii="Times New Roman" w:hAnsi="Times New Roman" w:cs="Times New Roman"/>
          <w:bCs/>
          <w:sz w:val="24"/>
          <w:szCs w:val="24"/>
        </w:rPr>
        <w:t>100.0˚F or higher.</w:t>
      </w:r>
    </w:p>
    <w:p w14:paraId="50210BD4" w14:textId="77777777" w:rsidR="00FC7A4D" w:rsidRPr="00FC7A4D" w:rsidRDefault="00FC7A4D" w:rsidP="00FC7A4D">
      <w:pPr>
        <w:rPr>
          <w:b/>
          <w:bCs/>
          <w:color w:val="000000"/>
          <w:szCs w:val="24"/>
        </w:rPr>
      </w:pPr>
    </w:p>
    <w:p w14:paraId="1ECFAF9D" w14:textId="77777777" w:rsidR="00FC7A4D" w:rsidRPr="00FC7A4D" w:rsidRDefault="00FC7A4D" w:rsidP="00FC7A4D">
      <w:pPr>
        <w:rPr>
          <w:b/>
          <w:bCs/>
          <w:color w:val="000000"/>
          <w:szCs w:val="24"/>
        </w:rPr>
      </w:pPr>
      <w:r w:rsidRPr="00FC7A4D">
        <w:rPr>
          <w:b/>
          <w:bCs/>
          <w:color w:val="000000"/>
          <w:szCs w:val="24"/>
        </w:rPr>
        <w:t>Students wearing masks</w:t>
      </w:r>
    </w:p>
    <w:p w14:paraId="2090ED95" w14:textId="77777777" w:rsidR="00FC7A4D" w:rsidRPr="00FC7A4D" w:rsidRDefault="00FC7A4D" w:rsidP="00FC7A4D">
      <w:pPr>
        <w:pStyle w:val="ListParagraph"/>
        <w:numPr>
          <w:ilvl w:val="0"/>
          <w:numId w:val="14"/>
        </w:numPr>
        <w:spacing w:after="0" w:line="240" w:lineRule="auto"/>
        <w:rPr>
          <w:rFonts w:ascii="Times New Roman" w:hAnsi="Times New Roman" w:cs="Times New Roman"/>
          <w:i/>
          <w:iCs/>
          <w:color w:val="000000"/>
          <w:sz w:val="24"/>
          <w:szCs w:val="24"/>
          <w:u w:val="single"/>
        </w:rPr>
      </w:pPr>
      <w:r w:rsidRPr="00FC7A4D">
        <w:rPr>
          <w:rFonts w:ascii="Times New Roman" w:hAnsi="Times New Roman" w:cs="Times New Roman"/>
          <w:color w:val="000000"/>
          <w:sz w:val="24"/>
          <w:szCs w:val="24"/>
        </w:rPr>
        <w:t xml:space="preserve">Masks or face coverings are among the most critical components to reduce the transmission of COVID-19. </w:t>
      </w:r>
      <w:r w:rsidRPr="00FC7A4D">
        <w:rPr>
          <w:rFonts w:ascii="Times New Roman" w:hAnsi="Times New Roman" w:cs="Times New Roman"/>
          <w:sz w:val="24"/>
          <w:szCs w:val="24"/>
        </w:rPr>
        <w:t xml:space="preserve">Students in grade 2 and above are required to wear a mask/face covering that covers their nose and mouth at all times, with the exception of meals and mask breaks. </w:t>
      </w:r>
      <w:r w:rsidRPr="00FC7A4D">
        <w:rPr>
          <w:rFonts w:ascii="Times New Roman" w:hAnsi="Times New Roman" w:cs="Times New Roman"/>
          <w:sz w:val="24"/>
          <w:szCs w:val="24"/>
          <w:u w:val="single"/>
        </w:rPr>
        <w:t>Whenever possible</w:t>
      </w:r>
      <w:r w:rsidRPr="00FC7A4D">
        <w:rPr>
          <w:rFonts w:ascii="Times New Roman" w:hAnsi="Times New Roman" w:cs="Times New Roman"/>
          <w:sz w:val="24"/>
          <w:szCs w:val="24"/>
        </w:rPr>
        <w:t xml:space="preserve">, students in pre-kindergarten through grade 1 who can safely and appropriately wear, remove, and handle masks should do so.  </w:t>
      </w:r>
      <w:r w:rsidRPr="00FC7A4D">
        <w:rPr>
          <w:rFonts w:ascii="Times New Roman" w:hAnsi="Times New Roman" w:cs="Times New Roman"/>
          <w:sz w:val="24"/>
          <w:szCs w:val="24"/>
          <w:u w:val="single"/>
        </w:rPr>
        <w:t>Even if students are spaced six feet apart in classrooms, the use of masks is still required unless students are eating lunch or taking a mask break.</w:t>
      </w:r>
    </w:p>
    <w:p w14:paraId="72F734E8" w14:textId="77777777" w:rsidR="00FC7A4D" w:rsidRPr="00FC7A4D" w:rsidRDefault="00FC7A4D" w:rsidP="00FC7A4D">
      <w:pPr>
        <w:rPr>
          <w:color w:val="000000"/>
          <w:szCs w:val="24"/>
        </w:rPr>
      </w:pPr>
    </w:p>
    <w:p w14:paraId="10B5A8F0" w14:textId="77777777" w:rsidR="00FC7A4D" w:rsidRPr="00FC7A4D" w:rsidRDefault="00FC7A4D" w:rsidP="00FC7A4D">
      <w:pPr>
        <w:rPr>
          <w:b/>
          <w:bCs/>
          <w:color w:val="000000"/>
          <w:szCs w:val="24"/>
        </w:rPr>
      </w:pPr>
      <w:r w:rsidRPr="00FC7A4D">
        <w:rPr>
          <w:b/>
          <w:bCs/>
          <w:color w:val="000000"/>
          <w:szCs w:val="24"/>
        </w:rPr>
        <w:t>Physical distancing guidelines</w:t>
      </w:r>
    </w:p>
    <w:p w14:paraId="241EAE05" w14:textId="1E5D5966" w:rsidR="00FC7A4D" w:rsidRPr="00FC7A4D" w:rsidRDefault="00FC7A4D" w:rsidP="00FC7A4D">
      <w:pPr>
        <w:pStyle w:val="ListParagraph"/>
        <w:numPr>
          <w:ilvl w:val="0"/>
          <w:numId w:val="14"/>
        </w:numPr>
        <w:spacing w:after="0" w:line="240" w:lineRule="auto"/>
        <w:rPr>
          <w:rFonts w:ascii="Times New Roman" w:hAnsi="Times New Roman" w:cs="Times New Roman"/>
          <w:color w:val="000000"/>
          <w:sz w:val="24"/>
          <w:szCs w:val="24"/>
        </w:rPr>
      </w:pPr>
      <w:r w:rsidRPr="00FC7A4D">
        <w:rPr>
          <w:rFonts w:ascii="Times New Roman" w:hAnsi="Times New Roman" w:cs="Times New Roman"/>
          <w:color w:val="000000"/>
          <w:sz w:val="24"/>
          <w:szCs w:val="24"/>
        </w:rPr>
        <w:t xml:space="preserve">Physical distancing is a critical tool in preventing the spread of COVID-19. </w:t>
      </w:r>
      <w:r w:rsidR="000B34B3">
        <w:rPr>
          <w:rFonts w:ascii="Times New Roman" w:hAnsi="Times New Roman" w:cs="Times New Roman"/>
          <w:color w:val="000000"/>
          <w:sz w:val="24"/>
          <w:szCs w:val="24"/>
        </w:rPr>
        <w:t>The CDC</w:t>
      </w:r>
      <w:r w:rsidRPr="00FC7A4D">
        <w:rPr>
          <w:rStyle w:val="EndnoteReference"/>
          <w:rFonts w:ascii="Times New Roman" w:hAnsi="Times New Roman" w:cs="Times New Roman"/>
          <w:color w:val="000000"/>
          <w:sz w:val="24"/>
          <w:szCs w:val="24"/>
        </w:rPr>
        <w:endnoteReference w:id="1"/>
      </w:r>
      <w:r w:rsidRPr="00FC7A4D">
        <w:rPr>
          <w:rFonts w:ascii="Times New Roman" w:hAnsi="Times New Roman" w:cs="Times New Roman"/>
          <w:color w:val="000000"/>
          <w:sz w:val="24"/>
          <w:szCs w:val="24"/>
        </w:rPr>
        <w:t xml:space="preserve"> and </w:t>
      </w:r>
      <w:r w:rsidR="000B34B3">
        <w:rPr>
          <w:rFonts w:ascii="Times New Roman" w:hAnsi="Times New Roman" w:cs="Times New Roman"/>
          <w:color w:val="000000"/>
          <w:sz w:val="24"/>
          <w:szCs w:val="24"/>
        </w:rPr>
        <w:t>DPH</w:t>
      </w:r>
      <w:r w:rsidRPr="00FC7A4D">
        <w:rPr>
          <w:rStyle w:val="EndnoteReference"/>
          <w:rFonts w:ascii="Times New Roman" w:hAnsi="Times New Roman" w:cs="Times New Roman"/>
          <w:color w:val="000000"/>
          <w:sz w:val="24"/>
          <w:szCs w:val="24"/>
        </w:rPr>
        <w:endnoteReference w:id="2"/>
      </w:r>
      <w:r w:rsidRPr="00FC7A4D">
        <w:rPr>
          <w:rFonts w:ascii="Times New Roman" w:hAnsi="Times New Roman" w:cs="Times New Roman"/>
          <w:color w:val="000000"/>
          <w:sz w:val="24"/>
          <w:szCs w:val="24"/>
        </w:rPr>
        <w:t xml:space="preserve"> recommend 6 feet of distance between individuals. The World Health Organization</w:t>
      </w:r>
      <w:r w:rsidRPr="00FC7A4D">
        <w:rPr>
          <w:rStyle w:val="EndnoteReference"/>
          <w:rFonts w:ascii="Times New Roman" w:hAnsi="Times New Roman" w:cs="Times New Roman"/>
          <w:color w:val="000000"/>
          <w:sz w:val="24"/>
          <w:szCs w:val="24"/>
        </w:rPr>
        <w:endnoteReference w:id="3"/>
      </w:r>
      <w:r w:rsidRPr="00FC7A4D">
        <w:rPr>
          <w:rFonts w:ascii="Times New Roman" w:hAnsi="Times New Roman" w:cs="Times New Roman"/>
          <w:color w:val="000000"/>
          <w:sz w:val="24"/>
          <w:szCs w:val="24"/>
        </w:rPr>
        <w:t xml:space="preserve"> and the American Academy of Pediatrics</w:t>
      </w:r>
      <w:r w:rsidRPr="00FC7A4D">
        <w:rPr>
          <w:rStyle w:val="EndnoteReference"/>
          <w:rFonts w:ascii="Times New Roman" w:hAnsi="Times New Roman" w:cs="Times New Roman"/>
          <w:color w:val="000000"/>
          <w:sz w:val="24"/>
          <w:szCs w:val="24"/>
        </w:rPr>
        <w:endnoteReference w:id="4"/>
      </w:r>
      <w:r w:rsidRPr="00FC7A4D">
        <w:rPr>
          <w:rFonts w:ascii="Times New Roman" w:hAnsi="Times New Roman" w:cs="Times New Roman"/>
          <w:color w:val="000000"/>
          <w:sz w:val="24"/>
          <w:szCs w:val="24"/>
        </w:rPr>
        <w:t xml:space="preserve"> recommend a minimum of 3 feet of distance. DESE recommends that districts </w:t>
      </w:r>
      <w:r w:rsidRPr="00FC7A4D">
        <w:rPr>
          <w:rFonts w:ascii="Times New Roman" w:hAnsi="Times New Roman" w:cs="Times New Roman"/>
          <w:color w:val="000000"/>
          <w:sz w:val="24"/>
          <w:szCs w:val="24"/>
          <w:u w:val="single"/>
        </w:rPr>
        <w:t>aim for 6 feet of distance</w:t>
      </w:r>
      <w:r w:rsidRPr="00FC7A4D">
        <w:rPr>
          <w:rFonts w:ascii="Times New Roman" w:hAnsi="Times New Roman" w:cs="Times New Roman"/>
          <w:color w:val="000000"/>
          <w:sz w:val="24"/>
          <w:szCs w:val="24"/>
        </w:rPr>
        <w:t xml:space="preserve"> where feasible. When 6 feet is not feasible, 3 feet is an acceptable minimum as long as staff and students wear masks covering the nose and mouth at all times. If the 3 feet minimum is applied on the bus, all staff and students regardless of age must wear masks at all times.  Please note that decisions to apply a 3-feet minimum will likely increase the number of close contacts associated with the occurrence of a case.</w:t>
      </w:r>
    </w:p>
    <w:p w14:paraId="4806BD73" w14:textId="77777777" w:rsidR="00FC7A4D" w:rsidRPr="00FC7A4D" w:rsidRDefault="00FC7A4D" w:rsidP="00FC7A4D">
      <w:pPr>
        <w:rPr>
          <w:color w:val="000000"/>
          <w:szCs w:val="24"/>
        </w:rPr>
      </w:pPr>
    </w:p>
    <w:p w14:paraId="459EB121" w14:textId="77777777" w:rsidR="00FC7A4D" w:rsidRPr="00FC7A4D" w:rsidRDefault="00FC7A4D" w:rsidP="00FC7A4D">
      <w:pPr>
        <w:rPr>
          <w:b/>
          <w:bCs/>
          <w:color w:val="000000"/>
          <w:szCs w:val="24"/>
        </w:rPr>
      </w:pPr>
      <w:r w:rsidRPr="00FC7A4D">
        <w:rPr>
          <w:b/>
          <w:bCs/>
          <w:color w:val="000000"/>
          <w:szCs w:val="24"/>
        </w:rPr>
        <w:t>Immunizations required in all models of learning</w:t>
      </w:r>
    </w:p>
    <w:p w14:paraId="73FE1C59" w14:textId="77777777" w:rsidR="00FC7A4D" w:rsidRPr="00FC7A4D" w:rsidRDefault="00FC7A4D" w:rsidP="00FC7A4D">
      <w:pPr>
        <w:pStyle w:val="ListParagraph"/>
        <w:numPr>
          <w:ilvl w:val="0"/>
          <w:numId w:val="14"/>
        </w:numPr>
        <w:spacing w:after="0" w:line="240" w:lineRule="auto"/>
        <w:rPr>
          <w:rFonts w:ascii="Times New Roman" w:hAnsi="Times New Roman" w:cs="Times New Roman"/>
          <w:b/>
          <w:bCs/>
          <w:color w:val="000000"/>
          <w:sz w:val="24"/>
          <w:szCs w:val="24"/>
        </w:rPr>
      </w:pPr>
      <w:r w:rsidRPr="00FC7A4D">
        <w:rPr>
          <w:rFonts w:ascii="Times New Roman" w:hAnsi="Times New Roman" w:cs="Times New Roman"/>
          <w:color w:val="000000"/>
          <w:sz w:val="24"/>
          <w:szCs w:val="24"/>
        </w:rPr>
        <w:t xml:space="preserve">Previously released guidance emphasized the importance of maintaining school immunization requirements and obtaining the flu vaccine as students return to in-person </w:t>
      </w:r>
      <w:r w:rsidRPr="00FC7A4D">
        <w:rPr>
          <w:rFonts w:ascii="Times New Roman" w:hAnsi="Times New Roman" w:cs="Times New Roman"/>
          <w:color w:val="000000"/>
          <w:sz w:val="24"/>
          <w:szCs w:val="24"/>
        </w:rPr>
        <w:lastRenderedPageBreak/>
        <w:t xml:space="preserve">school.  </w:t>
      </w:r>
      <w:r w:rsidRPr="00FC7A4D">
        <w:rPr>
          <w:rFonts w:ascii="Times New Roman" w:hAnsi="Times New Roman" w:cs="Times New Roman"/>
          <w:color w:val="000000"/>
          <w:sz w:val="24"/>
          <w:szCs w:val="24"/>
          <w:u w:val="single"/>
        </w:rPr>
        <w:t>This is equally important for students who are enrolled in remote or hybrid schooling models.</w:t>
      </w:r>
      <w:r w:rsidRPr="00FC7A4D">
        <w:rPr>
          <w:rFonts w:ascii="Times New Roman" w:hAnsi="Times New Roman" w:cs="Times New Roman"/>
          <w:color w:val="000000"/>
          <w:sz w:val="24"/>
          <w:szCs w:val="24"/>
        </w:rPr>
        <w:t xml:space="preserve">  Immunization requirements must be met in all models of learning.</w:t>
      </w:r>
    </w:p>
    <w:p w14:paraId="0F3547A6" w14:textId="77777777" w:rsidR="00024A1F" w:rsidRDefault="00024A1F" w:rsidP="00FC7A4D">
      <w:pPr>
        <w:rPr>
          <w:b/>
          <w:bCs/>
          <w:color w:val="000000"/>
          <w:szCs w:val="24"/>
        </w:rPr>
      </w:pPr>
    </w:p>
    <w:p w14:paraId="69C40043" w14:textId="54DBCC31" w:rsidR="00FC7A4D" w:rsidRPr="00FC7A4D" w:rsidRDefault="00FC7A4D" w:rsidP="00FC7A4D">
      <w:pPr>
        <w:rPr>
          <w:b/>
          <w:bCs/>
          <w:color w:val="000000"/>
          <w:szCs w:val="24"/>
        </w:rPr>
      </w:pPr>
      <w:r w:rsidRPr="00FC7A4D">
        <w:rPr>
          <w:b/>
          <w:bCs/>
          <w:color w:val="000000"/>
          <w:szCs w:val="24"/>
        </w:rPr>
        <w:t>Medical waiting room</w:t>
      </w:r>
    </w:p>
    <w:p w14:paraId="1F4AF138" w14:textId="77777777" w:rsidR="00FC7A4D" w:rsidRPr="00FC7A4D" w:rsidRDefault="00FC7A4D" w:rsidP="00FC7A4D">
      <w:pPr>
        <w:pStyle w:val="ListParagraph"/>
        <w:numPr>
          <w:ilvl w:val="0"/>
          <w:numId w:val="14"/>
        </w:numPr>
        <w:spacing w:after="0" w:line="240" w:lineRule="auto"/>
        <w:rPr>
          <w:rFonts w:ascii="Times New Roman" w:hAnsi="Times New Roman" w:cs="Times New Roman"/>
          <w:color w:val="000000"/>
          <w:sz w:val="24"/>
          <w:szCs w:val="24"/>
        </w:rPr>
      </w:pPr>
      <w:r w:rsidRPr="00FC7A4D">
        <w:rPr>
          <w:rFonts w:ascii="Times New Roman" w:hAnsi="Times New Roman" w:cs="Times New Roman"/>
          <w:color w:val="000000"/>
          <w:sz w:val="24"/>
          <w:szCs w:val="24"/>
        </w:rPr>
        <w:t xml:space="preserve">As noted in previous DESE guidance, schools must establish a separate room for students exhibiting COVID-19 symptoms or who may have learned about a positive test result while at school, while waiting to be picked up by a family member.  This space must be supervised.  </w:t>
      </w:r>
      <w:r w:rsidRPr="00FC7A4D">
        <w:rPr>
          <w:rFonts w:ascii="Times New Roman" w:hAnsi="Times New Roman" w:cs="Times New Roman"/>
          <w:color w:val="000000"/>
          <w:sz w:val="24"/>
          <w:szCs w:val="24"/>
          <w:u w:val="single"/>
        </w:rPr>
        <w:t>If feasible</w:t>
      </w:r>
      <w:r w:rsidRPr="00FC7A4D">
        <w:rPr>
          <w:rFonts w:ascii="Times New Roman" w:hAnsi="Times New Roman" w:cs="Times New Roman"/>
          <w:color w:val="000000"/>
          <w:sz w:val="24"/>
          <w:szCs w:val="24"/>
        </w:rPr>
        <w:t xml:space="preserve"> given space and staffing constraints, schools are encouraged to provide individual students with their own waiting room. If more than one student is in the same waiting room at a time, each student must be at least 6 feet apart (and should be spaced as far apart as possible) and wearing a surgical mask (non-N95 and non-cloth) while in the medical waiting room.</w:t>
      </w:r>
      <w:r w:rsidRPr="00FC7A4D">
        <w:rPr>
          <w:rStyle w:val="EndnoteReference"/>
          <w:rFonts w:ascii="Times New Roman" w:hAnsi="Times New Roman" w:cs="Times New Roman"/>
          <w:color w:val="000000"/>
          <w:sz w:val="24"/>
          <w:szCs w:val="24"/>
        </w:rPr>
        <w:endnoteReference w:id="5"/>
      </w:r>
      <w:r w:rsidRPr="00FC7A4D">
        <w:rPr>
          <w:rFonts w:ascii="Times New Roman" w:hAnsi="Times New Roman" w:cs="Times New Roman"/>
          <w:color w:val="000000"/>
          <w:sz w:val="24"/>
          <w:szCs w:val="24"/>
        </w:rPr>
        <w:t xml:space="preserve"> If a student does not already have a surgical mask, the school should provide one. Schools must also be equipped with the PPE for the staff involved with supervision of the waiting room.</w:t>
      </w:r>
    </w:p>
    <w:p w14:paraId="1914B3E2" w14:textId="77777777" w:rsidR="00FC7A4D" w:rsidRPr="00FC7A4D" w:rsidRDefault="00FC7A4D" w:rsidP="00FC7A4D">
      <w:pPr>
        <w:rPr>
          <w:color w:val="000000"/>
          <w:szCs w:val="24"/>
        </w:rPr>
      </w:pPr>
    </w:p>
    <w:p w14:paraId="4A45A3F7" w14:textId="77777777" w:rsidR="00FC7A4D" w:rsidRPr="00FC7A4D" w:rsidRDefault="00FC7A4D" w:rsidP="00FC7A4D">
      <w:pPr>
        <w:rPr>
          <w:b/>
          <w:bCs/>
          <w:color w:val="000000"/>
          <w:szCs w:val="24"/>
        </w:rPr>
      </w:pPr>
      <w:r w:rsidRPr="00FC7A4D">
        <w:rPr>
          <w:b/>
          <w:bCs/>
          <w:color w:val="000000"/>
          <w:szCs w:val="24"/>
        </w:rPr>
        <w:t>Supporting the safe application of hand sanitizer</w:t>
      </w:r>
    </w:p>
    <w:p w14:paraId="6CB023C7" w14:textId="77777777" w:rsidR="00FC7A4D" w:rsidRPr="00FC7A4D" w:rsidRDefault="00FC7A4D" w:rsidP="00FC7A4D">
      <w:pPr>
        <w:pStyle w:val="ListParagraph"/>
        <w:numPr>
          <w:ilvl w:val="0"/>
          <w:numId w:val="14"/>
        </w:numPr>
        <w:spacing w:after="0" w:line="240" w:lineRule="auto"/>
        <w:rPr>
          <w:rFonts w:ascii="Times New Roman" w:hAnsi="Times New Roman" w:cs="Times New Roman"/>
          <w:color w:val="000000"/>
          <w:sz w:val="24"/>
          <w:szCs w:val="24"/>
        </w:rPr>
      </w:pPr>
      <w:r w:rsidRPr="00FC7A4D">
        <w:rPr>
          <w:rFonts w:ascii="Times New Roman" w:hAnsi="Times New Roman" w:cs="Times New Roman"/>
          <w:color w:val="000000"/>
          <w:sz w:val="24"/>
          <w:szCs w:val="24"/>
        </w:rPr>
        <w:t xml:space="preserve">Handwashing with soap and water for at least 20 seconds is the best practice. However, hand sanitizer containing at least 60% alcohol should be substituted when handwashing is not available. Hand sanitizer stations should be set up where school staff are typically present, such as common areas, hallways, and classrooms.  While the application of hand sanitizer may be necessary throughout the school day (especially if hand washing is less accessible) and does not require specialized instructions for use, districts and schools should avoid placing sanitizer stations in areas that are not typically supervised through the regular presence of staff.  </w:t>
      </w:r>
    </w:p>
    <w:p w14:paraId="3C597C75" w14:textId="77777777" w:rsidR="00FC7A4D" w:rsidRPr="00FC7A4D" w:rsidRDefault="00FC7A4D" w:rsidP="00FC7A4D">
      <w:pPr>
        <w:rPr>
          <w:color w:val="000000"/>
          <w:szCs w:val="24"/>
        </w:rPr>
      </w:pPr>
    </w:p>
    <w:p w14:paraId="50087563" w14:textId="77777777" w:rsidR="00FC7A4D" w:rsidRPr="00FC7A4D" w:rsidRDefault="00FC7A4D" w:rsidP="00FC7A4D">
      <w:pPr>
        <w:rPr>
          <w:color w:val="000000"/>
          <w:szCs w:val="24"/>
        </w:rPr>
      </w:pPr>
      <w:r w:rsidRPr="00FC7A4D">
        <w:rPr>
          <w:color w:val="000000"/>
          <w:szCs w:val="24"/>
        </w:rPr>
        <w:t>Supporting the safety of our students, teachers, staff, and community is our most important mutual priority.  We will continue to work in collaboration to update and refine our guidance for schools as the science evolves.  Thank you for your efforts on behalf of our students and to provide a safe environment for everyone in our schools.</w:t>
      </w:r>
    </w:p>
    <w:p w14:paraId="6F8C2B7B" w14:textId="77777777" w:rsidR="00FC7A4D" w:rsidRPr="00FC7A4D" w:rsidRDefault="00FC7A4D" w:rsidP="00FC7A4D">
      <w:pPr>
        <w:rPr>
          <w:color w:val="000000"/>
          <w:szCs w:val="24"/>
        </w:rPr>
      </w:pPr>
    </w:p>
    <w:p w14:paraId="6AF564AF" w14:textId="77777777" w:rsidR="00024A1F" w:rsidRPr="00024A1F" w:rsidRDefault="00024A1F" w:rsidP="00024A1F">
      <w:pPr>
        <w:rPr>
          <w:color w:val="000000"/>
          <w:szCs w:val="24"/>
        </w:rPr>
      </w:pPr>
    </w:p>
    <w:sectPr w:rsidR="00024A1F" w:rsidRPr="00024A1F" w:rsidSect="004E02B6">
      <w:endnotePr>
        <w:numFmt w:val="decimal"/>
      </w:endnotePr>
      <w:type w:val="continuous"/>
      <w:pgSz w:w="12240" w:h="15840"/>
      <w:pgMar w:top="1440" w:right="1440" w:bottom="1440" w:left="1440" w:header="1440" w:footer="1440" w:gutter="0"/>
      <w:cols w:space="720"/>
      <w:formProt w:val="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99013" w14:textId="77777777" w:rsidR="00335BD0" w:rsidRDefault="00335BD0">
      <w:r>
        <w:separator/>
      </w:r>
    </w:p>
  </w:endnote>
  <w:endnote w:type="continuationSeparator" w:id="0">
    <w:p w14:paraId="008306D3" w14:textId="77777777" w:rsidR="00335BD0" w:rsidRDefault="00335BD0">
      <w:r>
        <w:continuationSeparator/>
      </w:r>
    </w:p>
  </w:endnote>
  <w:endnote w:id="1">
    <w:p w14:paraId="625D1FF7" w14:textId="77777777" w:rsidR="00FC7A4D" w:rsidRDefault="00FC7A4D" w:rsidP="00FC7A4D">
      <w:pPr>
        <w:pStyle w:val="EndnoteText"/>
      </w:pPr>
      <w:r>
        <w:rPr>
          <w:rStyle w:val="EndnoteReference"/>
        </w:rPr>
        <w:endnoteRef/>
      </w:r>
      <w:r>
        <w:t xml:space="preserve"> CDC, Social Distancing, Quarantine, and Isolation. (2020, May 6). Retrieved from </w:t>
      </w:r>
      <w:hyperlink r:id="rId1" w:history="1">
        <w:r>
          <w:rPr>
            <w:rStyle w:val="Hyperlink"/>
          </w:rPr>
          <w:t>https://www.cdc.gov/coronavirus/2019-ncov/prevent-getting-sick/social-distancing.html</w:t>
        </w:r>
      </w:hyperlink>
    </w:p>
  </w:endnote>
  <w:endnote w:id="2">
    <w:p w14:paraId="29A02F68" w14:textId="77777777" w:rsidR="00FC7A4D" w:rsidRDefault="00FC7A4D" w:rsidP="00FC7A4D">
      <w:pPr>
        <w:pStyle w:val="EndnoteText"/>
      </w:pPr>
      <w:r>
        <w:rPr>
          <w:rStyle w:val="EndnoteReference"/>
        </w:rPr>
        <w:endnoteRef/>
      </w:r>
      <w:r>
        <w:t xml:space="preserve"> DPH, COVID-19 Prevention and Treatment (2020). Retrieved from </w:t>
      </w:r>
      <w:hyperlink r:id="rId2" w:anchor="social-distancing-" w:history="1">
        <w:r w:rsidRPr="009C7B33">
          <w:rPr>
            <w:rStyle w:val="Hyperlink"/>
          </w:rPr>
          <w:t>https://www.mass.gov/info-details/covid-19-prevention-and-treatment#social-distancing-</w:t>
        </w:r>
      </w:hyperlink>
    </w:p>
  </w:endnote>
  <w:endnote w:id="3">
    <w:p w14:paraId="0147791C" w14:textId="77777777" w:rsidR="00FC7A4D" w:rsidRDefault="00FC7A4D" w:rsidP="00FC7A4D">
      <w:pPr>
        <w:pStyle w:val="EndnoteText"/>
      </w:pPr>
      <w:r>
        <w:rPr>
          <w:rStyle w:val="EndnoteReference"/>
        </w:rPr>
        <w:endnoteRef/>
      </w:r>
      <w:r>
        <w:t xml:space="preserve"> WHO, Considerations for school-related public health measures in the context of COVID-19. (2020, May 10). Available at </w:t>
      </w:r>
      <w:hyperlink r:id="rId3" w:history="1">
        <w:r>
          <w:rPr>
            <w:rStyle w:val="Hyperlink"/>
          </w:rPr>
          <w:t>https://www.who.int/publications/i/item/considerations-for-school-related-public-health-measures-in-the-context-of-covid-19</w:t>
        </w:r>
      </w:hyperlink>
    </w:p>
  </w:endnote>
  <w:endnote w:id="4">
    <w:p w14:paraId="2DFDCFDC" w14:textId="77777777" w:rsidR="00FC7A4D" w:rsidRDefault="00FC7A4D" w:rsidP="00FC7A4D">
      <w:pPr>
        <w:pStyle w:val="EndnoteText"/>
      </w:pPr>
      <w:r>
        <w:rPr>
          <w:rStyle w:val="EndnoteReference"/>
        </w:rPr>
        <w:endnoteRef/>
      </w:r>
      <w:r>
        <w:t xml:space="preserve"> American Academy of Pediatrics (2020). COVID-19 Planning Considerations: Guidance for School Re-entry Retrieved from </w:t>
      </w:r>
      <w:hyperlink r:id="rId4" w:history="1">
        <w:r w:rsidRPr="009C7B33">
          <w:rPr>
            <w:rStyle w:val="Hyperlink"/>
          </w:rPr>
          <w:t>https://services.aap.org/en/pages/2019-novel-coronavirus-covid-19-infections/clinical-guidance/covid-19-planning-considerations-return-to-in-person-education-in-schools/</w:t>
        </w:r>
      </w:hyperlink>
    </w:p>
  </w:endnote>
  <w:endnote w:id="5">
    <w:p w14:paraId="7D1BF699" w14:textId="77777777" w:rsidR="00FC7A4D" w:rsidRDefault="00FC7A4D" w:rsidP="00FC7A4D">
      <w:pPr>
        <w:pStyle w:val="EndnoteText"/>
      </w:pPr>
      <w:r>
        <w:rPr>
          <w:rStyle w:val="EndnoteReference"/>
        </w:rPr>
        <w:endnoteRef/>
      </w:r>
      <w:r>
        <w:t xml:space="preserve"> FDA, N95 Respirators, Surgical Masks, and Face Masks (2020, July 6). Retrieved from: </w:t>
      </w:r>
      <w:hyperlink r:id="rId5" w:anchor="s2" w:history="1">
        <w:r w:rsidRPr="00567167">
          <w:rPr>
            <w:rStyle w:val="Hyperlink"/>
          </w:rPr>
          <w:t>https://www.fda.gov/medical-devices/personal-protective-equipment-infection-control/n95-respirators-surgical-masks-and-face-masks#s2</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CBA48" w14:textId="77777777" w:rsidR="002B014B" w:rsidRDefault="0063563D">
    <w:pPr>
      <w:pStyle w:val="Footer"/>
      <w:framePr w:wrap="around" w:vAnchor="text" w:hAnchor="margin" w:xAlign="right" w:y="1"/>
      <w:rPr>
        <w:rStyle w:val="PageNumber"/>
      </w:rPr>
    </w:pPr>
    <w:r>
      <w:rPr>
        <w:rStyle w:val="PageNumber"/>
      </w:rPr>
      <w:fldChar w:fldCharType="begin"/>
    </w:r>
    <w:r w:rsidR="002B014B">
      <w:rPr>
        <w:rStyle w:val="PageNumber"/>
      </w:rPr>
      <w:instrText xml:space="preserve">PAGE  </w:instrText>
    </w:r>
    <w:r>
      <w:rPr>
        <w:rStyle w:val="PageNumber"/>
      </w:rPr>
      <w:fldChar w:fldCharType="end"/>
    </w:r>
  </w:p>
  <w:p w14:paraId="45B3570A" w14:textId="77777777" w:rsidR="002B014B" w:rsidRDefault="002B01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49EE0" w14:textId="77777777" w:rsidR="004A16E4" w:rsidRDefault="0063563D">
    <w:pPr>
      <w:pStyle w:val="Footer"/>
      <w:jc w:val="right"/>
    </w:pPr>
    <w:r>
      <w:fldChar w:fldCharType="begin"/>
    </w:r>
    <w:r w:rsidR="004A16E4">
      <w:instrText xml:space="preserve"> PAGE   \* MERGEFORMAT </w:instrText>
    </w:r>
    <w:r>
      <w:fldChar w:fldCharType="separate"/>
    </w:r>
    <w:r w:rsidR="007379AC">
      <w:rPr>
        <w:noProof/>
      </w:rPr>
      <w:t>2</w:t>
    </w:r>
    <w:r>
      <w:rPr>
        <w:noProof/>
      </w:rPr>
      <w:fldChar w:fldCharType="end"/>
    </w:r>
  </w:p>
  <w:p w14:paraId="587FAB00" w14:textId="77777777" w:rsidR="002B014B" w:rsidRDefault="002B014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57476" w14:textId="77777777" w:rsidR="00335BD0" w:rsidRDefault="00335BD0">
      <w:r>
        <w:separator/>
      </w:r>
    </w:p>
  </w:footnote>
  <w:footnote w:type="continuationSeparator" w:id="0">
    <w:p w14:paraId="76F0E272" w14:textId="77777777" w:rsidR="00335BD0" w:rsidRDefault="00335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316D5"/>
    <w:multiLevelType w:val="hybridMultilevel"/>
    <w:tmpl w:val="A53C71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1D0CB1"/>
    <w:multiLevelType w:val="hybridMultilevel"/>
    <w:tmpl w:val="159EC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6716B"/>
    <w:multiLevelType w:val="hybridMultilevel"/>
    <w:tmpl w:val="2A36E53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6D5510"/>
    <w:multiLevelType w:val="hybridMultilevel"/>
    <w:tmpl w:val="9F3C61B2"/>
    <w:lvl w:ilvl="0" w:tplc="0409000F">
      <w:start w:val="4"/>
      <w:numFmt w:val="decimal"/>
      <w:lvlText w:val="%1."/>
      <w:lvlJc w:val="left"/>
      <w:pPr>
        <w:tabs>
          <w:tab w:val="num" w:pos="720"/>
        </w:tabs>
        <w:ind w:left="720" w:hanging="360"/>
      </w:pPr>
      <w:rPr>
        <w:rFonts w:hint="default"/>
        <w:b w:val="0"/>
      </w:rPr>
    </w:lvl>
    <w:lvl w:ilvl="1" w:tplc="74E4CF1A">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FDE1D79"/>
    <w:multiLevelType w:val="hybridMultilevel"/>
    <w:tmpl w:val="006202F0"/>
    <w:lvl w:ilvl="0" w:tplc="0409000F">
      <w:start w:val="1"/>
      <w:numFmt w:val="decimal"/>
      <w:lvlText w:val="%1."/>
      <w:lvlJc w:val="left"/>
      <w:pPr>
        <w:tabs>
          <w:tab w:val="num" w:pos="720"/>
        </w:tabs>
        <w:ind w:left="720" w:hanging="360"/>
      </w:pPr>
      <w:rPr>
        <w:rFonts w:hint="default"/>
        <w:b w:val="0"/>
      </w:rPr>
    </w:lvl>
    <w:lvl w:ilvl="1" w:tplc="155855E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5B466A0"/>
    <w:multiLevelType w:val="hybridMultilevel"/>
    <w:tmpl w:val="C8BA0018"/>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FC5246"/>
    <w:multiLevelType w:val="hybridMultilevel"/>
    <w:tmpl w:val="681442A0"/>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FE14EA3"/>
    <w:multiLevelType w:val="singleLevel"/>
    <w:tmpl w:val="784C7184"/>
    <w:lvl w:ilvl="0">
      <w:start w:val="1"/>
      <w:numFmt w:val="decimal"/>
      <w:lvlText w:val="%1."/>
      <w:legacy w:legacy="1" w:legacySpace="0" w:legacyIndent="360"/>
      <w:lvlJc w:val="left"/>
      <w:rPr>
        <w:rFonts w:ascii="Times New Roman" w:hAnsi="Times New Roman" w:cs="Times New Roman" w:hint="default"/>
      </w:rPr>
    </w:lvl>
  </w:abstractNum>
  <w:abstractNum w:abstractNumId="8" w15:restartNumberingAfterBreak="0">
    <w:nsid w:val="41B57141"/>
    <w:multiLevelType w:val="hybridMultilevel"/>
    <w:tmpl w:val="776AAFAA"/>
    <w:lvl w:ilvl="0" w:tplc="C3CA9020">
      <w:start w:val="2"/>
      <w:numFmt w:val="lowerLetter"/>
      <w:lvlText w:val="%1."/>
      <w:lvlJc w:val="left"/>
      <w:pPr>
        <w:tabs>
          <w:tab w:val="num" w:pos="1140"/>
        </w:tabs>
        <w:ind w:left="1140" w:hanging="420"/>
      </w:pPr>
      <w:rPr>
        <w:rFonts w:hint="default"/>
      </w:rPr>
    </w:lvl>
    <w:lvl w:ilvl="1" w:tplc="84449378">
      <w:start w:val="9"/>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181799E"/>
    <w:multiLevelType w:val="hybridMultilevel"/>
    <w:tmpl w:val="72F45A0C"/>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14677C0"/>
    <w:multiLevelType w:val="hybridMultilevel"/>
    <w:tmpl w:val="82EAA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D47BCE"/>
    <w:multiLevelType w:val="hybridMultilevel"/>
    <w:tmpl w:val="2D94D344"/>
    <w:lvl w:ilvl="0" w:tplc="0409000F">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2" w15:restartNumberingAfterBreak="0">
    <w:nsid w:val="65AF2794"/>
    <w:multiLevelType w:val="hybridMultilevel"/>
    <w:tmpl w:val="4F68A2A0"/>
    <w:lvl w:ilvl="0" w:tplc="85EADD4A">
      <w:start w:val="1"/>
      <w:numFmt w:val="decimal"/>
      <w:lvlText w:val="%1."/>
      <w:lvlJc w:val="left"/>
      <w:pPr>
        <w:tabs>
          <w:tab w:val="num" w:pos="720"/>
        </w:tabs>
        <w:ind w:left="720" w:hanging="360"/>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F53F6D"/>
    <w:multiLevelType w:val="hybridMultilevel"/>
    <w:tmpl w:val="DBBC4B6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3"/>
  </w:num>
  <w:num w:numId="2">
    <w:abstractNumId w:val="8"/>
  </w:num>
  <w:num w:numId="3">
    <w:abstractNumId w:val="0"/>
  </w:num>
  <w:num w:numId="4">
    <w:abstractNumId w:val="11"/>
  </w:num>
  <w:num w:numId="5">
    <w:abstractNumId w:val="10"/>
  </w:num>
  <w:num w:numId="6">
    <w:abstractNumId w:val="2"/>
  </w:num>
  <w:num w:numId="7">
    <w:abstractNumId w:val="7"/>
  </w:num>
  <w:num w:numId="8">
    <w:abstractNumId w:val="9"/>
  </w:num>
  <w:num w:numId="9">
    <w:abstractNumId w:val="4"/>
  </w:num>
  <w:num w:numId="10">
    <w:abstractNumId w:val="12"/>
  </w:num>
  <w:num w:numId="11">
    <w:abstractNumId w:val="3"/>
  </w:num>
  <w:num w:numId="12">
    <w:abstractNumId w:val="6"/>
  </w:num>
  <w:num w:numId="13">
    <w:abstractNumId w:val="5"/>
  </w:num>
  <w:num w:numId="1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A4D"/>
    <w:rsid w:val="00001329"/>
    <w:rsid w:val="000063B9"/>
    <w:rsid w:val="000072AA"/>
    <w:rsid w:val="0001606C"/>
    <w:rsid w:val="00024A1F"/>
    <w:rsid w:val="00027086"/>
    <w:rsid w:val="00030DD3"/>
    <w:rsid w:val="00034C92"/>
    <w:rsid w:val="00043474"/>
    <w:rsid w:val="00053AA3"/>
    <w:rsid w:val="00055A3D"/>
    <w:rsid w:val="00056B96"/>
    <w:rsid w:val="00063782"/>
    <w:rsid w:val="0007158E"/>
    <w:rsid w:val="0007250C"/>
    <w:rsid w:val="00077595"/>
    <w:rsid w:val="000853D9"/>
    <w:rsid w:val="00090BBA"/>
    <w:rsid w:val="00097A70"/>
    <w:rsid w:val="000A0B86"/>
    <w:rsid w:val="000A1302"/>
    <w:rsid w:val="000A5AA5"/>
    <w:rsid w:val="000B2C99"/>
    <w:rsid w:val="000B34B3"/>
    <w:rsid w:val="000B63DE"/>
    <w:rsid w:val="000B6697"/>
    <w:rsid w:val="000D052C"/>
    <w:rsid w:val="000E1B88"/>
    <w:rsid w:val="000E1DFE"/>
    <w:rsid w:val="000E3F4E"/>
    <w:rsid w:val="000E3F88"/>
    <w:rsid w:val="000E6832"/>
    <w:rsid w:val="000E6D29"/>
    <w:rsid w:val="000F55EB"/>
    <w:rsid w:val="000F7EAB"/>
    <w:rsid w:val="00102267"/>
    <w:rsid w:val="00103AB9"/>
    <w:rsid w:val="001160EA"/>
    <w:rsid w:val="00121B6D"/>
    <w:rsid w:val="00132C9F"/>
    <w:rsid w:val="00132F44"/>
    <w:rsid w:val="00133302"/>
    <w:rsid w:val="001362F3"/>
    <w:rsid w:val="00141A59"/>
    <w:rsid w:val="00163AEA"/>
    <w:rsid w:val="00171CF8"/>
    <w:rsid w:val="00173F1B"/>
    <w:rsid w:val="0017686B"/>
    <w:rsid w:val="00181784"/>
    <w:rsid w:val="0018208E"/>
    <w:rsid w:val="00183DF0"/>
    <w:rsid w:val="001925A3"/>
    <w:rsid w:val="00193BBC"/>
    <w:rsid w:val="00195E0F"/>
    <w:rsid w:val="001A4CA9"/>
    <w:rsid w:val="001B3A5F"/>
    <w:rsid w:val="001B71EB"/>
    <w:rsid w:val="001C2471"/>
    <w:rsid w:val="001C2712"/>
    <w:rsid w:val="001D7ECC"/>
    <w:rsid w:val="001E0FC4"/>
    <w:rsid w:val="001E111C"/>
    <w:rsid w:val="001F1874"/>
    <w:rsid w:val="001F26EB"/>
    <w:rsid w:val="00202DBD"/>
    <w:rsid w:val="002049E8"/>
    <w:rsid w:val="002123AB"/>
    <w:rsid w:val="002150AA"/>
    <w:rsid w:val="00215989"/>
    <w:rsid w:val="00223A0F"/>
    <w:rsid w:val="00226754"/>
    <w:rsid w:val="0023149B"/>
    <w:rsid w:val="00237924"/>
    <w:rsid w:val="00240E6A"/>
    <w:rsid w:val="002425E3"/>
    <w:rsid w:val="00246035"/>
    <w:rsid w:val="0025000B"/>
    <w:rsid w:val="00261E31"/>
    <w:rsid w:val="00262458"/>
    <w:rsid w:val="0026636C"/>
    <w:rsid w:val="002673FE"/>
    <w:rsid w:val="0027262E"/>
    <w:rsid w:val="0027294B"/>
    <w:rsid w:val="002845F8"/>
    <w:rsid w:val="002A70A7"/>
    <w:rsid w:val="002B014B"/>
    <w:rsid w:val="002B359D"/>
    <w:rsid w:val="002C2E4F"/>
    <w:rsid w:val="002C337A"/>
    <w:rsid w:val="002C754D"/>
    <w:rsid w:val="002C7591"/>
    <w:rsid w:val="002D1039"/>
    <w:rsid w:val="002E102C"/>
    <w:rsid w:val="002E41B2"/>
    <w:rsid w:val="002E51BC"/>
    <w:rsid w:val="002F061C"/>
    <w:rsid w:val="002F71C2"/>
    <w:rsid w:val="00305463"/>
    <w:rsid w:val="003149DE"/>
    <w:rsid w:val="00317064"/>
    <w:rsid w:val="00324E4C"/>
    <w:rsid w:val="00330A7E"/>
    <w:rsid w:val="00334D40"/>
    <w:rsid w:val="00335BD0"/>
    <w:rsid w:val="00353491"/>
    <w:rsid w:val="00356545"/>
    <w:rsid w:val="003625A9"/>
    <w:rsid w:val="003641D0"/>
    <w:rsid w:val="00364FF1"/>
    <w:rsid w:val="0037790E"/>
    <w:rsid w:val="00387541"/>
    <w:rsid w:val="003906C7"/>
    <w:rsid w:val="00391E0B"/>
    <w:rsid w:val="0039536F"/>
    <w:rsid w:val="00396344"/>
    <w:rsid w:val="003A17FE"/>
    <w:rsid w:val="003B31F6"/>
    <w:rsid w:val="003B3BC7"/>
    <w:rsid w:val="003B4529"/>
    <w:rsid w:val="003C7113"/>
    <w:rsid w:val="003D5981"/>
    <w:rsid w:val="003E2E9E"/>
    <w:rsid w:val="003F2098"/>
    <w:rsid w:val="003F45CB"/>
    <w:rsid w:val="004066EF"/>
    <w:rsid w:val="004117E5"/>
    <w:rsid w:val="004158B6"/>
    <w:rsid w:val="0041778C"/>
    <w:rsid w:val="0043027E"/>
    <w:rsid w:val="00432013"/>
    <w:rsid w:val="004320BB"/>
    <w:rsid w:val="004323E2"/>
    <w:rsid w:val="004412C3"/>
    <w:rsid w:val="0044226F"/>
    <w:rsid w:val="004528BB"/>
    <w:rsid w:val="004603C7"/>
    <w:rsid w:val="004628FA"/>
    <w:rsid w:val="00467314"/>
    <w:rsid w:val="00472450"/>
    <w:rsid w:val="00483A49"/>
    <w:rsid w:val="004864C6"/>
    <w:rsid w:val="00486520"/>
    <w:rsid w:val="0049108E"/>
    <w:rsid w:val="0049178A"/>
    <w:rsid w:val="00491797"/>
    <w:rsid w:val="00497E17"/>
    <w:rsid w:val="004A16E4"/>
    <w:rsid w:val="004A2086"/>
    <w:rsid w:val="004A3523"/>
    <w:rsid w:val="004A46FF"/>
    <w:rsid w:val="004A5CA3"/>
    <w:rsid w:val="004B1A61"/>
    <w:rsid w:val="004C33BC"/>
    <w:rsid w:val="004D18E2"/>
    <w:rsid w:val="004D1CC7"/>
    <w:rsid w:val="004D7E25"/>
    <w:rsid w:val="004E02B6"/>
    <w:rsid w:val="004E295A"/>
    <w:rsid w:val="004E7FFB"/>
    <w:rsid w:val="004F08EE"/>
    <w:rsid w:val="004F377F"/>
    <w:rsid w:val="00512093"/>
    <w:rsid w:val="00512A29"/>
    <w:rsid w:val="00526BBE"/>
    <w:rsid w:val="00531C9F"/>
    <w:rsid w:val="00534010"/>
    <w:rsid w:val="00540887"/>
    <w:rsid w:val="00543300"/>
    <w:rsid w:val="00552248"/>
    <w:rsid w:val="00555582"/>
    <w:rsid w:val="005603C5"/>
    <w:rsid w:val="00561DC6"/>
    <w:rsid w:val="00561F0C"/>
    <w:rsid w:val="00561F32"/>
    <w:rsid w:val="005632C2"/>
    <w:rsid w:val="00564569"/>
    <w:rsid w:val="0058020F"/>
    <w:rsid w:val="00581828"/>
    <w:rsid w:val="005849A5"/>
    <w:rsid w:val="00594483"/>
    <w:rsid w:val="005A1EC3"/>
    <w:rsid w:val="005A2808"/>
    <w:rsid w:val="005A42B8"/>
    <w:rsid w:val="005A559D"/>
    <w:rsid w:val="005A56AA"/>
    <w:rsid w:val="005B1E54"/>
    <w:rsid w:val="005B269E"/>
    <w:rsid w:val="005B6D5E"/>
    <w:rsid w:val="005B7436"/>
    <w:rsid w:val="005C42DA"/>
    <w:rsid w:val="005E2191"/>
    <w:rsid w:val="005E4844"/>
    <w:rsid w:val="005E5D8E"/>
    <w:rsid w:val="005F1874"/>
    <w:rsid w:val="005F5D54"/>
    <w:rsid w:val="00613BF0"/>
    <w:rsid w:val="006345E9"/>
    <w:rsid w:val="0063563D"/>
    <w:rsid w:val="00636AC7"/>
    <w:rsid w:val="00641DFD"/>
    <w:rsid w:val="0066491A"/>
    <w:rsid w:val="0066511D"/>
    <w:rsid w:val="00666BEC"/>
    <w:rsid w:val="00676217"/>
    <w:rsid w:val="00676769"/>
    <w:rsid w:val="00680AD1"/>
    <w:rsid w:val="00685AD0"/>
    <w:rsid w:val="00690654"/>
    <w:rsid w:val="00692A67"/>
    <w:rsid w:val="00693BC1"/>
    <w:rsid w:val="0069716C"/>
    <w:rsid w:val="006A229E"/>
    <w:rsid w:val="006A3BCD"/>
    <w:rsid w:val="006A5B5A"/>
    <w:rsid w:val="006B5DD1"/>
    <w:rsid w:val="006C4F5C"/>
    <w:rsid w:val="006C60B0"/>
    <w:rsid w:val="006D2D0F"/>
    <w:rsid w:val="006D4CBC"/>
    <w:rsid w:val="006E620A"/>
    <w:rsid w:val="00705EED"/>
    <w:rsid w:val="0070733C"/>
    <w:rsid w:val="00717A96"/>
    <w:rsid w:val="0072082D"/>
    <w:rsid w:val="00723057"/>
    <w:rsid w:val="00723D53"/>
    <w:rsid w:val="0072430F"/>
    <w:rsid w:val="00730853"/>
    <w:rsid w:val="00731AF4"/>
    <w:rsid w:val="007358F4"/>
    <w:rsid w:val="00735907"/>
    <w:rsid w:val="00735D52"/>
    <w:rsid w:val="00737900"/>
    <w:rsid w:val="007379AC"/>
    <w:rsid w:val="0074184A"/>
    <w:rsid w:val="00743AB6"/>
    <w:rsid w:val="00753271"/>
    <w:rsid w:val="00766272"/>
    <w:rsid w:val="007709BB"/>
    <w:rsid w:val="00770F7B"/>
    <w:rsid w:val="007718AD"/>
    <w:rsid w:val="0078028D"/>
    <w:rsid w:val="007965D9"/>
    <w:rsid w:val="007966DA"/>
    <w:rsid w:val="007A22FF"/>
    <w:rsid w:val="007B5B50"/>
    <w:rsid w:val="007B65CB"/>
    <w:rsid w:val="007B7FC8"/>
    <w:rsid w:val="007C5222"/>
    <w:rsid w:val="007C71E4"/>
    <w:rsid w:val="007D0007"/>
    <w:rsid w:val="007D6BF1"/>
    <w:rsid w:val="007E19B0"/>
    <w:rsid w:val="007E5344"/>
    <w:rsid w:val="007F38DA"/>
    <w:rsid w:val="007F6D30"/>
    <w:rsid w:val="008011DD"/>
    <w:rsid w:val="00806779"/>
    <w:rsid w:val="00807214"/>
    <w:rsid w:val="00814B5D"/>
    <w:rsid w:val="00814D48"/>
    <w:rsid w:val="00820F63"/>
    <w:rsid w:val="00821C27"/>
    <w:rsid w:val="00843516"/>
    <w:rsid w:val="0084404F"/>
    <w:rsid w:val="0085432C"/>
    <w:rsid w:val="00856A08"/>
    <w:rsid w:val="00871C6C"/>
    <w:rsid w:val="00873E2A"/>
    <w:rsid w:val="0088140A"/>
    <w:rsid w:val="00881B8C"/>
    <w:rsid w:val="00881D9A"/>
    <w:rsid w:val="0088225A"/>
    <w:rsid w:val="00883E44"/>
    <w:rsid w:val="00884064"/>
    <w:rsid w:val="00895CB2"/>
    <w:rsid w:val="008A1373"/>
    <w:rsid w:val="008A2E0F"/>
    <w:rsid w:val="008A6332"/>
    <w:rsid w:val="008B3804"/>
    <w:rsid w:val="008B4475"/>
    <w:rsid w:val="008B6DCA"/>
    <w:rsid w:val="008B73D8"/>
    <w:rsid w:val="008C1C16"/>
    <w:rsid w:val="008C2BE1"/>
    <w:rsid w:val="008C327E"/>
    <w:rsid w:val="008C551B"/>
    <w:rsid w:val="008C7DAC"/>
    <w:rsid w:val="008D08BB"/>
    <w:rsid w:val="008E1431"/>
    <w:rsid w:val="008F2EC4"/>
    <w:rsid w:val="008F7DF3"/>
    <w:rsid w:val="009073FC"/>
    <w:rsid w:val="00911054"/>
    <w:rsid w:val="0091782C"/>
    <w:rsid w:val="00920E7C"/>
    <w:rsid w:val="00921189"/>
    <w:rsid w:val="0092272F"/>
    <w:rsid w:val="00927714"/>
    <w:rsid w:val="00930EB6"/>
    <w:rsid w:val="00937A15"/>
    <w:rsid w:val="00942697"/>
    <w:rsid w:val="00943163"/>
    <w:rsid w:val="00946642"/>
    <w:rsid w:val="009475FC"/>
    <w:rsid w:val="0095696F"/>
    <w:rsid w:val="00957155"/>
    <w:rsid w:val="00963B70"/>
    <w:rsid w:val="00970D92"/>
    <w:rsid w:val="0097243C"/>
    <w:rsid w:val="00980B43"/>
    <w:rsid w:val="00991317"/>
    <w:rsid w:val="00991B9B"/>
    <w:rsid w:val="009A3651"/>
    <w:rsid w:val="009B4876"/>
    <w:rsid w:val="009D0E22"/>
    <w:rsid w:val="009D25AD"/>
    <w:rsid w:val="009D559B"/>
    <w:rsid w:val="009D5A72"/>
    <w:rsid w:val="009D6479"/>
    <w:rsid w:val="009D6BF9"/>
    <w:rsid w:val="009D73AA"/>
    <w:rsid w:val="009D7D1B"/>
    <w:rsid w:val="009E3257"/>
    <w:rsid w:val="009E74CB"/>
    <w:rsid w:val="009F0450"/>
    <w:rsid w:val="009F1E11"/>
    <w:rsid w:val="009F3C73"/>
    <w:rsid w:val="009F64AE"/>
    <w:rsid w:val="00A00281"/>
    <w:rsid w:val="00A0258F"/>
    <w:rsid w:val="00A15085"/>
    <w:rsid w:val="00A20567"/>
    <w:rsid w:val="00A24C8B"/>
    <w:rsid w:val="00A30C5B"/>
    <w:rsid w:val="00A31947"/>
    <w:rsid w:val="00A36AED"/>
    <w:rsid w:val="00A375F5"/>
    <w:rsid w:val="00A40123"/>
    <w:rsid w:val="00A4026B"/>
    <w:rsid w:val="00A42F3D"/>
    <w:rsid w:val="00A443D7"/>
    <w:rsid w:val="00A46795"/>
    <w:rsid w:val="00A477B0"/>
    <w:rsid w:val="00A54E65"/>
    <w:rsid w:val="00A57ACB"/>
    <w:rsid w:val="00A60239"/>
    <w:rsid w:val="00A645C5"/>
    <w:rsid w:val="00A65A44"/>
    <w:rsid w:val="00A70BFE"/>
    <w:rsid w:val="00A72D38"/>
    <w:rsid w:val="00A74663"/>
    <w:rsid w:val="00A75214"/>
    <w:rsid w:val="00A76029"/>
    <w:rsid w:val="00A83364"/>
    <w:rsid w:val="00A925E5"/>
    <w:rsid w:val="00A964AC"/>
    <w:rsid w:val="00AA1067"/>
    <w:rsid w:val="00AA2373"/>
    <w:rsid w:val="00AB0230"/>
    <w:rsid w:val="00AB685C"/>
    <w:rsid w:val="00AC07B4"/>
    <w:rsid w:val="00AC1060"/>
    <w:rsid w:val="00AC2B41"/>
    <w:rsid w:val="00AC48C5"/>
    <w:rsid w:val="00AD11C2"/>
    <w:rsid w:val="00AD7FFB"/>
    <w:rsid w:val="00AE1D7A"/>
    <w:rsid w:val="00AE708E"/>
    <w:rsid w:val="00AF411A"/>
    <w:rsid w:val="00B04CB4"/>
    <w:rsid w:val="00B10CD1"/>
    <w:rsid w:val="00B12122"/>
    <w:rsid w:val="00B14926"/>
    <w:rsid w:val="00B31568"/>
    <w:rsid w:val="00B34436"/>
    <w:rsid w:val="00B346EC"/>
    <w:rsid w:val="00B36CC5"/>
    <w:rsid w:val="00B4785F"/>
    <w:rsid w:val="00B6078C"/>
    <w:rsid w:val="00B64E34"/>
    <w:rsid w:val="00B678F6"/>
    <w:rsid w:val="00B70C76"/>
    <w:rsid w:val="00B714CF"/>
    <w:rsid w:val="00B71DC2"/>
    <w:rsid w:val="00B720CE"/>
    <w:rsid w:val="00B76A63"/>
    <w:rsid w:val="00B82F0A"/>
    <w:rsid w:val="00B87612"/>
    <w:rsid w:val="00B92842"/>
    <w:rsid w:val="00BA3BBC"/>
    <w:rsid w:val="00BA3DED"/>
    <w:rsid w:val="00BA4316"/>
    <w:rsid w:val="00BB0169"/>
    <w:rsid w:val="00BB0A92"/>
    <w:rsid w:val="00BB5EA5"/>
    <w:rsid w:val="00BB6D04"/>
    <w:rsid w:val="00BC47EE"/>
    <w:rsid w:val="00BC7C35"/>
    <w:rsid w:val="00BD52B8"/>
    <w:rsid w:val="00BE2AD9"/>
    <w:rsid w:val="00BE6925"/>
    <w:rsid w:val="00BF06B2"/>
    <w:rsid w:val="00C02C99"/>
    <w:rsid w:val="00C02E92"/>
    <w:rsid w:val="00C0735A"/>
    <w:rsid w:val="00C12A11"/>
    <w:rsid w:val="00C414E3"/>
    <w:rsid w:val="00C43DA7"/>
    <w:rsid w:val="00C44992"/>
    <w:rsid w:val="00C46D42"/>
    <w:rsid w:val="00C521C8"/>
    <w:rsid w:val="00C528BD"/>
    <w:rsid w:val="00C566D5"/>
    <w:rsid w:val="00C57231"/>
    <w:rsid w:val="00C62DE5"/>
    <w:rsid w:val="00C637A2"/>
    <w:rsid w:val="00C63E93"/>
    <w:rsid w:val="00C74B50"/>
    <w:rsid w:val="00C76ED7"/>
    <w:rsid w:val="00C827A2"/>
    <w:rsid w:val="00C82914"/>
    <w:rsid w:val="00C876DD"/>
    <w:rsid w:val="00C91411"/>
    <w:rsid w:val="00C9397B"/>
    <w:rsid w:val="00C97855"/>
    <w:rsid w:val="00CA2D7A"/>
    <w:rsid w:val="00CA46AA"/>
    <w:rsid w:val="00CA57EB"/>
    <w:rsid w:val="00CA7396"/>
    <w:rsid w:val="00CB5098"/>
    <w:rsid w:val="00CB6E14"/>
    <w:rsid w:val="00CB7517"/>
    <w:rsid w:val="00CC0E1C"/>
    <w:rsid w:val="00CD2E04"/>
    <w:rsid w:val="00CE0A55"/>
    <w:rsid w:val="00CE739F"/>
    <w:rsid w:val="00CE76B7"/>
    <w:rsid w:val="00CF4B25"/>
    <w:rsid w:val="00CF4F03"/>
    <w:rsid w:val="00D07B9A"/>
    <w:rsid w:val="00D15B90"/>
    <w:rsid w:val="00D229F5"/>
    <w:rsid w:val="00D22BBA"/>
    <w:rsid w:val="00D2338F"/>
    <w:rsid w:val="00D30764"/>
    <w:rsid w:val="00D32426"/>
    <w:rsid w:val="00D34B7E"/>
    <w:rsid w:val="00D372F5"/>
    <w:rsid w:val="00D40BD2"/>
    <w:rsid w:val="00D5037F"/>
    <w:rsid w:val="00D5524E"/>
    <w:rsid w:val="00D71AFA"/>
    <w:rsid w:val="00D8267B"/>
    <w:rsid w:val="00D84D0A"/>
    <w:rsid w:val="00DA0850"/>
    <w:rsid w:val="00DA0FF8"/>
    <w:rsid w:val="00DA2496"/>
    <w:rsid w:val="00DA738C"/>
    <w:rsid w:val="00DB7F7C"/>
    <w:rsid w:val="00DC5246"/>
    <w:rsid w:val="00DD5420"/>
    <w:rsid w:val="00DE07CA"/>
    <w:rsid w:val="00DE18A3"/>
    <w:rsid w:val="00DF1633"/>
    <w:rsid w:val="00E01EFC"/>
    <w:rsid w:val="00E44774"/>
    <w:rsid w:val="00E45E92"/>
    <w:rsid w:val="00E45FAB"/>
    <w:rsid w:val="00E509C5"/>
    <w:rsid w:val="00E5661A"/>
    <w:rsid w:val="00E57A43"/>
    <w:rsid w:val="00E6486D"/>
    <w:rsid w:val="00E708B6"/>
    <w:rsid w:val="00E72A50"/>
    <w:rsid w:val="00E7726C"/>
    <w:rsid w:val="00E8146C"/>
    <w:rsid w:val="00E86F08"/>
    <w:rsid w:val="00E90AB5"/>
    <w:rsid w:val="00E90B3D"/>
    <w:rsid w:val="00EA654A"/>
    <w:rsid w:val="00EB28BB"/>
    <w:rsid w:val="00EB65E2"/>
    <w:rsid w:val="00EC6614"/>
    <w:rsid w:val="00EC6B6F"/>
    <w:rsid w:val="00ED1D14"/>
    <w:rsid w:val="00ED7C97"/>
    <w:rsid w:val="00EE11C8"/>
    <w:rsid w:val="00EE1AA3"/>
    <w:rsid w:val="00EE3A31"/>
    <w:rsid w:val="00EE4119"/>
    <w:rsid w:val="00EE5C4E"/>
    <w:rsid w:val="00EE64FC"/>
    <w:rsid w:val="00EE6A34"/>
    <w:rsid w:val="00EF2EE2"/>
    <w:rsid w:val="00EF2F5D"/>
    <w:rsid w:val="00EF5DB0"/>
    <w:rsid w:val="00EF7985"/>
    <w:rsid w:val="00EF7A30"/>
    <w:rsid w:val="00F1120A"/>
    <w:rsid w:val="00F11BC7"/>
    <w:rsid w:val="00F1429A"/>
    <w:rsid w:val="00F33734"/>
    <w:rsid w:val="00F35503"/>
    <w:rsid w:val="00F4186B"/>
    <w:rsid w:val="00F47F6A"/>
    <w:rsid w:val="00F502A4"/>
    <w:rsid w:val="00F56E73"/>
    <w:rsid w:val="00F60C57"/>
    <w:rsid w:val="00F61C39"/>
    <w:rsid w:val="00F64DB1"/>
    <w:rsid w:val="00F71B75"/>
    <w:rsid w:val="00F75C76"/>
    <w:rsid w:val="00F871B5"/>
    <w:rsid w:val="00F95F6E"/>
    <w:rsid w:val="00F9630B"/>
    <w:rsid w:val="00F96CAB"/>
    <w:rsid w:val="00FA7E0D"/>
    <w:rsid w:val="00FB577A"/>
    <w:rsid w:val="00FC100E"/>
    <w:rsid w:val="00FC1EF6"/>
    <w:rsid w:val="00FC2278"/>
    <w:rsid w:val="00FC7A4D"/>
    <w:rsid w:val="00FD23FE"/>
    <w:rsid w:val="00FE1348"/>
    <w:rsid w:val="00FE2208"/>
    <w:rsid w:val="00FF1D4C"/>
    <w:rsid w:val="00FF200D"/>
    <w:rsid w:val="00FF47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E2F6B"/>
  <w15:docId w15:val="{88C964AC-6F6A-4AC2-8B3D-8C69396D9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F3D"/>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Footer">
    <w:name w:val="footer"/>
    <w:basedOn w:val="Normal"/>
    <w:link w:val="FooterChar"/>
    <w:uiPriority w:val="99"/>
    <w:pPr>
      <w:widowControl/>
      <w:tabs>
        <w:tab w:val="center" w:pos="4320"/>
        <w:tab w:val="right" w:pos="8640"/>
      </w:tabs>
    </w:pPr>
    <w:rPr>
      <w:snapToGrid/>
      <w:szCs w:val="24"/>
    </w:rPr>
  </w:style>
  <w:style w:type="paragraph" w:styleId="BodyText">
    <w:name w:val="Body Text"/>
    <w:basedOn w:val="Normal"/>
    <w:pPr>
      <w:widowControl/>
    </w:pPr>
    <w:rPr>
      <w:rFonts w:ascii="Times" w:hAnsi="Times"/>
      <w:color w:val="000000"/>
    </w:rPr>
  </w:style>
  <w:style w:type="character" w:styleId="Hyperlink">
    <w:name w:val="Hyperlink"/>
    <w:uiPriority w:val="99"/>
    <w:rPr>
      <w:color w:val="0000FF"/>
      <w:u w:val="single"/>
    </w:rPr>
  </w:style>
  <w:style w:type="paragraph" w:styleId="BodyText2">
    <w:name w:val="Body Text 2"/>
    <w:basedOn w:val="Normal"/>
    <w:rPr>
      <w:i/>
      <w:iCs/>
    </w:rPr>
  </w:style>
  <w:style w:type="paragraph" w:styleId="BodyTextIndent">
    <w:name w:val="Body Text Indent"/>
    <w:basedOn w:val="Normal"/>
    <w:pPr>
      <w:autoSpaceDE w:val="0"/>
      <w:autoSpaceDN w:val="0"/>
      <w:adjustRightInd w:val="0"/>
      <w:ind w:left="-360"/>
    </w:pPr>
    <w:rPr>
      <w:snapToGrid/>
      <w:szCs w:val="24"/>
    </w:rPr>
  </w:style>
  <w:style w:type="character" w:styleId="PageNumber">
    <w:name w:val="page number"/>
    <w:basedOn w:val="DefaultParagraphFont"/>
  </w:style>
  <w:style w:type="paragraph" w:styleId="BodyTextIndent3">
    <w:name w:val="Body Text Indent 3"/>
    <w:basedOn w:val="Normal"/>
    <w:pPr>
      <w:widowControl/>
      <w:ind w:left="360" w:hanging="360"/>
    </w:pPr>
    <w:rPr>
      <w:szCs w:val="24"/>
    </w:rPr>
  </w:style>
  <w:style w:type="paragraph" w:styleId="BodyText3">
    <w:name w:val="Body Text 3"/>
    <w:basedOn w:val="Normal"/>
    <w:pPr>
      <w:autoSpaceDE w:val="0"/>
      <w:autoSpaceDN w:val="0"/>
      <w:adjustRightInd w:val="0"/>
    </w:pPr>
    <w:rPr>
      <w:b/>
      <w:bCs/>
    </w:rPr>
  </w:style>
  <w:style w:type="character" w:styleId="FollowedHyperlink">
    <w:name w:val="FollowedHyperlink"/>
    <w:rPr>
      <w:color w:val="800080"/>
      <w:u w:val="single"/>
    </w:rPr>
  </w:style>
  <w:style w:type="character" w:styleId="Strong">
    <w:name w:val="Strong"/>
    <w:qFormat/>
    <w:rPr>
      <w:b/>
      <w:bCs/>
    </w:rPr>
  </w:style>
  <w:style w:type="paragraph" w:styleId="NormalWeb">
    <w:name w:val="Normal (Web)"/>
    <w:basedOn w:val="Normal"/>
    <w:rsid w:val="00305463"/>
    <w:pPr>
      <w:widowControl/>
      <w:spacing w:before="100" w:beforeAutospacing="1" w:after="100" w:afterAutospacing="1"/>
    </w:pPr>
    <w:rPr>
      <w:snapToGrid/>
      <w:szCs w:val="24"/>
    </w:rPr>
  </w:style>
  <w:style w:type="character" w:styleId="Emphasis">
    <w:name w:val="Emphasis"/>
    <w:qFormat/>
    <w:rsid w:val="009D6479"/>
    <w:rPr>
      <w:i/>
      <w:iCs/>
    </w:rPr>
  </w:style>
  <w:style w:type="paragraph" w:customStyle="1" w:styleId="WPDefaults">
    <w:name w:val="WP Defaults"/>
    <w:rsid w:val="00AD7F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PlainText">
    <w:name w:val="Plain Text"/>
    <w:basedOn w:val="Normal"/>
    <w:rsid w:val="006B5DD1"/>
    <w:pPr>
      <w:widowControl/>
    </w:pPr>
    <w:rPr>
      <w:rFonts w:ascii="Courier New" w:hAnsi="Courier New" w:cs="Courier New"/>
      <w:snapToGrid/>
      <w:sz w:val="20"/>
    </w:rPr>
  </w:style>
  <w:style w:type="paragraph" w:styleId="BalloonText">
    <w:name w:val="Balloon Text"/>
    <w:basedOn w:val="Normal"/>
    <w:semiHidden/>
    <w:rsid w:val="00B70C76"/>
    <w:rPr>
      <w:rFonts w:ascii="Tahoma" w:hAnsi="Tahoma" w:cs="Tahoma"/>
      <w:sz w:val="16"/>
      <w:szCs w:val="16"/>
    </w:rPr>
  </w:style>
  <w:style w:type="character" w:customStyle="1" w:styleId="bold1">
    <w:name w:val="bold1"/>
    <w:rsid w:val="00D07B9A"/>
    <w:rPr>
      <w:b/>
      <w:bCs/>
    </w:rPr>
  </w:style>
  <w:style w:type="paragraph" w:customStyle="1" w:styleId="nav">
    <w:name w:val="nav"/>
    <w:basedOn w:val="Normal"/>
    <w:rsid w:val="00F61C39"/>
    <w:pPr>
      <w:widowControl/>
      <w:spacing w:before="100" w:beforeAutospacing="1" w:after="100" w:afterAutospacing="1"/>
    </w:pPr>
    <w:rPr>
      <w:rFonts w:ascii="Verdana" w:hAnsi="Verdana"/>
      <w:snapToGrid/>
      <w:sz w:val="13"/>
      <w:szCs w:val="13"/>
    </w:rPr>
  </w:style>
  <w:style w:type="character" w:customStyle="1" w:styleId="em1">
    <w:name w:val="em1"/>
    <w:rsid w:val="007F38DA"/>
    <w:rPr>
      <w:i/>
      <w:iCs/>
    </w:rPr>
  </w:style>
  <w:style w:type="paragraph" w:customStyle="1" w:styleId="default">
    <w:name w:val="default"/>
    <w:basedOn w:val="Normal"/>
    <w:rsid w:val="000E6832"/>
    <w:pPr>
      <w:widowControl/>
      <w:autoSpaceDE w:val="0"/>
      <w:autoSpaceDN w:val="0"/>
    </w:pPr>
    <w:rPr>
      <w:snapToGrid/>
      <w:color w:val="000000"/>
      <w:szCs w:val="24"/>
    </w:rPr>
  </w:style>
  <w:style w:type="character" w:customStyle="1" w:styleId="subcontent1">
    <w:name w:val="subcontent1"/>
    <w:rsid w:val="0078028D"/>
    <w:rPr>
      <w:b/>
      <w:bCs/>
      <w:color w:val="443718"/>
      <w:sz w:val="20"/>
      <w:szCs w:val="20"/>
    </w:rPr>
  </w:style>
  <w:style w:type="table" w:styleId="TableGrid">
    <w:name w:val="Table Grid"/>
    <w:basedOn w:val="TableNormal"/>
    <w:rsid w:val="00963B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5B269E"/>
    <w:pPr>
      <w:widowControl/>
    </w:pPr>
    <w:rPr>
      <w:snapToGrid/>
      <w:sz w:val="20"/>
    </w:rPr>
  </w:style>
  <w:style w:type="character" w:styleId="HTMLCite">
    <w:name w:val="HTML Cite"/>
    <w:rsid w:val="005B269E"/>
    <w:rPr>
      <w:i/>
      <w:iCs/>
    </w:rPr>
  </w:style>
  <w:style w:type="paragraph" w:customStyle="1" w:styleId="margin40em">
    <w:name w:val="margin40 em"/>
    <w:basedOn w:val="Normal"/>
    <w:rsid w:val="003F45CB"/>
    <w:pPr>
      <w:widowControl/>
      <w:spacing w:before="100" w:beforeAutospacing="1" w:after="100" w:afterAutospacing="1"/>
    </w:pPr>
    <w:rPr>
      <w:rFonts w:ascii="Georgia" w:hAnsi="Georgia"/>
      <w:snapToGrid/>
      <w:sz w:val="23"/>
      <w:szCs w:val="23"/>
    </w:rPr>
  </w:style>
  <w:style w:type="paragraph" w:styleId="Header">
    <w:name w:val="header"/>
    <w:basedOn w:val="Normal"/>
    <w:link w:val="HeaderChar"/>
    <w:rsid w:val="004E02B6"/>
    <w:pPr>
      <w:tabs>
        <w:tab w:val="center" w:pos="4680"/>
        <w:tab w:val="right" w:pos="9360"/>
      </w:tabs>
    </w:pPr>
  </w:style>
  <w:style w:type="character" w:customStyle="1" w:styleId="HeaderChar">
    <w:name w:val="Header Char"/>
    <w:link w:val="Header"/>
    <w:rsid w:val="004E02B6"/>
    <w:rPr>
      <w:snapToGrid w:val="0"/>
      <w:sz w:val="24"/>
    </w:rPr>
  </w:style>
  <w:style w:type="character" w:customStyle="1" w:styleId="FooterChar">
    <w:name w:val="Footer Char"/>
    <w:link w:val="Footer"/>
    <w:uiPriority w:val="99"/>
    <w:rsid w:val="004E02B6"/>
    <w:rPr>
      <w:sz w:val="24"/>
      <w:szCs w:val="24"/>
    </w:rPr>
  </w:style>
  <w:style w:type="paragraph" w:styleId="ListParagraph">
    <w:name w:val="List Paragraph"/>
    <w:basedOn w:val="Normal"/>
    <w:uiPriority w:val="34"/>
    <w:qFormat/>
    <w:rsid w:val="00FC7A4D"/>
    <w:pPr>
      <w:widowControl/>
      <w:spacing w:after="200" w:line="276" w:lineRule="auto"/>
      <w:ind w:left="720"/>
      <w:contextualSpacing/>
    </w:pPr>
    <w:rPr>
      <w:rFonts w:asciiTheme="minorHAnsi" w:eastAsiaTheme="minorHAnsi" w:hAnsiTheme="minorHAnsi" w:cstheme="minorBidi"/>
      <w:snapToGrid/>
      <w:sz w:val="22"/>
      <w:szCs w:val="22"/>
    </w:rPr>
  </w:style>
  <w:style w:type="paragraph" w:styleId="EndnoteText">
    <w:name w:val="endnote text"/>
    <w:basedOn w:val="Normal"/>
    <w:link w:val="EndnoteTextChar"/>
    <w:uiPriority w:val="99"/>
    <w:semiHidden/>
    <w:unhideWhenUsed/>
    <w:rsid w:val="00FC7A4D"/>
    <w:pPr>
      <w:widowControl/>
    </w:pPr>
    <w:rPr>
      <w:rFonts w:asciiTheme="minorHAnsi" w:eastAsiaTheme="minorHAnsi" w:hAnsiTheme="minorHAnsi" w:cstheme="minorBidi"/>
      <w:snapToGrid/>
      <w:sz w:val="20"/>
    </w:rPr>
  </w:style>
  <w:style w:type="character" w:customStyle="1" w:styleId="EndnoteTextChar">
    <w:name w:val="Endnote Text Char"/>
    <w:basedOn w:val="DefaultParagraphFont"/>
    <w:link w:val="EndnoteText"/>
    <w:uiPriority w:val="99"/>
    <w:semiHidden/>
    <w:rsid w:val="00FC7A4D"/>
    <w:rPr>
      <w:rFonts w:asciiTheme="minorHAnsi" w:eastAsiaTheme="minorHAnsi" w:hAnsiTheme="minorHAnsi" w:cstheme="minorBidi"/>
    </w:rPr>
  </w:style>
  <w:style w:type="character" w:styleId="EndnoteReference">
    <w:name w:val="endnote reference"/>
    <w:basedOn w:val="DefaultParagraphFont"/>
    <w:uiPriority w:val="99"/>
    <w:semiHidden/>
    <w:unhideWhenUsed/>
    <w:rsid w:val="00FC7A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29952">
      <w:bodyDiv w:val="1"/>
      <w:marLeft w:val="0"/>
      <w:marRight w:val="0"/>
      <w:marTop w:val="0"/>
      <w:marBottom w:val="0"/>
      <w:divBdr>
        <w:top w:val="none" w:sz="0" w:space="0" w:color="auto"/>
        <w:left w:val="none" w:sz="0" w:space="0" w:color="auto"/>
        <w:bottom w:val="none" w:sz="0" w:space="0" w:color="auto"/>
        <w:right w:val="none" w:sz="0" w:space="0" w:color="auto"/>
      </w:divBdr>
    </w:div>
    <w:div w:id="79304061">
      <w:bodyDiv w:val="1"/>
      <w:marLeft w:val="0"/>
      <w:marRight w:val="0"/>
      <w:marTop w:val="0"/>
      <w:marBottom w:val="0"/>
      <w:divBdr>
        <w:top w:val="none" w:sz="0" w:space="0" w:color="auto"/>
        <w:left w:val="none" w:sz="0" w:space="0" w:color="auto"/>
        <w:bottom w:val="none" w:sz="0" w:space="0" w:color="auto"/>
        <w:right w:val="none" w:sz="0" w:space="0" w:color="auto"/>
      </w:divBdr>
    </w:div>
    <w:div w:id="80025473">
      <w:bodyDiv w:val="1"/>
      <w:marLeft w:val="0"/>
      <w:marRight w:val="0"/>
      <w:marTop w:val="0"/>
      <w:marBottom w:val="0"/>
      <w:divBdr>
        <w:top w:val="none" w:sz="0" w:space="0" w:color="auto"/>
        <w:left w:val="none" w:sz="0" w:space="0" w:color="auto"/>
        <w:bottom w:val="none" w:sz="0" w:space="0" w:color="auto"/>
        <w:right w:val="none" w:sz="0" w:space="0" w:color="auto"/>
      </w:divBdr>
    </w:div>
    <w:div w:id="98643092">
      <w:bodyDiv w:val="1"/>
      <w:marLeft w:val="0"/>
      <w:marRight w:val="0"/>
      <w:marTop w:val="0"/>
      <w:marBottom w:val="0"/>
      <w:divBdr>
        <w:top w:val="none" w:sz="0" w:space="0" w:color="auto"/>
        <w:left w:val="none" w:sz="0" w:space="0" w:color="auto"/>
        <w:bottom w:val="none" w:sz="0" w:space="0" w:color="auto"/>
        <w:right w:val="none" w:sz="0" w:space="0" w:color="auto"/>
      </w:divBdr>
    </w:div>
    <w:div w:id="118688600">
      <w:bodyDiv w:val="1"/>
      <w:marLeft w:val="0"/>
      <w:marRight w:val="0"/>
      <w:marTop w:val="0"/>
      <w:marBottom w:val="0"/>
      <w:divBdr>
        <w:top w:val="none" w:sz="0" w:space="0" w:color="auto"/>
        <w:left w:val="none" w:sz="0" w:space="0" w:color="auto"/>
        <w:bottom w:val="none" w:sz="0" w:space="0" w:color="auto"/>
        <w:right w:val="none" w:sz="0" w:space="0" w:color="auto"/>
      </w:divBdr>
    </w:div>
    <w:div w:id="377898932">
      <w:bodyDiv w:val="1"/>
      <w:marLeft w:val="0"/>
      <w:marRight w:val="0"/>
      <w:marTop w:val="0"/>
      <w:marBottom w:val="0"/>
      <w:divBdr>
        <w:top w:val="none" w:sz="0" w:space="0" w:color="auto"/>
        <w:left w:val="none" w:sz="0" w:space="0" w:color="auto"/>
        <w:bottom w:val="none" w:sz="0" w:space="0" w:color="auto"/>
        <w:right w:val="none" w:sz="0" w:space="0" w:color="auto"/>
      </w:divBdr>
    </w:div>
    <w:div w:id="382407542">
      <w:bodyDiv w:val="1"/>
      <w:marLeft w:val="0"/>
      <w:marRight w:val="0"/>
      <w:marTop w:val="0"/>
      <w:marBottom w:val="0"/>
      <w:divBdr>
        <w:top w:val="none" w:sz="0" w:space="0" w:color="auto"/>
        <w:left w:val="none" w:sz="0" w:space="0" w:color="auto"/>
        <w:bottom w:val="none" w:sz="0" w:space="0" w:color="auto"/>
        <w:right w:val="none" w:sz="0" w:space="0" w:color="auto"/>
      </w:divBdr>
      <w:divsChild>
        <w:div w:id="85001904">
          <w:marLeft w:val="0"/>
          <w:marRight w:val="0"/>
          <w:marTop w:val="0"/>
          <w:marBottom w:val="0"/>
          <w:divBdr>
            <w:top w:val="none" w:sz="0" w:space="0" w:color="auto"/>
            <w:left w:val="none" w:sz="0" w:space="0" w:color="auto"/>
            <w:bottom w:val="none" w:sz="0" w:space="0" w:color="auto"/>
            <w:right w:val="none" w:sz="0" w:space="0" w:color="auto"/>
          </w:divBdr>
        </w:div>
        <w:div w:id="705788341">
          <w:marLeft w:val="0"/>
          <w:marRight w:val="0"/>
          <w:marTop w:val="0"/>
          <w:marBottom w:val="0"/>
          <w:divBdr>
            <w:top w:val="none" w:sz="0" w:space="0" w:color="auto"/>
            <w:left w:val="none" w:sz="0" w:space="0" w:color="auto"/>
            <w:bottom w:val="none" w:sz="0" w:space="0" w:color="auto"/>
            <w:right w:val="none" w:sz="0" w:space="0" w:color="auto"/>
          </w:divBdr>
        </w:div>
        <w:div w:id="1133207135">
          <w:marLeft w:val="0"/>
          <w:marRight w:val="0"/>
          <w:marTop w:val="0"/>
          <w:marBottom w:val="0"/>
          <w:divBdr>
            <w:top w:val="none" w:sz="0" w:space="0" w:color="auto"/>
            <w:left w:val="none" w:sz="0" w:space="0" w:color="auto"/>
            <w:bottom w:val="none" w:sz="0" w:space="0" w:color="auto"/>
            <w:right w:val="none" w:sz="0" w:space="0" w:color="auto"/>
          </w:divBdr>
        </w:div>
        <w:div w:id="1202087334">
          <w:marLeft w:val="0"/>
          <w:marRight w:val="0"/>
          <w:marTop w:val="0"/>
          <w:marBottom w:val="0"/>
          <w:divBdr>
            <w:top w:val="none" w:sz="0" w:space="0" w:color="auto"/>
            <w:left w:val="none" w:sz="0" w:space="0" w:color="auto"/>
            <w:bottom w:val="none" w:sz="0" w:space="0" w:color="auto"/>
            <w:right w:val="none" w:sz="0" w:space="0" w:color="auto"/>
          </w:divBdr>
        </w:div>
        <w:div w:id="1792897359">
          <w:marLeft w:val="0"/>
          <w:marRight w:val="0"/>
          <w:marTop w:val="0"/>
          <w:marBottom w:val="0"/>
          <w:divBdr>
            <w:top w:val="none" w:sz="0" w:space="0" w:color="auto"/>
            <w:left w:val="none" w:sz="0" w:space="0" w:color="auto"/>
            <w:bottom w:val="none" w:sz="0" w:space="0" w:color="auto"/>
            <w:right w:val="none" w:sz="0" w:space="0" w:color="auto"/>
          </w:divBdr>
        </w:div>
      </w:divsChild>
    </w:div>
    <w:div w:id="419059312">
      <w:bodyDiv w:val="1"/>
      <w:marLeft w:val="0"/>
      <w:marRight w:val="0"/>
      <w:marTop w:val="0"/>
      <w:marBottom w:val="0"/>
      <w:divBdr>
        <w:top w:val="none" w:sz="0" w:space="0" w:color="auto"/>
        <w:left w:val="none" w:sz="0" w:space="0" w:color="auto"/>
        <w:bottom w:val="none" w:sz="0" w:space="0" w:color="auto"/>
        <w:right w:val="none" w:sz="0" w:space="0" w:color="auto"/>
      </w:divBdr>
    </w:div>
    <w:div w:id="446700476">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
      </w:divsChild>
    </w:div>
    <w:div w:id="773013821">
      <w:bodyDiv w:val="1"/>
      <w:marLeft w:val="0"/>
      <w:marRight w:val="0"/>
      <w:marTop w:val="0"/>
      <w:marBottom w:val="0"/>
      <w:divBdr>
        <w:top w:val="none" w:sz="0" w:space="0" w:color="auto"/>
        <w:left w:val="none" w:sz="0" w:space="0" w:color="auto"/>
        <w:bottom w:val="none" w:sz="0" w:space="0" w:color="auto"/>
        <w:right w:val="none" w:sz="0" w:space="0" w:color="auto"/>
      </w:divBdr>
    </w:div>
    <w:div w:id="840702849">
      <w:bodyDiv w:val="1"/>
      <w:marLeft w:val="0"/>
      <w:marRight w:val="0"/>
      <w:marTop w:val="0"/>
      <w:marBottom w:val="0"/>
      <w:divBdr>
        <w:top w:val="none" w:sz="0" w:space="0" w:color="auto"/>
        <w:left w:val="none" w:sz="0" w:space="0" w:color="auto"/>
        <w:bottom w:val="none" w:sz="0" w:space="0" w:color="auto"/>
        <w:right w:val="none" w:sz="0" w:space="0" w:color="auto"/>
      </w:divBdr>
    </w:div>
    <w:div w:id="855654835">
      <w:bodyDiv w:val="1"/>
      <w:marLeft w:val="0"/>
      <w:marRight w:val="0"/>
      <w:marTop w:val="0"/>
      <w:marBottom w:val="0"/>
      <w:divBdr>
        <w:top w:val="none" w:sz="0" w:space="0" w:color="auto"/>
        <w:left w:val="none" w:sz="0" w:space="0" w:color="auto"/>
        <w:bottom w:val="none" w:sz="0" w:space="0" w:color="auto"/>
        <w:right w:val="none" w:sz="0" w:space="0" w:color="auto"/>
      </w:divBdr>
    </w:div>
    <w:div w:id="889153957">
      <w:bodyDiv w:val="1"/>
      <w:marLeft w:val="0"/>
      <w:marRight w:val="0"/>
      <w:marTop w:val="0"/>
      <w:marBottom w:val="0"/>
      <w:divBdr>
        <w:top w:val="none" w:sz="0" w:space="0" w:color="auto"/>
        <w:left w:val="none" w:sz="0" w:space="0" w:color="auto"/>
        <w:bottom w:val="none" w:sz="0" w:space="0" w:color="auto"/>
        <w:right w:val="none" w:sz="0" w:space="0" w:color="auto"/>
      </w:divBdr>
    </w:div>
    <w:div w:id="960108891">
      <w:bodyDiv w:val="1"/>
      <w:marLeft w:val="0"/>
      <w:marRight w:val="0"/>
      <w:marTop w:val="0"/>
      <w:marBottom w:val="0"/>
      <w:divBdr>
        <w:top w:val="none" w:sz="0" w:space="0" w:color="auto"/>
        <w:left w:val="none" w:sz="0" w:space="0" w:color="auto"/>
        <w:bottom w:val="none" w:sz="0" w:space="0" w:color="auto"/>
        <w:right w:val="none" w:sz="0" w:space="0" w:color="auto"/>
      </w:divBdr>
      <w:divsChild>
        <w:div w:id="1211069106">
          <w:marLeft w:val="0"/>
          <w:marRight w:val="0"/>
          <w:marTop w:val="0"/>
          <w:marBottom w:val="0"/>
          <w:divBdr>
            <w:top w:val="none" w:sz="0" w:space="0" w:color="auto"/>
            <w:left w:val="none" w:sz="0" w:space="0" w:color="auto"/>
            <w:bottom w:val="none" w:sz="0" w:space="0" w:color="auto"/>
            <w:right w:val="none" w:sz="0" w:space="0" w:color="auto"/>
          </w:divBdr>
        </w:div>
      </w:divsChild>
    </w:div>
    <w:div w:id="973096235">
      <w:bodyDiv w:val="1"/>
      <w:marLeft w:val="0"/>
      <w:marRight w:val="0"/>
      <w:marTop w:val="0"/>
      <w:marBottom w:val="0"/>
      <w:divBdr>
        <w:top w:val="none" w:sz="0" w:space="0" w:color="auto"/>
        <w:left w:val="none" w:sz="0" w:space="0" w:color="auto"/>
        <w:bottom w:val="none" w:sz="0" w:space="0" w:color="auto"/>
        <w:right w:val="none" w:sz="0" w:space="0" w:color="auto"/>
      </w:divBdr>
      <w:divsChild>
        <w:div w:id="917136916">
          <w:marLeft w:val="0"/>
          <w:marRight w:val="0"/>
          <w:marTop w:val="0"/>
          <w:marBottom w:val="0"/>
          <w:divBdr>
            <w:top w:val="none" w:sz="0" w:space="0" w:color="auto"/>
            <w:left w:val="none" w:sz="0" w:space="0" w:color="auto"/>
            <w:bottom w:val="none" w:sz="0" w:space="0" w:color="auto"/>
            <w:right w:val="none" w:sz="0" w:space="0" w:color="auto"/>
          </w:divBdr>
        </w:div>
      </w:divsChild>
    </w:div>
    <w:div w:id="1163813592">
      <w:bodyDiv w:val="1"/>
      <w:marLeft w:val="0"/>
      <w:marRight w:val="0"/>
      <w:marTop w:val="0"/>
      <w:marBottom w:val="0"/>
      <w:divBdr>
        <w:top w:val="none" w:sz="0" w:space="0" w:color="auto"/>
        <w:left w:val="none" w:sz="0" w:space="0" w:color="auto"/>
        <w:bottom w:val="none" w:sz="0" w:space="0" w:color="auto"/>
        <w:right w:val="none" w:sz="0" w:space="0" w:color="auto"/>
      </w:divBdr>
    </w:div>
    <w:div w:id="1209879328">
      <w:bodyDiv w:val="1"/>
      <w:marLeft w:val="0"/>
      <w:marRight w:val="0"/>
      <w:marTop w:val="0"/>
      <w:marBottom w:val="0"/>
      <w:divBdr>
        <w:top w:val="none" w:sz="0" w:space="0" w:color="auto"/>
        <w:left w:val="none" w:sz="0" w:space="0" w:color="auto"/>
        <w:bottom w:val="none" w:sz="0" w:space="0" w:color="auto"/>
        <w:right w:val="none" w:sz="0" w:space="0" w:color="auto"/>
      </w:divBdr>
      <w:divsChild>
        <w:div w:id="843323322">
          <w:marLeft w:val="0"/>
          <w:marRight w:val="0"/>
          <w:marTop w:val="0"/>
          <w:marBottom w:val="0"/>
          <w:divBdr>
            <w:top w:val="none" w:sz="0" w:space="0" w:color="auto"/>
            <w:left w:val="none" w:sz="0" w:space="0" w:color="auto"/>
            <w:bottom w:val="none" w:sz="0" w:space="0" w:color="auto"/>
            <w:right w:val="none" w:sz="0" w:space="0" w:color="auto"/>
          </w:divBdr>
        </w:div>
        <w:div w:id="1439645288">
          <w:marLeft w:val="0"/>
          <w:marRight w:val="0"/>
          <w:marTop w:val="0"/>
          <w:marBottom w:val="0"/>
          <w:divBdr>
            <w:top w:val="none" w:sz="0" w:space="0" w:color="auto"/>
            <w:left w:val="none" w:sz="0" w:space="0" w:color="auto"/>
            <w:bottom w:val="none" w:sz="0" w:space="0" w:color="auto"/>
            <w:right w:val="none" w:sz="0" w:space="0" w:color="auto"/>
          </w:divBdr>
        </w:div>
      </w:divsChild>
    </w:div>
    <w:div w:id="1367372224">
      <w:bodyDiv w:val="1"/>
      <w:marLeft w:val="0"/>
      <w:marRight w:val="0"/>
      <w:marTop w:val="0"/>
      <w:marBottom w:val="0"/>
      <w:divBdr>
        <w:top w:val="none" w:sz="0" w:space="0" w:color="auto"/>
        <w:left w:val="none" w:sz="0" w:space="0" w:color="auto"/>
        <w:bottom w:val="none" w:sz="0" w:space="0" w:color="auto"/>
        <w:right w:val="none" w:sz="0" w:space="0" w:color="auto"/>
      </w:divBdr>
    </w:div>
    <w:div w:id="1491797933">
      <w:bodyDiv w:val="1"/>
      <w:marLeft w:val="0"/>
      <w:marRight w:val="0"/>
      <w:marTop w:val="0"/>
      <w:marBottom w:val="0"/>
      <w:divBdr>
        <w:top w:val="none" w:sz="0" w:space="0" w:color="auto"/>
        <w:left w:val="none" w:sz="0" w:space="0" w:color="auto"/>
        <w:bottom w:val="none" w:sz="0" w:space="0" w:color="auto"/>
        <w:right w:val="none" w:sz="0" w:space="0" w:color="auto"/>
      </w:divBdr>
    </w:div>
    <w:div w:id="1600675101">
      <w:bodyDiv w:val="1"/>
      <w:marLeft w:val="0"/>
      <w:marRight w:val="0"/>
      <w:marTop w:val="0"/>
      <w:marBottom w:val="0"/>
      <w:divBdr>
        <w:top w:val="none" w:sz="0" w:space="0" w:color="auto"/>
        <w:left w:val="none" w:sz="0" w:space="0" w:color="auto"/>
        <w:bottom w:val="none" w:sz="0" w:space="0" w:color="auto"/>
        <w:right w:val="none" w:sz="0" w:space="0" w:color="auto"/>
      </w:divBdr>
    </w:div>
    <w:div w:id="2002082136">
      <w:bodyDiv w:val="1"/>
      <w:marLeft w:val="0"/>
      <w:marRight w:val="0"/>
      <w:marTop w:val="0"/>
      <w:marBottom w:val="0"/>
      <w:divBdr>
        <w:top w:val="none" w:sz="0" w:space="0" w:color="auto"/>
        <w:left w:val="none" w:sz="0" w:space="0" w:color="auto"/>
        <w:bottom w:val="none" w:sz="0" w:space="0" w:color="auto"/>
        <w:right w:val="none" w:sz="0" w:space="0" w:color="auto"/>
      </w:divBdr>
    </w:div>
    <w:div w:id="2145267172">
      <w:bodyDiv w:val="1"/>
      <w:marLeft w:val="0"/>
      <w:marRight w:val="0"/>
      <w:marTop w:val="0"/>
      <w:marBottom w:val="0"/>
      <w:divBdr>
        <w:top w:val="none" w:sz="0" w:space="0" w:color="auto"/>
        <w:left w:val="none" w:sz="0" w:space="0" w:color="auto"/>
        <w:bottom w:val="none" w:sz="0" w:space="0" w:color="auto"/>
        <w:right w:val="none" w:sz="0" w:space="0" w:color="auto"/>
      </w:divBdr>
      <w:divsChild>
        <w:div w:id="280192290">
          <w:marLeft w:val="150"/>
          <w:marRight w:val="150"/>
          <w:marTop w:val="240"/>
          <w:marBottom w:val="240"/>
          <w:divBdr>
            <w:top w:val="single" w:sz="6" w:space="0" w:color="B4C4D3"/>
            <w:left w:val="none" w:sz="0" w:space="0" w:color="auto"/>
            <w:bottom w:val="none" w:sz="0" w:space="0" w:color="auto"/>
            <w:right w:val="none" w:sz="0" w:space="0" w:color="auto"/>
          </w:divBdr>
          <w:divsChild>
            <w:div w:id="363480293">
              <w:marLeft w:val="0"/>
              <w:marRight w:val="150"/>
              <w:marTop w:val="0"/>
              <w:marBottom w:val="0"/>
              <w:divBdr>
                <w:top w:val="none" w:sz="0" w:space="0" w:color="auto"/>
                <w:left w:val="none" w:sz="0" w:space="0" w:color="auto"/>
                <w:bottom w:val="none" w:sz="0" w:space="0" w:color="auto"/>
                <w:right w:val="none" w:sz="0" w:space="0" w:color="auto"/>
              </w:divBdr>
              <w:divsChild>
                <w:div w:id="1672442668">
                  <w:marLeft w:val="300"/>
                  <w:marRight w:val="0"/>
                  <w:marTop w:val="0"/>
                  <w:marBottom w:val="0"/>
                  <w:divBdr>
                    <w:top w:val="none" w:sz="0" w:space="0" w:color="auto"/>
                    <w:left w:val="none" w:sz="0" w:space="0" w:color="auto"/>
                    <w:bottom w:val="none" w:sz="0" w:space="0" w:color="auto"/>
                    <w:right w:val="none" w:sz="0" w:space="0" w:color="auto"/>
                  </w:divBdr>
                  <w:divsChild>
                    <w:div w:id="8018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s://www.who.int/publications/i/item/considerations-for-school-related-public-health-measures-in-the-context-of-covid-19" TargetMode="External"/><Relationship Id="rId2" Type="http://schemas.openxmlformats.org/officeDocument/2006/relationships/hyperlink" Target="https://www.mass.gov/info-details/covid-19-prevention-and-treatment" TargetMode="External"/><Relationship Id="rId1" Type="http://schemas.openxmlformats.org/officeDocument/2006/relationships/hyperlink" Target="https://www.cdc.gov/coronavirus/2019-ncov/prevent-getting-sick/social-distancing.html" TargetMode="External"/><Relationship Id="rId5" Type="http://schemas.openxmlformats.org/officeDocument/2006/relationships/hyperlink" Target="https://www.fda.gov/medical-devices/personal-protective-equipment-infection-control/n95-respirators-surgical-masks-and-face-masks" TargetMode="External"/><Relationship Id="rId4" Type="http://schemas.openxmlformats.org/officeDocument/2006/relationships/hyperlink" Target="https://services.aap.org/en/pages/2019-novel-coronavirus-covid-19-infections/clinical-guidance/covid-19-planning-considerations-return-to-in-person-education-in-sch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DESE-231-65420</_dlc_DocId>
    <_dlc_DocIdUrl xmlns="733efe1c-5bbe-4968-87dc-d400e65c879f">
      <Url>https://sharepoint.doemass.org/ese/webteam/cps/_layouts/DocIdRedir.aspx?ID=DESE-231-65420</Url>
      <Description>DESE-231-65420</Description>
    </_dlc_DocIdUrl>
  </documentManagement>
</p:propertie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3ABA15-2989-40C8-BCE5-B7A422655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3833EE-FADA-495E-A79C-E8E78E933F1C}">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5842F17D-E54D-455B-83BC-3F4E74A353A3}">
  <ds:schemaRefs>
    <ds:schemaRef ds:uri="http://schemas.microsoft.com/sharepoint/v3/contenttype/forms"/>
  </ds:schemaRefs>
</ds:datastoreItem>
</file>

<file path=customXml/itemProps4.xml><?xml version="1.0" encoding="utf-8"?>
<ds:datastoreItem xmlns:ds="http://schemas.openxmlformats.org/officeDocument/2006/customXml" ds:itemID="{9A6D4653-E80F-440A-B82E-BC657504822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DESE-DPH Joint Memo</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DESE-DPH Joint Memo August 19, 2020</dc:title>
  <dc:creator>DESE</dc:creator>
  <cp:lastModifiedBy>Zou, Dong (EOE)</cp:lastModifiedBy>
  <cp:revision>4</cp:revision>
  <cp:lastPrinted>2011-01-14T19:54:00Z</cp:lastPrinted>
  <dcterms:created xsi:type="dcterms:W3CDTF">2020-10-20T17:52:00Z</dcterms:created>
  <dcterms:modified xsi:type="dcterms:W3CDTF">2020-10-20T18:16:00Z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Aug 19 2020</vt:lpwstr>
  </property>
</Properties>
</file>