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9163" w14:textId="77777777" w:rsidR="00717AFE" w:rsidRDefault="006D328B">
      <w:pPr>
        <w:ind w:left="225"/>
        <w:rPr>
          <w:sz w:val="20"/>
        </w:rPr>
      </w:pPr>
      <w:r>
        <w:rPr>
          <w:noProof/>
          <w:sz w:val="20"/>
        </w:rPr>
        <w:drawing>
          <wp:inline distT="0" distB="0" distL="0" distR="0" wp14:anchorId="4C9D9216" wp14:editId="676B4CF6">
            <wp:extent cx="5749092" cy="1108424"/>
            <wp:effectExtent l="0" t="0" r="0" b="0"/>
            <wp:docPr id="2" name="Image 2" descr="Image for the Executive Office of Edu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for the Executive Office of Education"/>
                    <pic:cNvPicPr/>
                  </pic:nvPicPr>
                  <pic:blipFill>
                    <a:blip r:embed="rId7" cstate="print"/>
                    <a:stretch>
                      <a:fillRect/>
                    </a:stretch>
                  </pic:blipFill>
                  <pic:spPr>
                    <a:xfrm>
                      <a:off x="0" y="0"/>
                      <a:ext cx="5749092" cy="1108424"/>
                    </a:xfrm>
                    <a:prstGeom prst="rect">
                      <a:avLst/>
                    </a:prstGeom>
                  </pic:spPr>
                </pic:pic>
              </a:graphicData>
            </a:graphic>
          </wp:inline>
        </w:drawing>
      </w:r>
    </w:p>
    <w:p w14:paraId="4C9D9164" w14:textId="77777777" w:rsidR="00717AFE" w:rsidRDefault="00717AFE">
      <w:pPr>
        <w:pStyle w:val="BodyText"/>
        <w:spacing w:before="123"/>
        <w:ind w:firstLine="0"/>
        <w:rPr>
          <w:sz w:val="32"/>
        </w:rPr>
      </w:pPr>
    </w:p>
    <w:p w14:paraId="4C9D9166" w14:textId="6732F210" w:rsidR="00717AFE" w:rsidRPr="00A26D8F" w:rsidRDefault="006D328B" w:rsidP="002139B5">
      <w:pPr>
        <w:pStyle w:val="Heading1"/>
        <w:ind w:right="540"/>
      </w:pPr>
      <w:r>
        <w:t>Orientaciones para las escuelas K-12 sobre la interacción con agentes en asuntos de aplicación de la ley civil</w:t>
      </w:r>
    </w:p>
    <w:p w14:paraId="4C9D9167" w14:textId="77777777" w:rsidR="00717AFE" w:rsidRDefault="006D328B">
      <w:pPr>
        <w:spacing w:before="222"/>
        <w:ind w:left="723" w:right="723"/>
        <w:jc w:val="center"/>
        <w:rPr>
          <w:rFonts w:ascii="Gill Sans MT"/>
          <w:b/>
          <w:sz w:val="28"/>
        </w:rPr>
      </w:pPr>
      <w:r>
        <w:rPr>
          <w:rFonts w:ascii="Gill Sans MT"/>
          <w:b/>
          <w:color w:val="C00000"/>
          <w:sz w:val="28"/>
        </w:rPr>
        <w:t>21 de agosto de 2026</w:t>
      </w:r>
    </w:p>
    <w:p w14:paraId="4C9D9168" w14:textId="304F0E5F" w:rsidR="00717AFE" w:rsidRDefault="006D328B">
      <w:pPr>
        <w:pStyle w:val="BodyText"/>
        <w:spacing w:before="216" w:line="276" w:lineRule="auto"/>
        <w:ind w:right="782"/>
      </w:pPr>
      <w:r>
        <w:t>La Oficina del Gobernador, la Oficina Ejecutiva de Educación (EOE, por sus siglas en inglés) y el Departamento de Educación Primaria y Secundaria (DESE, por sus siglas en inglés) emiten estas orientaciones de conformidad con la Ley para promover el estado de derecho, la supervisión, la confianza y la igualdad de trato constitucional ("Ley PROTECT" o "Ley").</w:t>
      </w:r>
      <w:hyperlink r:id="rId8"/>
      <w:r w:rsidR="00FB6418">
        <w:rPr>
          <w:color w:val="467885"/>
        </w:rPr>
        <w:t xml:space="preserve"> </w:t>
      </w:r>
      <w:hyperlink r:id="rId9">
        <w:r w:rsidR="00FB6418" w:rsidRPr="00FB6418">
          <w:rPr>
            <w:color w:val="467885"/>
            <w:u w:val="single" w:color="467885"/>
          </w:rPr>
          <w:t>Leyes de 2026, cap. 163, secciones 1–24</w:t>
        </w:r>
      </w:hyperlink>
      <w:r>
        <w:t>. Revise estas orientaciones junto con la política modelo del DESE, para su adopción por parte de los comités escolares y las juntas directivas, y los procedimientos modelo del DESE, para su implementación por parte de los superintendentes y directores ejecutivos, publicados también en esta fecha.</w:t>
      </w:r>
    </w:p>
    <w:p w14:paraId="4C9D9169" w14:textId="77777777" w:rsidR="00717AFE" w:rsidRDefault="006D328B">
      <w:pPr>
        <w:pStyle w:val="BodyText"/>
        <w:spacing w:before="159" w:line="276" w:lineRule="auto"/>
        <w:ind w:right="757"/>
      </w:pPr>
      <w:r>
        <w:t xml:space="preserve">Para elaborar estas orientaciones, así como la política modelo y los procedimientos modelo, el DESE consultó con la Oficina del </w:t>
      </w:r>
      <w:proofErr w:type="gramStart"/>
      <w:r>
        <w:t>Fiscal General</w:t>
      </w:r>
      <w:proofErr w:type="gramEnd"/>
      <w:r>
        <w:t xml:space="preserve">, la Asociación de Comités Escolares de Massachusetts, la Massachusetts </w:t>
      </w:r>
      <w:proofErr w:type="spellStart"/>
      <w:r>
        <w:t>Association</w:t>
      </w:r>
      <w:proofErr w:type="spellEnd"/>
      <w:r>
        <w:t xml:space="preserve"> of 766 Approved Private Schools (Asociación de 766 Escuelas Privadas Aprobadas de Massachusetts) y muchas otras partes interesadas, de conformidad con la Ley. En lo que respecta a las recomendaciones y obligaciones para las escuelas K-12, estas orientaciones sustituyen a las </w:t>
      </w:r>
      <w:r>
        <w:rPr>
          <w:i/>
          <w:iCs/>
        </w:rPr>
        <w:t>Recomendaciones para entidades que prestan servicios educativos y de cuidado infantil relacionadas con la interacción con funcionarios federales de inmigración</w:t>
      </w:r>
      <w:r>
        <w:t>, emitidas en mayo de 2026 de conformidad con la Orden Ejecutiva 650 de la gobernadora: "Proteger el acceso a los servicios esenciales y mantener seguras las comunidades de Massachusetts".</w:t>
      </w:r>
    </w:p>
    <w:p w14:paraId="772B6A27" w14:textId="77777777" w:rsidR="00B55E42" w:rsidRDefault="00B55E42">
      <w:pPr>
        <w:pStyle w:val="BodyText"/>
        <w:spacing w:before="159" w:line="276" w:lineRule="auto"/>
        <w:ind w:right="757"/>
      </w:pPr>
    </w:p>
    <w:p w14:paraId="4C9D916A" w14:textId="77777777" w:rsidR="00717AFE" w:rsidRDefault="006D328B" w:rsidP="00C15353">
      <w:pPr>
        <w:pStyle w:val="Heading2"/>
      </w:pPr>
      <w:bookmarkStart w:id="0" w:name="I._Introduction"/>
      <w:bookmarkEnd w:id="0"/>
      <w:r>
        <w:t>Introducción</w:t>
      </w:r>
    </w:p>
    <w:p w14:paraId="6E5962EA" w14:textId="7895EDF0" w:rsidR="00B55E42" w:rsidRDefault="006D328B">
      <w:pPr>
        <w:pStyle w:val="BodyText"/>
        <w:spacing w:before="207" w:line="278" w:lineRule="auto"/>
        <w:ind w:right="757"/>
      </w:pPr>
      <w:r>
        <w:t xml:space="preserve">El 5 de agosto de 2026, la gobernadora Maura Healey firmó la Ley PROTECT. La ley de Massachusetts establece ahora que, salvo en los casos exigidos por la ley estatal o federal, o cuando sea necesario para que </w:t>
      </w:r>
      <w:r w:rsidR="00FB6418">
        <w:t xml:space="preserve">la Mancomunidad </w:t>
      </w:r>
      <w:r>
        <w:t xml:space="preserve">o sus subdivisiones administren un programa respaldado o financiado por el estado o el gobierno federal, </w:t>
      </w:r>
      <w:r>
        <w:rPr>
          <w:b/>
          <w:bCs/>
        </w:rPr>
        <w:t>no se permiten</w:t>
      </w:r>
      <w:r>
        <w:t xml:space="preserve"> los arrestos civiles, incluidos los efectuados para la aplicación de las leyes federales de inmigración, en las siguientes áreas no públicas: las instalaciones escolares durante el horario de funcionamiento </w:t>
      </w:r>
    </w:p>
    <w:p w14:paraId="2EB89FE7" w14:textId="77777777" w:rsidR="00B55E42" w:rsidRDefault="00B55E42" w:rsidP="00B55E42">
      <w:pPr>
        <w:pStyle w:val="BodyText"/>
        <w:spacing w:before="207" w:line="278" w:lineRule="auto"/>
        <w:ind w:right="757" w:firstLine="0"/>
      </w:pPr>
    </w:p>
    <w:p w14:paraId="4C9D916B" w14:textId="4DA42F55" w:rsidR="00717AFE" w:rsidRDefault="006D328B" w:rsidP="00B55E42">
      <w:pPr>
        <w:pStyle w:val="BodyText"/>
        <w:spacing w:before="207" w:line="278" w:lineRule="auto"/>
        <w:ind w:right="757" w:firstLine="0"/>
      </w:pPr>
      <w:r>
        <w:lastRenderedPageBreak/>
        <w:t xml:space="preserve">(definido a continuación), sin una </w:t>
      </w:r>
      <w:proofErr w:type="gramStart"/>
      <w:r>
        <w:t xml:space="preserve">orden judicial o una </w:t>
      </w:r>
      <w:r w:rsidR="002139B5">
        <w:t xml:space="preserve">resolución </w:t>
      </w:r>
      <w:r>
        <w:t>judicial</w:t>
      </w:r>
      <w:proofErr w:type="gramEnd"/>
      <w:r>
        <w:t>.</w:t>
      </w:r>
      <w:hyperlink w:anchor="_bookmark0" w:history="1">
        <w:r>
          <w:rPr>
            <w:vertAlign w:val="superscript"/>
          </w:rPr>
          <w:t>1</w:t>
        </w:r>
      </w:hyperlink>
    </w:p>
    <w:p w14:paraId="30B17D3C" w14:textId="77777777" w:rsidR="00B55E42" w:rsidRDefault="00B55E42" w:rsidP="00B55E42">
      <w:pPr>
        <w:pStyle w:val="BodyText"/>
        <w:spacing w:before="79" w:line="278" w:lineRule="auto"/>
        <w:ind w:left="-1" w:right="630"/>
      </w:pPr>
      <w:r>
        <w:t>La Ley exige que los comités escolares, las escuelas colaborativas y los consejos de administración de las escuelas chárter se aseguren de que cada escuela bajo su jurisdicción cuente con una política escrita (descrita en la Ley como un "plan de respuesta a emergencias") que aborde la seguridad de los estudiantes y el personal en relación con las interacciones con agentes de las fuerzas del orden que participen en actividades de aplicación de la ley civil.</w:t>
      </w:r>
      <w:hyperlink w:anchor="_bookmark1" w:history="1">
        <w:r>
          <w:rPr>
            <w:vertAlign w:val="superscript"/>
          </w:rPr>
          <w:t>2</w:t>
        </w:r>
      </w:hyperlink>
      <w:r>
        <w:t xml:space="preserve"> De acuerdo con la Ley, dicho plan debe incluir los siete elementos obligatorios de la política modelo del DESE: (1) La identificación y designación de una o varias personas en cada escuela y en la oficina distrital o administrativa como responsables de mantener el contacto principal con los agentes de las fuerzas del orden; (2) procedimientos para ponerse en contacto con la(s) persona(s) autorizada(s) designada(s), quien(es) se comunicará(n) con el abogado de la escuela; (3) procedimientos para documentar las interacciones con los agentes de las fuerzas del orden en las instalaciones escolares; (4) procedimientos para notificar a un padre, madre o encargado legal, o al estudiante, si tiene 18 años o más o está emancipado, cuando un agente de las fuerzas del orden solicite acceso a un estudiante o a información sobre un estudiante con cualquier fin relacionado con la aplicación de la ley civil; (5) procedimientos que deberán seguirse tras la confirmación de que agentes de las fuerzas del orden están realizando actividades de aplicación de la ley civil en las instalaciones escolares, incluidos los procedimientos para notificar a los padres, madres y encargados legales, maestros, administradores y personal escolar de una manera que garantice la confidencialidad y privacidad de cualquier información que pueda identificar a las personas; (6) un plan para confirmar y actualizar los contactos de emergencia de los estudiantes y permitir que se incluya a más de una persona en la lista; y (7) un plan para dar a conocer estos procedimientos y políticas a los estudiantes y sus familias, incluso a través del sitio web de la escuela. Las políticas y los procedimientos deben aplicarse por igual a todas las formas de aplicación de la ley y deben centrarse en mantener la seguridad de los estudiantes.</w:t>
      </w:r>
    </w:p>
    <w:p w14:paraId="241E3EEB" w14:textId="77777777" w:rsidR="00B55E42" w:rsidRDefault="00B55E42" w:rsidP="00C15353">
      <w:pPr>
        <w:pStyle w:val="Heading2"/>
      </w:pPr>
      <w:bookmarkStart w:id="1" w:name="II._Definitions"/>
      <w:bookmarkEnd w:id="1"/>
      <w:r>
        <w:t>Definiciones</w:t>
      </w:r>
    </w:p>
    <w:p w14:paraId="376078DD" w14:textId="77777777" w:rsidR="00B55E42" w:rsidRDefault="00B55E42" w:rsidP="00B55E42">
      <w:pPr>
        <w:pStyle w:val="BodyText"/>
        <w:spacing w:before="208"/>
        <w:ind w:left="720" w:right="630" w:firstLine="0"/>
      </w:pPr>
      <w:r>
        <w:t>Estas orientaciones utilizan los siguientes términos y expresiones de conformidad con la Ley PROTECT:</w:t>
      </w:r>
    </w:p>
    <w:p w14:paraId="13FB0E69" w14:textId="21649CDA" w:rsidR="00B55E42" w:rsidRDefault="00B55E42" w:rsidP="00B55E42">
      <w:pPr>
        <w:pStyle w:val="BodyText"/>
        <w:spacing w:before="208"/>
        <w:ind w:right="630"/>
      </w:pPr>
      <w:r>
        <w:rPr>
          <w:b/>
          <w:bCs/>
        </w:rPr>
        <w:t>"Arresto civil"</w:t>
      </w:r>
      <w:r>
        <w:t xml:space="preserve"> significa un arresto que no tiene como objetivo preparar a la persona sujeta a dicho arresto para un proceso penal por una presunta violación de una ley penal estatal o</w:t>
      </w:r>
    </w:p>
    <w:p w14:paraId="4C9D916D" w14:textId="77777777" w:rsidR="00717AFE" w:rsidRDefault="00717AFE">
      <w:pPr>
        <w:pStyle w:val="BodyText"/>
        <w:ind w:firstLine="0"/>
        <w:rPr>
          <w:sz w:val="20"/>
        </w:rPr>
      </w:pPr>
    </w:p>
    <w:p w14:paraId="4C9D916F" w14:textId="77777777" w:rsidR="00717AFE" w:rsidRDefault="006D328B">
      <w:pPr>
        <w:pStyle w:val="BodyText"/>
        <w:spacing w:before="23"/>
        <w:ind w:firstLine="0"/>
        <w:rPr>
          <w:sz w:val="20"/>
        </w:rPr>
      </w:pPr>
      <w:r>
        <w:rPr>
          <w:noProof/>
          <w:sz w:val="20"/>
        </w:rPr>
        <mc:AlternateContent>
          <mc:Choice Requires="wps">
            <w:drawing>
              <wp:anchor distT="0" distB="0" distL="0" distR="0" simplePos="0" relativeHeight="487587840" behindDoc="1" locked="0" layoutInCell="1" allowOverlap="1" wp14:anchorId="4C9D9218" wp14:editId="4C9D9219">
                <wp:simplePos x="0" y="0"/>
                <wp:positionH relativeFrom="page">
                  <wp:posOffset>914400</wp:posOffset>
                </wp:positionH>
                <wp:positionV relativeFrom="paragraph">
                  <wp:posOffset>176233</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17AB09" id="Graphic 3" o:spid="_x0000_s1026" style="position:absolute;margin-left:1in;margin-top:13.9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" path="m1828800,l,,,7619r1828800,l1828800,xe" fillcolor="black" stroked="f">
                <v:path arrowok="t"/>
                <w10:wrap type="topAndBottom" anchorx="page"/>
              </v:shape>
            </w:pict>
          </mc:Fallback>
        </mc:AlternateContent>
      </w:r>
    </w:p>
    <w:p w14:paraId="4C9D9170" w14:textId="274B7752" w:rsidR="00717AFE" w:rsidRDefault="006D328B" w:rsidP="00B55E42">
      <w:pPr>
        <w:pStyle w:val="BodyText"/>
        <w:tabs>
          <w:tab w:val="left" w:pos="719"/>
        </w:tabs>
        <w:spacing w:before="140"/>
        <w:ind w:left="-1" w:right="540" w:firstLine="0"/>
      </w:pPr>
      <w:bookmarkStart w:id="2" w:name="_bookmark0"/>
      <w:bookmarkEnd w:id="2"/>
      <w:r>
        <w:rPr>
          <w:vertAlign w:val="superscript"/>
        </w:rPr>
        <w:t>1</w:t>
      </w:r>
      <w:r>
        <w:tab/>
      </w:r>
      <w:proofErr w:type="gramStart"/>
      <w:r>
        <w:t>Estas</w:t>
      </w:r>
      <w:proofErr w:type="gramEnd"/>
      <w:r>
        <w:t xml:space="preserve"> orientaciones abordan las protecciones contra las detenciones civiles establecidas en la Ley PROTECT. Otras protecciones constitucionales limitan el acceso de las fuerzas del orden civil a lugares no públicos, independientemente de que el propósito sea efectuar una detención, sin una </w:t>
      </w:r>
      <w:proofErr w:type="gramStart"/>
      <w:r>
        <w:t xml:space="preserve">orden judicial o una </w:t>
      </w:r>
      <w:r w:rsidR="002139B5">
        <w:t xml:space="preserve">resolución </w:t>
      </w:r>
      <w:r>
        <w:t>judicial</w:t>
      </w:r>
      <w:proofErr w:type="gramEnd"/>
      <w:r>
        <w:t>.</w:t>
      </w:r>
    </w:p>
    <w:p w14:paraId="34B9ACFB" w14:textId="77777777" w:rsidR="00B55E42" w:rsidRDefault="00B55E42" w:rsidP="00B55E42">
      <w:pPr>
        <w:tabs>
          <w:tab w:val="left" w:pos="719"/>
        </w:tabs>
        <w:spacing w:before="140"/>
        <w:ind w:left="-1" w:right="540"/>
        <w:rPr>
          <w:sz w:val="24"/>
        </w:rPr>
      </w:pPr>
      <w:r>
        <w:rPr>
          <w:sz w:val="24"/>
          <w:vertAlign w:val="superscript"/>
        </w:rPr>
        <w:t>2</w:t>
      </w:r>
      <w:r>
        <w:rPr>
          <w:sz w:val="24"/>
        </w:rPr>
        <w:tab/>
      </w:r>
      <w:proofErr w:type="gramStart"/>
      <w:r>
        <w:rPr>
          <w:sz w:val="24"/>
        </w:rPr>
        <w:t>Si</w:t>
      </w:r>
      <w:proofErr w:type="gramEnd"/>
      <w:r>
        <w:rPr>
          <w:sz w:val="24"/>
        </w:rPr>
        <w:t xml:space="preserve"> bien la Ley PROTECT no exige que las escuelas privadas K-12 adopten dichas políticas, las alentamos a hacerlo, de conformidad con estas orientaciones y con las </w:t>
      </w:r>
      <w:r>
        <w:rPr>
          <w:i/>
          <w:iCs/>
          <w:sz w:val="24"/>
        </w:rPr>
        <w:t>Recomendaciones para entidades que prestan servicios educativos y de cuidado infantil en relación con la interacción con agentes federales de inmigración</w:t>
      </w:r>
      <w:r>
        <w:rPr>
          <w:sz w:val="24"/>
        </w:rPr>
        <w:t>, que siguen vigentes para las escuelas privadas K-12 y las universidades privadas (independientes).</w:t>
      </w:r>
    </w:p>
    <w:p w14:paraId="4C9D9171" w14:textId="77777777" w:rsidR="00B55E42" w:rsidRDefault="00B55E42">
      <w:pPr>
        <w:pStyle w:val="BodyText"/>
        <w:sectPr w:rsidR="00B55E42">
          <w:footerReference w:type="default" r:id="rId10"/>
          <w:type w:val="continuous"/>
          <w:pgSz w:w="12240" w:h="15840"/>
          <w:pgMar w:top="1160" w:right="720" w:bottom="1260" w:left="1440" w:header="0" w:footer="1079" w:gutter="0"/>
          <w:pgNumType w:start="1"/>
          <w:cols w:space="720"/>
        </w:sectPr>
      </w:pPr>
    </w:p>
    <w:p w14:paraId="4C9D9175" w14:textId="262CABA4" w:rsidR="00717AFE" w:rsidRDefault="006D328B" w:rsidP="00B55E42">
      <w:pPr>
        <w:pStyle w:val="BodyText"/>
        <w:spacing w:before="201" w:line="276" w:lineRule="auto"/>
        <w:ind w:right="782" w:firstLine="0"/>
      </w:pPr>
      <w:r>
        <w:lastRenderedPageBreak/>
        <w:t>federal. Los arrestos civiles pueden ser autorizados, entre otras cosas, por: (1) una orden por violación de la libertad condicional emitida en virtud del capítulo 127, sección 149A, de las Leyes Generales, o una orden por violación de la libertad a prueba en virtud del capítulo 279, artículo 3, de las Leyes Generales; (2) una ley estatal que permita la custodia protectora de personas incapacitadas o en estado de intoxicación, capítulo 111B, artículo 8, de las Leyes Generales; o (3) una orden administrativa emitida por una agencia federal, como el Servicio de Inmigración y Control de Aduanas de los Estados Unidos (ICE, por sus siglas en inglés), por infracciones de la Ley Federal de Inmigración y Nacionalidad o por medidas relacionadas con la aplicación de la ley de inmigración civil.</w:t>
      </w:r>
    </w:p>
    <w:p w14:paraId="4C9D917A" w14:textId="2FC2D33F" w:rsidR="00717AFE" w:rsidRDefault="006D328B" w:rsidP="00B55E42">
      <w:pPr>
        <w:pStyle w:val="BodyText"/>
        <w:spacing w:before="161" w:line="276" w:lineRule="auto"/>
        <w:ind w:right="757"/>
      </w:pPr>
      <w:r>
        <w:rPr>
          <w:b/>
          <w:bCs/>
        </w:rPr>
        <w:t xml:space="preserve">"Aplicación de la ley civil" </w:t>
      </w:r>
      <w:r>
        <w:t xml:space="preserve">hace referencia a las medidas destinadas a investigar, hacer cumplir o colaborar en la investigación o aplicación de la ley civil estatal o federal, incluida, entre otras, </w:t>
      </w:r>
      <w:r w:rsidRPr="005161A5">
        <w:t>cualquier ley federal de inmigración de carácter civil. Como</w:t>
      </w:r>
      <w:r>
        <w:t xml:space="preserve"> contexto adicional, la aplicación de la ley civil a menudo se relaciona con la detención preventiva para la seguridad o protección de una persona, la ejecución de acciones civiles en los tribunale</w:t>
      </w:r>
      <w:bookmarkStart w:id="3" w:name="_bookmark1"/>
      <w:bookmarkEnd w:id="3"/>
      <w:r w:rsidR="00B55E42">
        <w:t xml:space="preserve">s </w:t>
      </w:r>
      <w:r>
        <w:t>o la aplicación de la ley de inmigración. Por el contrario, la aplicación de la ley penal implica la investigación y aplicación de las leyes penales estatales o federales, como las que prohíben el robo y la agresión. Tenga en cuenta que los agentes de las fuerzas del orden (definidos a continuación) pueden participar en actividades de aplicación de la ley civil o de aplicación de la ley penal.</w:t>
      </w:r>
    </w:p>
    <w:p w14:paraId="4C9D917B" w14:textId="33A1A9E0" w:rsidR="00717AFE" w:rsidRDefault="006D328B">
      <w:pPr>
        <w:pStyle w:val="BodyText"/>
        <w:spacing w:before="161" w:line="276" w:lineRule="auto"/>
        <w:ind w:right="757"/>
      </w:pPr>
      <w:r>
        <w:rPr>
          <w:b/>
          <w:bCs/>
        </w:rPr>
        <w:t>"Orden judicial"</w:t>
      </w:r>
      <w:r>
        <w:t xml:space="preserve"> </w:t>
      </w:r>
      <w:r w:rsidR="00FB6418">
        <w:t>o</w:t>
      </w:r>
      <w:r>
        <w:t xml:space="preserve"> </w:t>
      </w:r>
      <w:r>
        <w:rPr>
          <w:b/>
          <w:bCs/>
        </w:rPr>
        <w:t>"</w:t>
      </w:r>
      <w:r w:rsidR="002139B5" w:rsidRPr="002139B5">
        <w:t xml:space="preserve"> </w:t>
      </w:r>
      <w:r w:rsidR="002139B5" w:rsidRPr="002139B5">
        <w:rPr>
          <w:b/>
          <w:bCs/>
        </w:rPr>
        <w:t>resolución</w:t>
      </w:r>
      <w:r w:rsidR="002139B5">
        <w:t xml:space="preserve"> </w:t>
      </w:r>
      <w:r>
        <w:rPr>
          <w:b/>
          <w:bCs/>
        </w:rPr>
        <w:t>judicial"</w:t>
      </w:r>
      <w:r>
        <w:t xml:space="preserve"> se refiere a una orden de arresto u otra orden judicial, firmada por un juez o magistrado que forme parte del poder judicial de un gobierno local, estatal o federal, que autorice un arresto. Consulte el Apéndice A para ver ejemplos.</w:t>
      </w:r>
    </w:p>
    <w:p w14:paraId="4C9D917C" w14:textId="77777777" w:rsidR="00717AFE" w:rsidRDefault="006D328B">
      <w:pPr>
        <w:pStyle w:val="BodyText"/>
        <w:spacing w:before="159" w:line="276" w:lineRule="auto"/>
        <w:ind w:left="-1" w:right="782"/>
      </w:pPr>
      <w:r>
        <w:rPr>
          <w:b/>
          <w:bCs/>
        </w:rPr>
        <w:t>"Agente de las fuerzas del orden"</w:t>
      </w:r>
      <w:r>
        <w:t xml:space="preserve"> o </w:t>
      </w:r>
      <w:r>
        <w:rPr>
          <w:b/>
          <w:bCs/>
        </w:rPr>
        <w:t>"agente"</w:t>
      </w:r>
      <w:r>
        <w:t xml:space="preserve"> hace referencia a cualquier agente o funcionario de una agencia de seguridad pública federal, estatal, del condado, municipal o de distrito, incluidos, entre otros, los departamentos de policía locales, los alguaciles, los agentes de policía, la Policía Estatal de Massachusetts, el Servicio de Inmigración y Control de Aduanas de los Estados Unidos (ICE), la Oficina de Aduanas y Protección Fronteriza de los Estados Unidos (CBP, por sus siglas en inglés) y el Departamento de Seguridad Nacional de los Estados Unidos (DHS, por sus siglas en inglés).</w:t>
      </w:r>
    </w:p>
    <w:p w14:paraId="4C9D917D" w14:textId="77777777" w:rsidR="00717AFE" w:rsidRDefault="006D328B">
      <w:pPr>
        <w:pStyle w:val="BodyText"/>
        <w:spacing w:before="160" w:line="276" w:lineRule="auto"/>
        <w:ind w:right="909"/>
      </w:pPr>
      <w:r>
        <w:rPr>
          <w:b/>
          <w:bCs/>
        </w:rPr>
        <w:t>"Horario de funcionamiento"</w:t>
      </w:r>
      <w:r>
        <w:t xml:space="preserve"> se refiere al horario escolar regular, los períodos para dejar y recoger a los estudiantes, las actividades programadas antes y después de la jornada escolar y los eventos patrocinados por la escuela.</w:t>
      </w:r>
    </w:p>
    <w:p w14:paraId="4C9D917E" w14:textId="77777777" w:rsidR="00717AFE" w:rsidRDefault="006D328B">
      <w:pPr>
        <w:pStyle w:val="BodyText"/>
        <w:spacing w:before="160" w:line="276" w:lineRule="auto"/>
        <w:ind w:left="-1" w:right="724"/>
      </w:pPr>
      <w:r>
        <w:rPr>
          <w:b/>
          <w:bCs/>
        </w:rPr>
        <w:t>"Escuela"</w:t>
      </w:r>
      <w:r>
        <w:t xml:space="preserve"> hace referencia a un centro escolar administrado por el departamento de educación de una ciudad, un pueblo o un distrito escolar regional; una escuela agrícola de condado; una escuela vocacional independiente o una escuela vocacional administrada por un condado; una escuela chárter de la Mancomunidad o una escuela chárter Horace Mann establecida en virtud del capítulo 71, sección 89 de las Leyes Generales ("escuela chárter"); una escuela diurna especial u otro centro diurno, o una escuela residencial de corta o larga duración que ofrezca programas educativos para niños con discapacidades, establecida de conformidad </w:t>
      </w:r>
      <w:r>
        <w:lastRenderedPageBreak/>
        <w:t>con el capítulo 71B y con arreglo al capítulo 766 de las Leyes de 1972; o una escuela administrada por una cooperativa educativa (</w:t>
      </w:r>
      <w:proofErr w:type="spellStart"/>
      <w:r>
        <w:t>education</w:t>
      </w:r>
      <w:proofErr w:type="spellEnd"/>
      <w:r>
        <w:t xml:space="preserve"> </w:t>
      </w:r>
      <w:proofErr w:type="spellStart"/>
      <w:r>
        <w:t>collaborative</w:t>
      </w:r>
      <w:proofErr w:type="spellEnd"/>
      <w:r>
        <w:t>) establecida en virtud del capítulo 40, sección 4E de las Leyes Generales ("escuela cooperativa").</w:t>
      </w:r>
    </w:p>
    <w:p w14:paraId="4C9D9180" w14:textId="77777777" w:rsidR="00717AFE" w:rsidRDefault="006D328B">
      <w:pPr>
        <w:pStyle w:val="BodyText"/>
        <w:spacing w:before="201" w:line="276" w:lineRule="auto"/>
        <w:ind w:left="-1" w:right="757"/>
      </w:pPr>
      <w:r>
        <w:rPr>
          <w:b/>
          <w:bCs/>
        </w:rPr>
        <w:t>"Distrito escolar"</w:t>
      </w:r>
      <w:r>
        <w:t xml:space="preserve"> significa el departamento escolar de una ciudad o municipio, un distrito escolar regional, una escuela vocacional independiente o una escuela vocacional o agrícola administrada por un condado.</w:t>
      </w:r>
    </w:p>
    <w:p w14:paraId="4C9D9181" w14:textId="77777777" w:rsidR="00717AFE" w:rsidRDefault="006D328B">
      <w:pPr>
        <w:pStyle w:val="BodyText"/>
        <w:spacing w:before="159" w:line="276" w:lineRule="auto"/>
        <w:ind w:left="-1" w:right="724"/>
      </w:pPr>
      <w:r>
        <w:rPr>
          <w:b/>
          <w:bCs/>
        </w:rPr>
        <w:t>"Instalaciones escolares"</w:t>
      </w:r>
      <w:r>
        <w:t xml:space="preserve"> se refiere al edificio o los edificios principales de la escuela y a cualquier otro edificio o propiedad que pertenezca a una escuela o distrito escolar, o que esté bajo su control, y que sea utilizado por la escuela en apoyo directo de sus fines educativos o deportivos, o de alguna manera relacionada con estos. Esto incluye patios de recreo, campos, estacionamientos, áreas recreativas, canchas deportivas, áreas de competencia y otros lugares que sean propiedad de la escuela o estén bajo su control y se utilicen para fines relacionados con la escuela, independientemente de que estén o no físicamente conectados con el edificio o los edificios principales de la escuela. Durante el horario de funcionamiento, tal como se define anteriormente, las instalaciones escolares no son de acceso público.</w:t>
      </w:r>
      <w:hyperlink w:anchor="_bookmark2" w:history="1">
        <w:r>
          <w:rPr>
            <w:vertAlign w:val="superscript"/>
          </w:rPr>
          <w:t>3</w:t>
        </w:r>
      </w:hyperlink>
    </w:p>
    <w:p w14:paraId="44047E89" w14:textId="77777777" w:rsidR="00B55E42" w:rsidRPr="00B55E42" w:rsidRDefault="00B55E42" w:rsidP="00B55E42">
      <w:pPr>
        <w:pStyle w:val="BodyText"/>
        <w:spacing w:line="276" w:lineRule="auto"/>
        <w:ind w:left="-1" w:right="724"/>
        <w:rPr>
          <w:sz w:val="14"/>
          <w:szCs w:val="14"/>
        </w:rPr>
      </w:pPr>
    </w:p>
    <w:p w14:paraId="48BA8136" w14:textId="77777777" w:rsidR="00B55E42" w:rsidRDefault="00B55E42" w:rsidP="00C15353">
      <w:pPr>
        <w:pStyle w:val="Heading2"/>
      </w:pPr>
      <w:r>
        <w:t>Orientaciones sobre la interacción con agentes de las fuerzas del orden que desempeñan funciones de aplicación de la ley civil</w:t>
      </w:r>
    </w:p>
    <w:p w14:paraId="35FBE370" w14:textId="77777777" w:rsidR="00B55E42" w:rsidRDefault="00B55E42" w:rsidP="00B55E42">
      <w:pPr>
        <w:pStyle w:val="BodyText"/>
        <w:spacing w:before="158" w:line="276" w:lineRule="auto"/>
        <w:ind w:right="724"/>
      </w:pPr>
      <w:r>
        <w:t xml:space="preserve">Estas orientaciones incluyen los temas exigidos por la Ley PROTECT, marcados con un asterisco (*), así como otra información que la Oficina del Gobernador, la </w:t>
      </w:r>
      <w:proofErr w:type="gramStart"/>
      <w:r>
        <w:t>Fiscalía General</w:t>
      </w:r>
      <w:proofErr w:type="gramEnd"/>
      <w:r>
        <w:t>, la EOE y el DESE consideran relevante para las escuelas.</w:t>
      </w:r>
    </w:p>
    <w:p w14:paraId="1B510BF8" w14:textId="77777777" w:rsidR="00B55E42" w:rsidRDefault="00B55E42" w:rsidP="00B55E42">
      <w:pPr>
        <w:pStyle w:val="ListParagraph"/>
        <w:numPr>
          <w:ilvl w:val="1"/>
          <w:numId w:val="5"/>
        </w:numPr>
        <w:tabs>
          <w:tab w:val="left" w:pos="1079"/>
        </w:tabs>
        <w:spacing w:before="162"/>
        <w:ind w:left="1079" w:hanging="719"/>
        <w:rPr>
          <w:i/>
          <w:sz w:val="24"/>
        </w:rPr>
      </w:pPr>
      <w:bookmarkStart w:id="4" w:name="A._General_Guidance_for_Interacting_with"/>
      <w:bookmarkEnd w:id="4"/>
      <w:r>
        <w:rPr>
          <w:i/>
          <w:sz w:val="24"/>
          <w:u w:val="single"/>
        </w:rPr>
        <w:t>Orientaciones generales para interactuar con agentes de las fuerzas del orden</w:t>
      </w:r>
    </w:p>
    <w:p w14:paraId="0F44D920" w14:textId="77777777" w:rsidR="00B55E42" w:rsidRDefault="00B55E42" w:rsidP="00B55E42">
      <w:pPr>
        <w:pStyle w:val="BodyText"/>
        <w:spacing w:before="201" w:line="276" w:lineRule="auto"/>
        <w:ind w:left="-1" w:right="724"/>
      </w:pPr>
      <w:r>
        <w:t>Un procedimiento escrito debe proporcionar consejos generales a los empleados, el personal y los administradores sobre cómo interactuar con agentes de las fuerzas del orden que se encuentren realizando actividades de aplicación de la ley civil, incluidos los siguientes:</w:t>
      </w:r>
    </w:p>
    <w:p w14:paraId="7DC9C81B" w14:textId="77777777" w:rsidR="00B55E42" w:rsidRDefault="00B55E42" w:rsidP="00B55E42">
      <w:pPr>
        <w:pStyle w:val="ListParagraph"/>
        <w:numPr>
          <w:ilvl w:val="2"/>
          <w:numId w:val="5"/>
        </w:numPr>
        <w:tabs>
          <w:tab w:val="left" w:pos="1440"/>
        </w:tabs>
        <w:spacing w:before="160" w:line="276" w:lineRule="auto"/>
        <w:ind w:right="1535"/>
        <w:rPr>
          <w:sz w:val="24"/>
        </w:rPr>
      </w:pPr>
      <w:r>
        <w:rPr>
          <w:sz w:val="24"/>
        </w:rPr>
        <w:t>Se recomienda a los empleados, al personal y a los administradores que mantengan la calma al interactuar con agentes de las fuerzas del orden.</w:t>
      </w:r>
    </w:p>
    <w:p w14:paraId="410EAE04" w14:textId="77777777" w:rsidR="00B55E42" w:rsidRDefault="00B55E42" w:rsidP="00B55E42">
      <w:pPr>
        <w:pStyle w:val="ListParagraph"/>
        <w:numPr>
          <w:ilvl w:val="2"/>
          <w:numId w:val="5"/>
        </w:numPr>
        <w:tabs>
          <w:tab w:val="left" w:pos="1440"/>
        </w:tabs>
        <w:spacing w:line="276" w:lineRule="auto"/>
        <w:ind w:right="768"/>
        <w:rPr>
          <w:sz w:val="24"/>
        </w:rPr>
      </w:pPr>
      <w:r>
        <w:rPr>
          <w:sz w:val="24"/>
        </w:rPr>
        <w:t>Los empleados, el personal y los administradores nunca deben intentar interferir físicamente en las actividades de aplicación de la ley ni deben sentirse obligados a acercarse primero a un agente de las fuerzas del orden o a interactuar con él.</w:t>
      </w:r>
    </w:p>
    <w:p w14:paraId="6B36B32E" w14:textId="77777777" w:rsidR="00B55E42" w:rsidRDefault="00B55E42" w:rsidP="00B55E42">
      <w:pPr>
        <w:pStyle w:val="ListParagraph"/>
        <w:numPr>
          <w:ilvl w:val="2"/>
          <w:numId w:val="5"/>
        </w:numPr>
        <w:tabs>
          <w:tab w:val="left" w:pos="1440"/>
        </w:tabs>
        <w:spacing w:line="276" w:lineRule="auto"/>
        <w:ind w:right="984"/>
        <w:rPr>
          <w:sz w:val="24"/>
        </w:rPr>
      </w:pPr>
      <w:r>
        <w:rPr>
          <w:sz w:val="24"/>
        </w:rPr>
        <w:t>Si los empleados y el personal se sienten inseguros al interactuar con los agentes de las fuerzas del orden, pueden negarse a hacerlo y, en su lugar, recurrir a los administradores, tal como se describe a continuación.</w:t>
      </w:r>
    </w:p>
    <w:p w14:paraId="348182D4" w14:textId="77777777" w:rsidR="00B55E42" w:rsidRPr="00660EE5" w:rsidRDefault="00B55E42">
      <w:pPr>
        <w:pStyle w:val="BodyText"/>
        <w:spacing w:before="149"/>
        <w:ind w:firstLine="0"/>
        <w:rPr>
          <w:sz w:val="12"/>
          <w:szCs w:val="16"/>
        </w:rPr>
      </w:pPr>
    </w:p>
    <w:p w14:paraId="4C9D9184" w14:textId="5F2BF5CC" w:rsidR="00717AFE" w:rsidRDefault="006D328B">
      <w:pPr>
        <w:pStyle w:val="BodyText"/>
        <w:spacing w:before="149"/>
        <w:ind w:firstLine="0"/>
        <w:rPr>
          <w:sz w:val="20"/>
        </w:rPr>
      </w:pPr>
      <w:r>
        <w:rPr>
          <w:noProof/>
          <w:sz w:val="20"/>
        </w:rPr>
        <mc:AlternateContent>
          <mc:Choice Requires="wps">
            <w:drawing>
              <wp:anchor distT="0" distB="0" distL="0" distR="0" simplePos="0" relativeHeight="487588864" behindDoc="1" locked="0" layoutInCell="1" allowOverlap="1" wp14:anchorId="4C9D921C" wp14:editId="4C9D921D">
                <wp:simplePos x="0" y="0"/>
                <wp:positionH relativeFrom="page">
                  <wp:posOffset>914400</wp:posOffset>
                </wp:positionH>
                <wp:positionV relativeFrom="paragraph">
                  <wp:posOffset>256487</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0CCF9A" id="Graphic 5" o:spid="_x0000_s1026" style="position:absolute;margin-left:1in;margin-top:20.2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" path="m1828800,l,,,7607r1828800,l1828800,xe" fillcolor="black" stroked="f">
                <v:path arrowok="t"/>
                <w10:wrap type="topAndBottom" anchorx="page"/>
              </v:shape>
            </w:pict>
          </mc:Fallback>
        </mc:AlternateContent>
      </w:r>
    </w:p>
    <w:p w14:paraId="4C9D9185" w14:textId="77777777" w:rsidR="00717AFE" w:rsidRDefault="006D328B" w:rsidP="00B55E42">
      <w:pPr>
        <w:pStyle w:val="BodyText"/>
        <w:tabs>
          <w:tab w:val="left" w:pos="719"/>
        </w:tabs>
        <w:spacing w:before="140"/>
        <w:ind w:right="450" w:firstLine="0"/>
      </w:pPr>
      <w:bookmarkStart w:id="5" w:name="_bookmark2"/>
      <w:bookmarkEnd w:id="5"/>
      <w:r>
        <w:rPr>
          <w:vertAlign w:val="superscript"/>
        </w:rPr>
        <w:t>3</w:t>
      </w:r>
      <w:r>
        <w:tab/>
      </w:r>
      <w:proofErr w:type="gramStart"/>
      <w:r>
        <w:t>Aunque</w:t>
      </w:r>
      <w:proofErr w:type="gramEnd"/>
      <w:r>
        <w:t>, por lo general, las paradas de autobús no se consideran "instalaciones escolares", consulte la Sección III(C) (Protocolo de escalamiento) para conocer las recomendaciones sobre cómo manejar la presencia de las fuerzas del orden en las paradas de autobús.</w:t>
      </w:r>
    </w:p>
    <w:p w14:paraId="4C9D9186" w14:textId="77777777" w:rsidR="00717AFE" w:rsidRDefault="00717AFE">
      <w:pPr>
        <w:pStyle w:val="BodyText"/>
        <w:sectPr w:rsidR="00717AFE">
          <w:pgSz w:w="12240" w:h="15840"/>
          <w:pgMar w:top="1360" w:right="720" w:bottom="1260" w:left="1440" w:header="0" w:footer="1079" w:gutter="0"/>
          <w:cols w:space="720"/>
        </w:sectPr>
      </w:pPr>
    </w:p>
    <w:p w14:paraId="4C9D918E" w14:textId="624FAB67" w:rsidR="00717AFE" w:rsidRDefault="006D328B">
      <w:pPr>
        <w:pStyle w:val="BodyText"/>
        <w:spacing w:before="159" w:line="276" w:lineRule="auto"/>
        <w:ind w:right="757"/>
      </w:pPr>
      <w:bookmarkStart w:id="6" w:name="III._Guidance_Regarding_Interactions_wit"/>
      <w:bookmarkEnd w:id="6"/>
      <w:r>
        <w:lastRenderedPageBreak/>
        <w:t xml:space="preserve">No se permiten los arrestos civiles en las instalaciones escolares durante el horario de funcionamiento, a menos que los agentes de las fuerzas del orden cuenten con una </w:t>
      </w:r>
      <w:proofErr w:type="gramStart"/>
      <w:r>
        <w:t xml:space="preserve">orden judicial o una </w:t>
      </w:r>
      <w:r w:rsidR="002139B5">
        <w:t xml:space="preserve">resolución </w:t>
      </w:r>
      <w:r>
        <w:t>judicial</w:t>
      </w:r>
      <w:proofErr w:type="gramEnd"/>
      <w:r w:rsidR="00660EE5">
        <w:t>.</w:t>
      </w:r>
      <w:hyperlink w:anchor="_bookmark3" w:history="1">
        <w:r>
          <w:rPr>
            <w:vertAlign w:val="superscript"/>
          </w:rPr>
          <w:t>4</w:t>
        </w:r>
      </w:hyperlink>
      <w:r>
        <w:t xml:space="preserve"> Si los agentes de las fuerzas del orden proceden a realizar un arresto civil en estas áreas en violación de la Ley PROTECT, nadie debe intentar interferir físicamente con ellos. Por el contrario, el personal presente en el lugar debe seguir las orientaciones para los testigos a fin de documentar la interacción, incluidas en la Sección III(G) (Documentación de interacciones) y la Sección IV(B) (Derechos de los testigos) que figuran a continuación. Una vez que las fuerzas del orden hayan abandonado las instalaciones escolares, la escuela deberá reportar el incidente a la División de Derechos Civiles de la </w:t>
      </w:r>
      <w:proofErr w:type="gramStart"/>
      <w:r>
        <w:t>Fiscalía General</w:t>
      </w:r>
      <w:proofErr w:type="gramEnd"/>
      <w:r>
        <w:t>.</w:t>
      </w:r>
    </w:p>
    <w:p w14:paraId="4C9D918F" w14:textId="77777777" w:rsidR="00717AFE" w:rsidRPr="00C15353" w:rsidRDefault="006D328B">
      <w:pPr>
        <w:pStyle w:val="ListParagraph"/>
        <w:numPr>
          <w:ilvl w:val="1"/>
          <w:numId w:val="5"/>
        </w:numPr>
        <w:tabs>
          <w:tab w:val="left" w:pos="1079"/>
        </w:tabs>
        <w:spacing w:before="161"/>
        <w:ind w:left="1079" w:hanging="719"/>
        <w:rPr>
          <w:i/>
          <w:sz w:val="24"/>
          <w:lang w:val="pt-BR"/>
        </w:rPr>
      </w:pPr>
      <w:bookmarkStart w:id="7" w:name="B._Designated_Contact_Person(s)*"/>
      <w:bookmarkEnd w:id="7"/>
      <w:r w:rsidRPr="00C15353">
        <w:rPr>
          <w:i/>
          <w:sz w:val="24"/>
          <w:u w:val="single"/>
          <w:lang w:val="pt-BR"/>
        </w:rPr>
        <w:t>Persona(s) de contacto designada(s)*</w:t>
      </w:r>
    </w:p>
    <w:p w14:paraId="07E96D87" w14:textId="62A143AF" w:rsidR="00660EE5" w:rsidRDefault="006D328B" w:rsidP="00660EE5">
      <w:pPr>
        <w:pStyle w:val="BodyText"/>
        <w:spacing w:before="201" w:line="276" w:lineRule="auto"/>
        <w:ind w:right="757"/>
      </w:pPr>
      <w:r>
        <w:t>En virtud de la Ley PROTECT, las escuelas deben designar a una persona de contacto en la oficina del director ("persona de contacto a nivel escolar") y a una persona de contacto autorizada en la oficina del superintendente o del director ejecutivo ("persona de contacto a nivel distrital"), a quienes se deberá notificar si se presentan agentes de las fuerzas del orden en las instalaciones o solicitan información.</w:t>
      </w:r>
      <w:hyperlink w:anchor="_bookmark4" w:history="1">
        <w:r>
          <w:rPr>
            <w:vertAlign w:val="superscript"/>
          </w:rPr>
          <w:t>5</w:t>
        </w:r>
      </w:hyperlink>
      <w:r>
        <w:t xml:space="preserve"> Diferentes personas pueden desempeñar las funciones</w:t>
      </w:r>
      <w:r w:rsidR="00660EE5">
        <w:t xml:space="preserve"> de la persona de contacto designada en distintos momentos del día, por lo que se recomienda encarecidamente designar al menos una persona de contacto de "respaldo" tanto a nivel escolar como a nivel distrital. Recomendamos que (1) el administrador o gerente de mayor rango de la escuela actúe como la persona de contacto principal designada a nivel escolar; y (2) el superintendente, el director ejecutivo o su representante designado, o un abogado, actúe como la persona de contacto a nivel distrital.</w:t>
      </w:r>
    </w:p>
    <w:p w14:paraId="211B7790" w14:textId="77777777" w:rsidR="00660EE5" w:rsidRDefault="00660EE5" w:rsidP="00660EE5">
      <w:pPr>
        <w:pStyle w:val="BodyText"/>
        <w:spacing w:before="160" w:line="276" w:lineRule="auto"/>
        <w:ind w:left="-1" w:right="967"/>
      </w:pPr>
      <w:r>
        <w:t>Los procedimientos escritos exigidos por la Ley PROTECT deben incluir el nombre y la información de contacto de la(s) persona(s) de contacto designada(s). Si varias personas compartirán esta función, puede considerar asignarles un número de celular o de teléfono compartido, para que al personal de primera línea le sea más sencillo comunicarse con ellas en caso de una emergencia.</w:t>
      </w:r>
    </w:p>
    <w:p w14:paraId="2083BCA6" w14:textId="77777777" w:rsidR="00660EE5" w:rsidRDefault="00660EE5" w:rsidP="00660EE5">
      <w:pPr>
        <w:pStyle w:val="ListParagraph"/>
        <w:numPr>
          <w:ilvl w:val="1"/>
          <w:numId w:val="5"/>
        </w:numPr>
        <w:tabs>
          <w:tab w:val="left" w:pos="1079"/>
        </w:tabs>
        <w:spacing w:before="159"/>
        <w:ind w:left="1079"/>
        <w:rPr>
          <w:i/>
          <w:sz w:val="24"/>
        </w:rPr>
      </w:pPr>
      <w:r>
        <w:rPr>
          <w:i/>
          <w:sz w:val="24"/>
          <w:u w:val="single"/>
        </w:rPr>
        <w:t>Protocolo de escalamiento*</w:t>
      </w:r>
    </w:p>
    <w:p w14:paraId="4EE41EF0" w14:textId="01C0748C" w:rsidR="00660EE5" w:rsidRDefault="00660EE5" w:rsidP="00660EE5">
      <w:pPr>
        <w:pStyle w:val="BodyText"/>
        <w:spacing w:before="160" w:line="276" w:lineRule="auto"/>
        <w:ind w:left="-1" w:right="720"/>
      </w:pPr>
      <w:r>
        <w:t xml:space="preserve">Los procedimientos escritos exigidos por la Ley PROTECT deben abordar cómo deben </w:t>
      </w:r>
    </w:p>
    <w:p w14:paraId="758A7A34" w14:textId="77777777" w:rsidR="00507B13" w:rsidRPr="00507B13" w:rsidRDefault="00507B13" w:rsidP="00660EE5">
      <w:pPr>
        <w:pStyle w:val="BodyText"/>
        <w:spacing w:before="160" w:line="276" w:lineRule="auto"/>
        <w:ind w:left="-1" w:right="720"/>
        <w:rPr>
          <w:sz w:val="14"/>
          <w:szCs w:val="14"/>
        </w:rPr>
      </w:pPr>
    </w:p>
    <w:p w14:paraId="45031E1A" w14:textId="77777777" w:rsidR="00660EE5" w:rsidRDefault="00660EE5">
      <w:pPr>
        <w:pStyle w:val="BodyText"/>
        <w:spacing w:before="7"/>
        <w:ind w:firstLine="0"/>
        <w:rPr>
          <w:sz w:val="18"/>
          <w:szCs w:val="36"/>
        </w:rPr>
      </w:pPr>
    </w:p>
    <w:p w14:paraId="4C9D9191" w14:textId="3173DD72" w:rsidR="00717AFE" w:rsidRDefault="006D328B">
      <w:pPr>
        <w:pStyle w:val="BodyText"/>
        <w:spacing w:before="7"/>
        <w:ind w:firstLine="0"/>
        <w:rPr>
          <w:sz w:val="12"/>
        </w:rPr>
      </w:pPr>
      <w:r>
        <w:rPr>
          <w:noProof/>
          <w:sz w:val="12"/>
        </w:rPr>
        <mc:AlternateContent>
          <mc:Choice Requires="wps">
            <w:drawing>
              <wp:anchor distT="0" distB="0" distL="0" distR="0" simplePos="0" relativeHeight="487589376" behindDoc="1" locked="0" layoutInCell="1" allowOverlap="1" wp14:anchorId="4C9D921E" wp14:editId="4C9D921F">
                <wp:simplePos x="0" y="0"/>
                <wp:positionH relativeFrom="page">
                  <wp:posOffset>914400</wp:posOffset>
                </wp:positionH>
                <wp:positionV relativeFrom="paragraph">
                  <wp:posOffset>107685</wp:posOffset>
                </wp:positionV>
                <wp:extent cx="18288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8F298" id="Graphic 6" o:spid="_x0000_s1026" style="position:absolute;margin-left:1in;margin-top:8.5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" path="m1828800,l,,,7619r1828800,l1828800,xe" fillcolor="black" stroked="f">
                <v:path arrowok="t"/>
                <w10:wrap type="topAndBottom" anchorx="page"/>
              </v:shape>
            </w:pict>
          </mc:Fallback>
        </mc:AlternateContent>
      </w:r>
    </w:p>
    <w:p w14:paraId="4C9D9192" w14:textId="77777777" w:rsidR="00717AFE" w:rsidRDefault="006D328B">
      <w:pPr>
        <w:pStyle w:val="BodyText"/>
        <w:tabs>
          <w:tab w:val="left" w:pos="719"/>
        </w:tabs>
        <w:spacing w:before="140"/>
        <w:ind w:right="729" w:firstLine="0"/>
      </w:pPr>
      <w:bookmarkStart w:id="8" w:name="_bookmark3"/>
      <w:bookmarkEnd w:id="8"/>
      <w:r>
        <w:rPr>
          <w:vertAlign w:val="superscript"/>
        </w:rPr>
        <w:t>4</w:t>
      </w:r>
      <w:r>
        <w:tab/>
        <w:t>Como se señala en la Sección III(M) (Obligaciones existentes), nada de lo dispuesto en estas orientaciones prohíbe la cooperación adecuada con las autoridades, incluidas la policía, los cuerpos de bomberos, los servicios médicos de emergencia, las autoridades de protección infantil u otros funcionarios de seguridad pública, que respondan a una emergencia, protejan a un niño contra el abuso o la negligencia o ejerzan de cualquier otra forma una autoridad legal no relacionada con la aplicación de la ley civil.</w:t>
      </w:r>
    </w:p>
    <w:p w14:paraId="4C9D9193" w14:textId="77777777" w:rsidR="00717AFE" w:rsidRDefault="006D328B">
      <w:pPr>
        <w:pStyle w:val="BodyText"/>
        <w:tabs>
          <w:tab w:val="left" w:pos="719"/>
        </w:tabs>
        <w:spacing w:before="1"/>
        <w:ind w:right="863" w:firstLine="0"/>
      </w:pPr>
      <w:bookmarkStart w:id="9" w:name="_bookmark4"/>
      <w:bookmarkEnd w:id="9"/>
      <w:r>
        <w:rPr>
          <w:vertAlign w:val="superscript"/>
        </w:rPr>
        <w:t>5</w:t>
      </w:r>
      <w:r>
        <w:tab/>
      </w:r>
      <w:proofErr w:type="gramStart"/>
      <w:r>
        <w:t>Si</w:t>
      </w:r>
      <w:proofErr w:type="gramEnd"/>
      <w:r>
        <w:t xml:space="preserve"> la escuela no cuenta con una oficina distrital o administrativa separada de la propia escuela, podría ser conveniente que la misma persona de contacto desempeñe las funciones de contacto tanto a nivel escolar como a nivel distrital.</w:t>
      </w:r>
    </w:p>
    <w:p w14:paraId="4C9D9194" w14:textId="77777777" w:rsidR="00717AFE" w:rsidRDefault="00717AFE" w:rsidP="00660EE5">
      <w:pPr>
        <w:pStyle w:val="BodyText"/>
        <w:ind w:firstLine="0"/>
        <w:sectPr w:rsidR="00717AFE">
          <w:pgSz w:w="12240" w:h="15840"/>
          <w:pgMar w:top="1380" w:right="720" w:bottom="1260" w:left="1440" w:header="0" w:footer="1079" w:gutter="0"/>
          <w:cols w:space="720"/>
        </w:sectPr>
      </w:pPr>
    </w:p>
    <w:p w14:paraId="4C9D9198" w14:textId="571AA89D" w:rsidR="00717AFE" w:rsidRDefault="00507B13" w:rsidP="00507B13">
      <w:pPr>
        <w:pStyle w:val="BodyText"/>
        <w:spacing w:before="160" w:line="276" w:lineRule="auto"/>
        <w:ind w:left="-1" w:right="720" w:firstLine="1"/>
      </w:pPr>
      <w:bookmarkStart w:id="10" w:name="C._Escalation_Protocol*"/>
      <w:bookmarkEnd w:id="10"/>
      <w:r>
        <w:lastRenderedPageBreak/>
        <w:t xml:space="preserve">responder los empleados, el personal y los administradores si se presentan agentes de las fuerzas </w:t>
      </w:r>
      <w:r w:rsidR="006D328B">
        <w:t>del orden en las instalaciones y a quiénes deben notificar (el "protocolo de escalamiento"). Las escuelas deben asegurarse de que el personal y los empleados conozcan el protocolo y sepan cómo ponerse en contacto con las personas pertinentes. Este protocolo debe ser sencillo, fácil de recordar y coherente con los procedimientos utilizados en otras circunstancias. Un protocolo de escalamiento debe incluir las siguientes instrucciones:</w:t>
      </w:r>
    </w:p>
    <w:p w14:paraId="4C9D9199" w14:textId="77777777" w:rsidR="00717AFE" w:rsidRDefault="006D328B" w:rsidP="005161A5">
      <w:pPr>
        <w:pStyle w:val="ListParagraph"/>
        <w:numPr>
          <w:ilvl w:val="2"/>
          <w:numId w:val="5"/>
        </w:numPr>
        <w:tabs>
          <w:tab w:val="left" w:pos="1439"/>
        </w:tabs>
        <w:spacing w:before="160" w:line="276" w:lineRule="auto"/>
        <w:ind w:left="1439" w:right="782"/>
        <w:rPr>
          <w:sz w:val="24"/>
        </w:rPr>
      </w:pPr>
      <w:r>
        <w:rPr>
          <w:sz w:val="24"/>
        </w:rPr>
        <w:t>Si se presentan en las instalaciones agentes de las fuerzas del orden que participan en actividades de aplicación de la ley civil y no existen circunstancias aparentes de urgencia o emergencia, los empleados y el personal deben informar a los agentes que se pondrán en contacto con un administrador para que los asista y que deben esperar donde se encuentran, idealmente afuera, lejos de los estudiantes, los niños y sus familias.</w:t>
      </w:r>
    </w:p>
    <w:p w14:paraId="4C9D919A" w14:textId="77777777" w:rsidR="00717AFE" w:rsidRDefault="006D328B" w:rsidP="005161A5">
      <w:pPr>
        <w:pStyle w:val="ListParagraph"/>
        <w:numPr>
          <w:ilvl w:val="2"/>
          <w:numId w:val="5"/>
        </w:numPr>
        <w:tabs>
          <w:tab w:val="left" w:pos="1439"/>
        </w:tabs>
        <w:spacing w:before="2" w:line="276" w:lineRule="auto"/>
        <w:ind w:left="1439" w:right="782"/>
        <w:rPr>
          <w:sz w:val="24"/>
        </w:rPr>
      </w:pPr>
      <w:r>
        <w:rPr>
          <w:sz w:val="24"/>
        </w:rPr>
        <w:t>El empleado o miembro del personal debe comunicarse de inmediato con la persona de contacto a nivel escolar.</w:t>
      </w:r>
    </w:p>
    <w:p w14:paraId="4C9D919C" w14:textId="0FDD334D" w:rsidR="00717AFE" w:rsidRPr="005161A5" w:rsidRDefault="006D328B" w:rsidP="005161A5">
      <w:pPr>
        <w:pStyle w:val="ListParagraph"/>
        <w:numPr>
          <w:ilvl w:val="2"/>
          <w:numId w:val="5"/>
        </w:numPr>
        <w:tabs>
          <w:tab w:val="left" w:pos="1439"/>
        </w:tabs>
        <w:spacing w:line="276" w:lineRule="auto"/>
        <w:ind w:left="1439" w:right="782"/>
        <w:rPr>
          <w:sz w:val="24"/>
          <w:szCs w:val="24"/>
        </w:rPr>
      </w:pPr>
      <w:r>
        <w:rPr>
          <w:sz w:val="24"/>
        </w:rPr>
        <w:t xml:space="preserve">Una vez notificada, la persona de contacto a nivel escolar debe llamar de inmediato a la </w:t>
      </w:r>
      <w:r w:rsidRPr="005161A5">
        <w:rPr>
          <w:sz w:val="24"/>
          <w:szCs w:val="24"/>
        </w:rPr>
        <w:t>persona de contacto a nivel distrital y dirigirse al lugar donde los agentes de las fuerzas del orden están esperando.</w:t>
      </w:r>
      <w:r w:rsidR="005161A5" w:rsidRPr="005161A5">
        <w:rPr>
          <w:sz w:val="24"/>
          <w:szCs w:val="24"/>
        </w:rPr>
        <w:t xml:space="preserve"> </w:t>
      </w:r>
      <w:r w:rsidRPr="005161A5">
        <w:rPr>
          <w:sz w:val="24"/>
          <w:szCs w:val="24"/>
        </w:rPr>
        <w:t>Si la escuela tiene acceso a un abogado, los procedimientos escritos deben estipular que la persona de contacto a nivel escolar o la persona de contacto a nivel distrital llame al abogado y lo mantenga en la línea para recibir asesoramiento.</w:t>
      </w:r>
    </w:p>
    <w:p w14:paraId="4C9D919D" w14:textId="77777777" w:rsidR="00717AFE" w:rsidRDefault="006D328B" w:rsidP="005161A5">
      <w:pPr>
        <w:pStyle w:val="ListParagraph"/>
        <w:numPr>
          <w:ilvl w:val="2"/>
          <w:numId w:val="5"/>
        </w:numPr>
        <w:tabs>
          <w:tab w:val="left" w:pos="1439"/>
        </w:tabs>
        <w:spacing w:line="276" w:lineRule="auto"/>
        <w:ind w:left="1439" w:right="782"/>
        <w:rPr>
          <w:sz w:val="24"/>
        </w:rPr>
      </w:pPr>
      <w:r>
        <w:rPr>
          <w:sz w:val="24"/>
        </w:rPr>
        <w:t>La persona de contacto a nivel escolar debe hablar con los agentes de las fuerzas del orden. La persona de contacto a nivel escolar debe solicitar a los agentes de las fuerzas del orden que se identifiquen y registrar sus nombres, las instituciones a las que pertenecen y sus números de placa.</w:t>
      </w:r>
    </w:p>
    <w:p w14:paraId="4C9D919E" w14:textId="5A303805" w:rsidR="00717AFE" w:rsidRDefault="006D328B" w:rsidP="005161A5">
      <w:pPr>
        <w:pStyle w:val="ListParagraph"/>
        <w:numPr>
          <w:ilvl w:val="2"/>
          <w:numId w:val="5"/>
        </w:numPr>
        <w:tabs>
          <w:tab w:val="left" w:pos="1439"/>
        </w:tabs>
        <w:spacing w:line="276" w:lineRule="auto"/>
        <w:ind w:left="1439" w:right="782"/>
        <w:rPr>
          <w:sz w:val="24"/>
        </w:rPr>
      </w:pPr>
      <w:r>
        <w:rPr>
          <w:sz w:val="24"/>
        </w:rPr>
        <w:t xml:space="preserve">La persona de contacto a nivel escolar debe solicitar ver cualquier orden judicial u otra documentación. La persona de contacto a nivel escolar, con la ayuda de un abogado, si es posible, y/o de la persona de contacto a nivel distrital, debe revisar los documentos para determinar si los agentes de las fuerzas del orden cuentan con una </w:t>
      </w:r>
      <w:proofErr w:type="gramStart"/>
      <w:r>
        <w:rPr>
          <w:sz w:val="24"/>
        </w:rPr>
        <w:t xml:space="preserve">orden judicial </w:t>
      </w:r>
      <w:r w:rsidR="00FB6418">
        <w:rPr>
          <w:sz w:val="24"/>
        </w:rPr>
        <w:t>o</w:t>
      </w:r>
      <w:r>
        <w:rPr>
          <w:sz w:val="24"/>
        </w:rPr>
        <w:t xml:space="preserve"> </w:t>
      </w:r>
      <w:r w:rsidR="002139B5">
        <w:t xml:space="preserve">resolución </w:t>
      </w:r>
      <w:r>
        <w:rPr>
          <w:sz w:val="24"/>
        </w:rPr>
        <w:t>judicial</w:t>
      </w:r>
      <w:proofErr w:type="gramEnd"/>
      <w:r>
        <w:rPr>
          <w:sz w:val="24"/>
        </w:rPr>
        <w:t xml:space="preserve"> válida. Consulte la Sección III(F) (Revisión de la orden judicial) para obtener consejos sobre cómo revisar una orden judicial.</w:t>
      </w:r>
    </w:p>
    <w:p w14:paraId="4C9D91A0" w14:textId="60E67882" w:rsidR="00717AFE" w:rsidRDefault="006D328B" w:rsidP="005161A5">
      <w:pPr>
        <w:pStyle w:val="ListParagraph"/>
        <w:numPr>
          <w:ilvl w:val="3"/>
          <w:numId w:val="5"/>
        </w:numPr>
        <w:tabs>
          <w:tab w:val="left" w:pos="2339"/>
        </w:tabs>
        <w:spacing w:before="79" w:line="276" w:lineRule="auto"/>
        <w:ind w:left="2339" w:right="761"/>
        <w:rPr>
          <w:sz w:val="24"/>
        </w:rPr>
      </w:pPr>
      <w:r>
        <w:rPr>
          <w:sz w:val="24"/>
        </w:rPr>
        <w:t xml:space="preserve">Si los agentes de las fuerzas del orden cuentan con una </w:t>
      </w:r>
      <w:proofErr w:type="gramStart"/>
      <w:r>
        <w:rPr>
          <w:sz w:val="24"/>
        </w:rPr>
        <w:t>orden judicial</w:t>
      </w:r>
      <w:r w:rsidR="002139B5">
        <w:rPr>
          <w:sz w:val="24"/>
        </w:rPr>
        <w:t xml:space="preserve"> </w:t>
      </w:r>
      <w:r>
        <w:rPr>
          <w:sz w:val="24"/>
        </w:rPr>
        <w:t xml:space="preserve">o una </w:t>
      </w:r>
      <w:r w:rsidR="002139B5" w:rsidRPr="002139B5">
        <w:rPr>
          <w:sz w:val="24"/>
          <w:szCs w:val="24"/>
        </w:rPr>
        <w:t xml:space="preserve">resolución </w:t>
      </w:r>
      <w:r>
        <w:rPr>
          <w:sz w:val="24"/>
        </w:rPr>
        <w:t>judicial</w:t>
      </w:r>
      <w:proofErr w:type="gramEnd"/>
      <w:r>
        <w:rPr>
          <w:sz w:val="24"/>
        </w:rPr>
        <w:t xml:space="preserve"> válida que autorice un arresto, el ingreso para realizar un registro o ambos, la persona de contacto a nivel escolar debe informarles que pueden ingresar a las instalaciones de la escuela. Sin embargo, la persona de contacto a nivel escolar debe solicitar que, en la medida de lo posible, los agentes eviten cualquier área donde haya estudiantes o niños presentes.</w:t>
      </w:r>
    </w:p>
    <w:p w14:paraId="4C9D91A1" w14:textId="18102F44" w:rsidR="00717AFE" w:rsidRDefault="006D328B" w:rsidP="005161A5">
      <w:pPr>
        <w:pStyle w:val="ListParagraph"/>
        <w:numPr>
          <w:ilvl w:val="3"/>
          <w:numId w:val="5"/>
        </w:numPr>
        <w:tabs>
          <w:tab w:val="left" w:pos="2340"/>
        </w:tabs>
        <w:spacing w:line="276" w:lineRule="auto"/>
        <w:ind w:right="761"/>
        <w:rPr>
          <w:sz w:val="24"/>
        </w:rPr>
      </w:pPr>
      <w:r>
        <w:rPr>
          <w:sz w:val="24"/>
        </w:rPr>
        <w:t xml:space="preserve">Si los agentes de las fuerzas del orden no cuentan con una </w:t>
      </w:r>
      <w:proofErr w:type="gramStart"/>
      <w:r>
        <w:rPr>
          <w:sz w:val="24"/>
        </w:rPr>
        <w:t xml:space="preserve">orden judicial o una </w:t>
      </w:r>
      <w:r w:rsidR="002139B5" w:rsidRPr="002139B5">
        <w:rPr>
          <w:sz w:val="24"/>
          <w:szCs w:val="24"/>
        </w:rPr>
        <w:t xml:space="preserve">resolución </w:t>
      </w:r>
      <w:r>
        <w:rPr>
          <w:sz w:val="24"/>
        </w:rPr>
        <w:t>judicial</w:t>
      </w:r>
      <w:proofErr w:type="gramEnd"/>
      <w:r>
        <w:rPr>
          <w:sz w:val="24"/>
        </w:rPr>
        <w:t xml:space="preserve"> válida, o solo tienen una orden administrativa </w:t>
      </w:r>
      <w:r>
        <w:rPr>
          <w:sz w:val="24"/>
        </w:rPr>
        <w:lastRenderedPageBreak/>
        <w:t>(véase el Apéndice A para un ejemplo), la persona de contacto a nivel escolar debe informarles que no están autorizados a realizar el arresto en las instalaciones escolares y pedirles que se retiren.</w:t>
      </w:r>
      <w:hyperlink w:anchor="_bookmark5" w:history="1">
        <w:r>
          <w:rPr>
            <w:sz w:val="24"/>
            <w:vertAlign w:val="superscript"/>
          </w:rPr>
          <w:t>6</w:t>
        </w:r>
      </w:hyperlink>
    </w:p>
    <w:p w14:paraId="4C9D91A3" w14:textId="2B4F90F5" w:rsidR="00717AFE" w:rsidRPr="005161A5" w:rsidRDefault="006D328B" w:rsidP="005161A5">
      <w:pPr>
        <w:pStyle w:val="ListParagraph"/>
        <w:numPr>
          <w:ilvl w:val="3"/>
          <w:numId w:val="5"/>
        </w:numPr>
        <w:tabs>
          <w:tab w:val="left" w:pos="2340"/>
        </w:tabs>
        <w:spacing w:before="1" w:line="276" w:lineRule="auto"/>
        <w:ind w:right="761"/>
        <w:rPr>
          <w:sz w:val="24"/>
          <w:szCs w:val="24"/>
        </w:rPr>
      </w:pPr>
      <w:r>
        <w:rPr>
          <w:sz w:val="24"/>
        </w:rPr>
        <w:t xml:space="preserve">Si los agentes de las fuerzas del orden proceden a realizar un arresto civil en las instalaciones escolares en violación de la Ley PROTECT, nadie debe intentar interferir físicamente con ellos. Por el contrario, el personal debe seguir las orientaciones para testigos a fin de documentar la interacción, incluidas en la Sección III(G) (Documentación de </w:t>
      </w:r>
      <w:r w:rsidRPr="005161A5">
        <w:rPr>
          <w:sz w:val="24"/>
          <w:szCs w:val="24"/>
        </w:rPr>
        <w:t>interacciones) y la Sección IV(B) (Derechos de los testigos) que figuran a continuación.</w:t>
      </w:r>
      <w:r w:rsidR="005161A5" w:rsidRPr="005161A5">
        <w:rPr>
          <w:sz w:val="24"/>
          <w:szCs w:val="24"/>
        </w:rPr>
        <w:t xml:space="preserve"> </w:t>
      </w:r>
      <w:r w:rsidRPr="005161A5">
        <w:rPr>
          <w:sz w:val="24"/>
          <w:szCs w:val="24"/>
        </w:rPr>
        <w:t>Si existe una amenaza inminente para la seguridad de un niño, un miembro del personal, un familiar u otra persona, el personal del programa no debe dudar en llamar al 9-1-1 para pedir ayuda.</w:t>
      </w:r>
    </w:p>
    <w:p w14:paraId="4C9D91A4" w14:textId="77777777" w:rsidR="00717AFE" w:rsidRDefault="006D328B" w:rsidP="005161A5">
      <w:pPr>
        <w:pStyle w:val="ListParagraph"/>
        <w:numPr>
          <w:ilvl w:val="3"/>
          <w:numId w:val="5"/>
        </w:numPr>
        <w:tabs>
          <w:tab w:val="left" w:pos="2340"/>
        </w:tabs>
        <w:spacing w:line="276" w:lineRule="auto"/>
        <w:ind w:right="761"/>
        <w:rPr>
          <w:sz w:val="24"/>
        </w:rPr>
      </w:pPr>
      <w:r w:rsidRPr="005161A5">
        <w:rPr>
          <w:sz w:val="24"/>
          <w:szCs w:val="24"/>
        </w:rPr>
        <w:t>Una vez que las fuerzas del orden hayan abandonado las</w:t>
      </w:r>
      <w:r>
        <w:rPr>
          <w:sz w:val="24"/>
        </w:rPr>
        <w:t xml:space="preserve"> instalaciones de la escuela, esta debe reportar el incidente a la División de Derechos Civiles de la </w:t>
      </w:r>
      <w:proofErr w:type="gramStart"/>
      <w:r>
        <w:rPr>
          <w:sz w:val="24"/>
        </w:rPr>
        <w:t>Fiscalía General</w:t>
      </w:r>
      <w:proofErr w:type="gramEnd"/>
      <w:r>
        <w:rPr>
          <w:sz w:val="24"/>
        </w:rPr>
        <w:t>.</w:t>
      </w:r>
    </w:p>
    <w:p w14:paraId="4C9D91A5" w14:textId="77777777" w:rsidR="00717AFE" w:rsidRDefault="006D328B" w:rsidP="005161A5">
      <w:pPr>
        <w:pStyle w:val="BodyText"/>
        <w:spacing w:before="159" w:line="276" w:lineRule="auto"/>
        <w:ind w:right="761"/>
      </w:pPr>
      <w:r>
        <w:t>Además de los procedimientos descritos anteriormente, se recomienda a las escuelas que consideren los diversos escenarios en los que puedan ocurrir interacciones con agentes de las fuerzas del orden que participen en actividades de aplicación de la ley civil dentro de sus programas y en sus instalaciones, a fin de preparar protocolos de escalamiento para estos escenarios específicos. Las escuelas también deben considerar la inclusión de orientaciones adaptadas a determinados puestos del personal, como el personal de recepción, que pueda tener mayor probabilidad de interactuar con agentes de las fuerzas del orden que desempeñen funciones de aplicación de la ley civil. Las escuelas también deben considerar la actualización de los Planes de Operaciones de Emergencia y los Planes de Respuesta a Emergencias Médicas y de Salud Conductual existentes para garantizar la seguridad de los estudiantes en caso de cualquier tipo de actividad de las fuerzas del orden en las instalaciones escolares o en sus alrededores.</w:t>
      </w:r>
    </w:p>
    <w:p w14:paraId="3402DBD1" w14:textId="77777777" w:rsidR="003478DB" w:rsidRDefault="006D328B" w:rsidP="00660EE5">
      <w:pPr>
        <w:pStyle w:val="BodyText"/>
        <w:spacing w:before="79" w:line="276" w:lineRule="auto"/>
        <w:ind w:right="841" w:firstLine="810"/>
      </w:pPr>
      <w:r>
        <w:t xml:space="preserve">Además, las escuelas deben revisar los contratos de transporte escolar y comunicarse con las empresas de transporte respecto de las políticas y protocolos aplicables a los conductores de autobús en caso de que se produzcan actividades de las fuerzas del orden en curso cerca de una parada de autobús escolar. Esto incluye consideraciones relativas al transporte de alumnos de educación especial. Los procedimientos relacionados con el transporte deben centrarse en mantener la seguridad de los alumnos </w:t>
      </w:r>
      <w:r w:rsidR="003478DB">
        <w:t>y evitar los peligros asociados con dejar a un alumno cerca de la escena de un delito en curso o de cualquier detención u operación policial.</w:t>
      </w:r>
    </w:p>
    <w:p w14:paraId="073B29F8" w14:textId="77777777" w:rsidR="00660EE5" w:rsidRPr="00507B13" w:rsidRDefault="00660EE5" w:rsidP="00660EE5">
      <w:pPr>
        <w:pStyle w:val="BodyText"/>
        <w:spacing w:before="79" w:line="276" w:lineRule="auto"/>
        <w:ind w:right="841" w:firstLine="810"/>
        <w:rPr>
          <w:sz w:val="2"/>
          <w:szCs w:val="2"/>
        </w:rPr>
      </w:pPr>
    </w:p>
    <w:p w14:paraId="08468621" w14:textId="77777777" w:rsidR="00507B13" w:rsidRDefault="00507B13">
      <w:pPr>
        <w:pStyle w:val="BodyText"/>
        <w:spacing w:before="113"/>
        <w:ind w:firstLine="0"/>
        <w:rPr>
          <w:sz w:val="20"/>
        </w:rPr>
      </w:pPr>
    </w:p>
    <w:p w14:paraId="4C9D91A9" w14:textId="4E5404BC" w:rsidR="00717AFE" w:rsidRDefault="006D328B">
      <w:pPr>
        <w:pStyle w:val="BodyText"/>
        <w:spacing w:before="113"/>
        <w:ind w:firstLine="0"/>
        <w:rPr>
          <w:sz w:val="20"/>
        </w:rPr>
      </w:pPr>
      <w:r>
        <w:rPr>
          <w:noProof/>
          <w:sz w:val="20"/>
        </w:rPr>
        <mc:AlternateContent>
          <mc:Choice Requires="wps">
            <w:drawing>
              <wp:anchor distT="0" distB="0" distL="0" distR="0" simplePos="0" relativeHeight="487589888" behindDoc="1" locked="0" layoutInCell="1" allowOverlap="1" wp14:anchorId="4C9D9220" wp14:editId="4C9D9221">
                <wp:simplePos x="0" y="0"/>
                <wp:positionH relativeFrom="page">
                  <wp:posOffset>914400</wp:posOffset>
                </wp:positionH>
                <wp:positionV relativeFrom="paragraph">
                  <wp:posOffset>233287</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A74CD7" id="Graphic 7" o:spid="_x0000_s1026" style="position:absolute;margin-left:1in;margin-top:18.35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" path="m1828800,l,,,7619r1828800,l1828800,xe" fillcolor="black" stroked="f">
                <v:path arrowok="t"/>
                <w10:wrap type="topAndBottom" anchorx="page"/>
              </v:shape>
            </w:pict>
          </mc:Fallback>
        </mc:AlternateContent>
      </w:r>
    </w:p>
    <w:p w14:paraId="4C9D91AA" w14:textId="77777777" w:rsidR="00717AFE" w:rsidRDefault="006D328B">
      <w:pPr>
        <w:pStyle w:val="BodyText"/>
        <w:tabs>
          <w:tab w:val="left" w:pos="719"/>
        </w:tabs>
        <w:spacing w:before="140"/>
        <w:ind w:right="1339" w:firstLine="0"/>
      </w:pPr>
      <w:bookmarkStart w:id="11" w:name="_bookmark5"/>
      <w:bookmarkEnd w:id="11"/>
      <w:r w:rsidRPr="005161A5">
        <w:rPr>
          <w:vertAlign w:val="superscript"/>
        </w:rPr>
        <w:t>6</w:t>
      </w:r>
      <w:r>
        <w:t xml:space="preserve">    </w:t>
      </w:r>
      <w:proofErr w:type="gramStart"/>
      <w:r>
        <w:t>En</w:t>
      </w:r>
      <w:proofErr w:type="gramEnd"/>
      <w:r>
        <w:t xml:space="preserve"> circunstancias excepcionales, los agentes de las fuerzas del orden pueden identificar una amenaza clara e inmediata para la salud o la seguridad que constituya una excepción al requisito de contar con una orden judicial.</w:t>
      </w:r>
    </w:p>
    <w:p w14:paraId="4C9D91AB" w14:textId="77777777" w:rsidR="00717AFE" w:rsidRDefault="00717AFE">
      <w:pPr>
        <w:pStyle w:val="BodyText"/>
        <w:sectPr w:rsidR="00717AFE">
          <w:pgSz w:w="12240" w:h="15840"/>
          <w:pgMar w:top="1360" w:right="720" w:bottom="1260" w:left="1440" w:header="0" w:footer="1079" w:gutter="0"/>
          <w:cols w:space="720"/>
        </w:sectPr>
      </w:pPr>
    </w:p>
    <w:p w14:paraId="14944DB3" w14:textId="77777777" w:rsidR="00507B13" w:rsidRDefault="00507B13" w:rsidP="00507B13">
      <w:pPr>
        <w:pStyle w:val="BodyText"/>
        <w:spacing w:before="79" w:line="276" w:lineRule="auto"/>
        <w:ind w:right="841" w:firstLine="810"/>
        <w:rPr>
          <w:color w:val="232323"/>
        </w:rPr>
      </w:pPr>
      <w:r>
        <w:rPr>
          <w:color w:val="232323"/>
        </w:rPr>
        <w:lastRenderedPageBreak/>
        <w:t xml:space="preserve">Las escuelas deben revisar y considerar la actualización de las políticas y los </w:t>
      </w:r>
    </w:p>
    <w:p w14:paraId="4C9D91AD" w14:textId="3CE5B19D" w:rsidR="00717AFE" w:rsidRDefault="00660EE5" w:rsidP="00507B13">
      <w:pPr>
        <w:pStyle w:val="BodyText"/>
        <w:tabs>
          <w:tab w:val="left" w:pos="8460"/>
          <w:tab w:val="left" w:pos="8910"/>
        </w:tabs>
        <w:spacing w:line="276" w:lineRule="auto"/>
        <w:ind w:right="810" w:firstLine="0"/>
      </w:pPr>
      <w:r>
        <w:rPr>
          <w:color w:val="232323"/>
        </w:rPr>
        <w:t xml:space="preserve">protocolos para garantizar la seguridad de los alumnos cuando se lleven a cabo actividades de las fuerzas </w:t>
      </w:r>
      <w:r w:rsidR="006D328B">
        <w:rPr>
          <w:color w:val="232323"/>
        </w:rPr>
        <w:t>del orden en las instalaciones escolares. Las políticas deben aplicarse por igual a todas las formas de aplicación de la ley y deben centrarse en mantener la seguridad de los alumnos.</w:t>
      </w:r>
    </w:p>
    <w:p w14:paraId="4C9D91AE" w14:textId="77777777" w:rsidR="00717AFE" w:rsidRDefault="006D328B" w:rsidP="00660EE5">
      <w:pPr>
        <w:pStyle w:val="ListParagraph"/>
        <w:numPr>
          <w:ilvl w:val="1"/>
          <w:numId w:val="5"/>
        </w:numPr>
        <w:tabs>
          <w:tab w:val="left" w:pos="1079"/>
        </w:tabs>
        <w:spacing w:before="161"/>
        <w:ind w:left="1079" w:right="841" w:hanging="719"/>
        <w:rPr>
          <w:i/>
          <w:sz w:val="24"/>
        </w:rPr>
      </w:pPr>
      <w:bookmarkStart w:id="12" w:name="D._Checklists_and_Approved_Language"/>
      <w:bookmarkEnd w:id="12"/>
      <w:r>
        <w:rPr>
          <w:i/>
          <w:sz w:val="24"/>
          <w:u w:val="single"/>
        </w:rPr>
        <w:t>Listas de verificación y lenguaje aprobado</w:t>
      </w:r>
    </w:p>
    <w:p w14:paraId="4C9D91AF" w14:textId="77777777" w:rsidR="00717AFE" w:rsidRDefault="006D328B" w:rsidP="00660EE5">
      <w:pPr>
        <w:pStyle w:val="BodyText"/>
        <w:spacing w:before="202" w:line="276" w:lineRule="auto"/>
        <w:ind w:right="841"/>
      </w:pPr>
      <w:r>
        <w:t>Alentamos a las escuelas a elaborar listas de verificación y a preparar un lenguaje aprobado para que los empleados, el personal, los administradores y las personas de contacto designadas lo utilicen al interactuar con agentes de las fuerzas del orden que desempeñen funciones de aplicación de la ley civil. Estas listas de verificación pueden incluir el protocolo de escalamiento, con instrucciones claras sobre a quién deben contactar los empleados o el personal si se presentan agentes de las fuerzas del orden en las instalaciones o si estos realizan alguna solicitud.</w:t>
      </w:r>
    </w:p>
    <w:p w14:paraId="4C9D91B0" w14:textId="77777777" w:rsidR="00717AFE" w:rsidRDefault="006D328B">
      <w:pPr>
        <w:pStyle w:val="BodyText"/>
        <w:spacing w:before="160"/>
        <w:ind w:left="720" w:firstLine="0"/>
      </w:pPr>
      <w:r>
        <w:t>A continuación, se ofrecen ejemplos de "lenguaje aprobado":</w:t>
      </w:r>
    </w:p>
    <w:p w14:paraId="4C9D91B1" w14:textId="77777777" w:rsidR="00717AFE" w:rsidRDefault="006D328B">
      <w:pPr>
        <w:pStyle w:val="ListParagraph"/>
        <w:numPr>
          <w:ilvl w:val="2"/>
          <w:numId w:val="5"/>
        </w:numPr>
        <w:tabs>
          <w:tab w:val="left" w:pos="1440"/>
        </w:tabs>
        <w:spacing w:before="200" w:line="278" w:lineRule="auto"/>
        <w:ind w:right="1158"/>
        <w:rPr>
          <w:sz w:val="24"/>
        </w:rPr>
      </w:pPr>
      <w:r>
        <w:rPr>
          <w:sz w:val="24"/>
        </w:rPr>
        <w:t>"No estoy autorizado a permitirle ingresar a la escuela. Por favor, espere aquí mientras me comunico con un administrador".</w:t>
      </w:r>
    </w:p>
    <w:p w14:paraId="4C9D91B2" w14:textId="77777777" w:rsidR="00717AFE" w:rsidRDefault="006D328B">
      <w:pPr>
        <w:pStyle w:val="ListParagraph"/>
        <w:numPr>
          <w:ilvl w:val="2"/>
          <w:numId w:val="5"/>
        </w:numPr>
        <w:tabs>
          <w:tab w:val="left" w:pos="1440"/>
        </w:tabs>
        <w:spacing w:line="276" w:lineRule="auto"/>
        <w:ind w:right="1111"/>
        <w:rPr>
          <w:sz w:val="24"/>
        </w:rPr>
      </w:pPr>
      <w:r>
        <w:rPr>
          <w:sz w:val="24"/>
        </w:rPr>
        <w:t>"No estoy autorizado a hablar sobre personas específicas ni a conversar con usted acerca de este estudiante, niño o empleado. Me pondré en contacto con un administrador, quien tratará este asunto con usted con mayor detalle".</w:t>
      </w:r>
    </w:p>
    <w:p w14:paraId="4C9D91B3" w14:textId="77777777" w:rsidR="00717AFE" w:rsidRDefault="006D328B">
      <w:pPr>
        <w:pStyle w:val="ListParagraph"/>
        <w:numPr>
          <w:ilvl w:val="2"/>
          <w:numId w:val="5"/>
        </w:numPr>
        <w:tabs>
          <w:tab w:val="left" w:pos="1439"/>
        </w:tabs>
        <w:ind w:left="1439" w:hanging="719"/>
        <w:rPr>
          <w:sz w:val="24"/>
        </w:rPr>
      </w:pPr>
      <w:r>
        <w:rPr>
          <w:sz w:val="24"/>
        </w:rPr>
        <w:t>"No tengo autorización para discutir ni revelar información privada".</w:t>
      </w:r>
    </w:p>
    <w:p w14:paraId="4C9D91B4" w14:textId="77777777" w:rsidR="00717AFE" w:rsidRDefault="006D328B">
      <w:pPr>
        <w:pStyle w:val="ListParagraph"/>
        <w:numPr>
          <w:ilvl w:val="1"/>
          <w:numId w:val="5"/>
        </w:numPr>
        <w:tabs>
          <w:tab w:val="left" w:pos="1079"/>
        </w:tabs>
        <w:spacing w:before="198"/>
        <w:ind w:left="1079" w:hanging="719"/>
        <w:rPr>
          <w:i/>
          <w:sz w:val="24"/>
        </w:rPr>
      </w:pPr>
      <w:bookmarkStart w:id="13" w:name="E._Proactive_Discussions_with_School_Att"/>
      <w:bookmarkEnd w:id="13"/>
      <w:r>
        <w:rPr>
          <w:i/>
          <w:sz w:val="24"/>
          <w:u w:val="single"/>
        </w:rPr>
        <w:t>Conversaciones proactivas con los abogados de la escuela</w:t>
      </w:r>
    </w:p>
    <w:p w14:paraId="4C9D91B5" w14:textId="77777777" w:rsidR="00717AFE" w:rsidRDefault="006D328B">
      <w:pPr>
        <w:pStyle w:val="BodyText"/>
        <w:spacing w:before="199" w:line="276" w:lineRule="auto"/>
        <w:ind w:right="810"/>
      </w:pPr>
      <w:r>
        <w:t>Cuando corresponda, la escuela y/o el distrito escolar deben consultar con sus abogados sobre la mejor y más rápida manera de comunicarse con ellos en caso de una emergencia, incluida la llegada de agentes de las fuerzas del orden a las instalaciones escolares. La escuela o el distrito escolar deben asegurarse de que las personas de contacto a nivel escolar y a nivel distrital cuenten con los medios necesarios para comunicarse con el abogado de inmediato, si es necesario. La escuela o el distrito escolar también podrían consultar con su abogado como parte del establecimiento de los procedimientos descritos en estas orientaciones.</w:t>
      </w:r>
    </w:p>
    <w:p w14:paraId="4C9D91B6" w14:textId="77777777" w:rsidR="00717AFE" w:rsidRDefault="006D328B">
      <w:pPr>
        <w:pStyle w:val="ListParagraph"/>
        <w:numPr>
          <w:ilvl w:val="1"/>
          <w:numId w:val="5"/>
        </w:numPr>
        <w:tabs>
          <w:tab w:val="left" w:pos="1079"/>
        </w:tabs>
        <w:spacing w:before="162"/>
        <w:ind w:left="1079" w:hanging="719"/>
        <w:rPr>
          <w:i/>
          <w:sz w:val="24"/>
        </w:rPr>
      </w:pPr>
      <w:bookmarkStart w:id="14" w:name="F._Review_of_Warrant"/>
      <w:bookmarkEnd w:id="14"/>
      <w:r>
        <w:rPr>
          <w:i/>
          <w:sz w:val="24"/>
          <w:u w:val="single"/>
        </w:rPr>
        <w:t>Revisión de órdenes judiciales</w:t>
      </w:r>
    </w:p>
    <w:p w14:paraId="4C9D91B7" w14:textId="2E541DA7" w:rsidR="00717AFE" w:rsidRDefault="006D328B">
      <w:pPr>
        <w:pStyle w:val="BodyText"/>
        <w:spacing w:before="199" w:line="276" w:lineRule="auto"/>
        <w:ind w:right="782"/>
      </w:pPr>
      <w:r>
        <w:t xml:space="preserve">Los procedimientos escritos deben incluir información sobre cómo identificar una </w:t>
      </w:r>
      <w:proofErr w:type="gramStart"/>
      <w:r>
        <w:t xml:space="preserve">orden judicial o una </w:t>
      </w:r>
      <w:r w:rsidR="007B2879">
        <w:t>resolución</w:t>
      </w:r>
      <w:r>
        <w:t xml:space="preserve"> judicial</w:t>
      </w:r>
      <w:proofErr w:type="gramEnd"/>
      <w:r>
        <w:t xml:space="preserve"> válida. Consulte el Apéndice A (Ejemplos de órdenes judiciales y órdenes administrativas), a continuación, para ver ejemplos de estas órdenes.</w:t>
      </w:r>
    </w:p>
    <w:p w14:paraId="4C9D91B8" w14:textId="6EE6DED4" w:rsidR="00717AFE" w:rsidRDefault="006D328B">
      <w:pPr>
        <w:pStyle w:val="BodyText"/>
        <w:spacing w:before="162" w:line="276" w:lineRule="auto"/>
        <w:ind w:right="757"/>
      </w:pPr>
      <w:r>
        <w:t>Las órdenes</w:t>
      </w:r>
      <w:r w:rsidR="007B2879">
        <w:t xml:space="preserve"> y resoluciones</w:t>
      </w:r>
      <w:r>
        <w:t xml:space="preserve"> judiciales son documentos emitidos por un juez o magistrado que ejerce sus funciones en el poder judicial del gobierno estatal o federal. Estos documentos autorizan el registro de un lugar específico o el arresto de una persona determinada, con base en información suficiente que respalde la existencia de causa probable de que se ha cometido un </w:t>
      </w:r>
      <w:r>
        <w:lastRenderedPageBreak/>
        <w:t xml:space="preserve">delito. Tenga en cuenta que otras órdenes judiciales pueden incluir citaciones o convocatorias, </w:t>
      </w:r>
      <w:r w:rsidR="00660EE5">
        <w:t>p</w:t>
      </w:r>
      <w:r>
        <w:t>ero no permiten el acceso físico a lugares no públicos.</w:t>
      </w:r>
    </w:p>
    <w:p w14:paraId="4C9D91BA" w14:textId="2CD3148B" w:rsidR="00717AFE" w:rsidRDefault="006D328B">
      <w:pPr>
        <w:pStyle w:val="BodyText"/>
        <w:spacing w:before="79" w:line="276" w:lineRule="auto"/>
        <w:ind w:right="876"/>
        <w:jc w:val="both"/>
      </w:pPr>
      <w:r>
        <w:t>Una orden judicia</w:t>
      </w:r>
      <w:r w:rsidR="007B2879">
        <w:t>l</w:t>
      </w:r>
      <w:r>
        <w:t>: (1) está firmada por un juez, magistrado o secretario judicial adjunto y fechada; (2) es emitida por un tribunal; y (3) incluye el lugar que se va a registrar o las personas o artículos que se van a incautar o detener.</w:t>
      </w:r>
    </w:p>
    <w:p w14:paraId="4C9D91BB" w14:textId="708B8695" w:rsidR="00717AFE" w:rsidRDefault="006D328B" w:rsidP="007B2879">
      <w:pPr>
        <w:pStyle w:val="BodyText"/>
        <w:spacing w:before="159"/>
        <w:ind w:left="720" w:right="630" w:firstLine="0"/>
      </w:pPr>
      <w:r>
        <w:t xml:space="preserve">Una </w:t>
      </w:r>
      <w:r w:rsidR="007B2879">
        <w:t xml:space="preserve">resolución </w:t>
      </w:r>
      <w:r>
        <w:t xml:space="preserve">judicial puede adoptar diversas formas, pero debe incluir: (1) el título </w:t>
      </w:r>
      <w:r w:rsidR="007B2879">
        <w:t xml:space="preserve">del </w:t>
      </w:r>
    </w:p>
    <w:p w14:paraId="4C9D91BC" w14:textId="33B6FEF6" w:rsidR="00717AFE" w:rsidRDefault="007B2879">
      <w:pPr>
        <w:pStyle w:val="BodyText"/>
        <w:spacing w:before="43" w:line="276" w:lineRule="auto"/>
        <w:ind w:right="757" w:firstLine="0"/>
      </w:pPr>
      <w:r>
        <w:t xml:space="preserve">expediente judicial; </w:t>
      </w:r>
      <w:r w:rsidR="006D328B">
        <w:t>(2) el nombre del tribunal; y (3) la firma de un juez, secretario judicial o secretario judicial adjunto, con la fecha.</w:t>
      </w:r>
    </w:p>
    <w:p w14:paraId="4C9D91BD" w14:textId="1BF9AB02" w:rsidR="00717AFE" w:rsidRDefault="006D328B">
      <w:pPr>
        <w:pStyle w:val="BodyText"/>
        <w:spacing w:before="160" w:line="276" w:lineRule="auto"/>
        <w:ind w:right="748"/>
      </w:pPr>
      <w:r>
        <w:t>Como se indicó anteriormente en la Sección III(C) (Protocolo de escalamiento), si se presentan en las instalaciones agentes de las fuerzas del orden que participan en actividades de aplicación de la ley civil, los empleados o el personal deben comunicarse con la persona de contacto a nivel escolar, quien, a su vez, se comunicará con la persona de contacto a nivel distrital y se dirigirá al lugar donde esperan los agentes. (Los procedimientos escolares deben indicar que, en este momento, tanto la persona de contacto a nivel escolar como la persona de contacto a nivel distrital deben llamar al abogado de la escuela). Una vez que la persona de contacto a nivel escolar se reúna con los agentes y les pida ver cualquier orden</w:t>
      </w:r>
      <w:r w:rsidR="007B2879">
        <w:t>, resolución</w:t>
      </w:r>
      <w:r>
        <w:t xml:space="preserve"> judicial u otro documento, debe describir esos documentos por teléfono al abogado de la escuela, quien evaluará los documentos y asesorará a la persona de contacto a nivel escolar sobre su validez. Si la persona de contacto a nivel escolar se siente segura al hacerlo, puede preguntarle al agente si puede enviar una fotografía de la orden judicial u otro documento al abogado de la escuela, o mostrarle la orden al abogado mediante una videollamada. Si la escuela no tiene acceso a un abogado o no puede comunicarse con él, la persona de contacto a nivel escolar, en consulta con la persona de contacto a nivel distrital, si la hay, debe utilizar estas orientaciones y el Apéndice A para determinar si los agentes cuentan con una </w:t>
      </w:r>
      <w:proofErr w:type="gramStart"/>
      <w:r>
        <w:t xml:space="preserve">orden judicial o una </w:t>
      </w:r>
      <w:r w:rsidR="007B2879">
        <w:t xml:space="preserve">resolución </w:t>
      </w:r>
      <w:r>
        <w:t>judicial</w:t>
      </w:r>
      <w:proofErr w:type="gramEnd"/>
      <w:r>
        <w:t xml:space="preserve"> válida. Véase el Apéndice A (Ejemplos de órdenes judiciales y órdenes administrativas).</w:t>
      </w:r>
    </w:p>
    <w:p w14:paraId="4C9D91BE" w14:textId="77777777" w:rsidR="00717AFE" w:rsidRDefault="006D328B">
      <w:pPr>
        <w:pStyle w:val="ListParagraph"/>
        <w:numPr>
          <w:ilvl w:val="1"/>
          <w:numId w:val="5"/>
        </w:numPr>
        <w:tabs>
          <w:tab w:val="left" w:pos="1079"/>
        </w:tabs>
        <w:spacing w:before="159"/>
        <w:ind w:left="1079" w:hanging="719"/>
        <w:rPr>
          <w:i/>
          <w:sz w:val="24"/>
        </w:rPr>
      </w:pPr>
      <w:bookmarkStart w:id="15" w:name="G._Documentation_of_Interactions*"/>
      <w:bookmarkEnd w:id="15"/>
      <w:r>
        <w:rPr>
          <w:i/>
          <w:sz w:val="24"/>
          <w:u w:val="single"/>
        </w:rPr>
        <w:t>Documentación de las interacciones*</w:t>
      </w:r>
    </w:p>
    <w:p w14:paraId="4C9D91BF" w14:textId="77777777" w:rsidR="00717AFE" w:rsidRDefault="006D328B">
      <w:pPr>
        <w:pStyle w:val="BodyText"/>
        <w:spacing w:before="202" w:line="276" w:lineRule="auto"/>
        <w:ind w:right="782"/>
      </w:pPr>
      <w:r>
        <w:t>En virtud de la Ley PROTECT, las escuelas deben incluir en sus procedimientos escritos instrucciones para documentar las interacciones con los agentes de las fuerzas del orden que participen en actividades de aplicación de la ley civil. Se recomienda a los empleados, al personal, a los administradores y a las personas de contacto designadas que esperen hasta que se sientan seguros para anotar lo sucedido. Esto puede hacerse después de que los agentes hayan abandonado las instalaciones escolares. Las escuelas deben utilizar un formulario ya existente o crear uno nuevo para registrar las interacciones con los agentes y conservar esos registros como lo harían con cualquier otro registro escolar, en el curso normal de las actividades.</w:t>
      </w:r>
    </w:p>
    <w:p w14:paraId="4C9D91C0" w14:textId="77777777" w:rsidR="00717AFE" w:rsidRDefault="006D328B">
      <w:pPr>
        <w:pStyle w:val="BodyText"/>
        <w:spacing w:before="159" w:line="276" w:lineRule="auto"/>
        <w:ind w:right="816"/>
      </w:pPr>
      <w:r>
        <w:t>De acuerdo con el protocolo de escalamiento recomendado anteriormente, los empleados, el personal, los administradores y las personas de contacto designadas pueden interactuar con los agentes de diferentes maneras y en distintos momentos. Se debe recomendar a todos que anoten lo que recuerden del incidente, incluidos, entre otros, los siguientes datos:</w:t>
      </w:r>
    </w:p>
    <w:p w14:paraId="4C9D91C1" w14:textId="77777777" w:rsidR="00717AFE" w:rsidRDefault="006D328B">
      <w:pPr>
        <w:pStyle w:val="ListParagraph"/>
        <w:numPr>
          <w:ilvl w:val="0"/>
          <w:numId w:val="4"/>
        </w:numPr>
        <w:tabs>
          <w:tab w:val="left" w:pos="1531"/>
        </w:tabs>
        <w:spacing w:before="163" w:line="271" w:lineRule="auto"/>
        <w:ind w:right="767"/>
        <w:rPr>
          <w:sz w:val="24"/>
        </w:rPr>
      </w:pPr>
      <w:r>
        <w:rPr>
          <w:sz w:val="24"/>
        </w:rPr>
        <w:lastRenderedPageBreak/>
        <w:t>la fecha y la hora en que los agentes de las fuerzas del orden llegaron a las instalaciones escolares o realizaron la solicitud de información;</w:t>
      </w:r>
    </w:p>
    <w:p w14:paraId="4C9D91C2" w14:textId="77777777" w:rsidR="00717AFE" w:rsidRDefault="006D328B">
      <w:pPr>
        <w:pStyle w:val="ListParagraph"/>
        <w:numPr>
          <w:ilvl w:val="0"/>
          <w:numId w:val="4"/>
        </w:numPr>
        <w:tabs>
          <w:tab w:val="left" w:pos="1531"/>
        </w:tabs>
        <w:spacing w:before="9"/>
        <w:ind w:hanging="811"/>
        <w:rPr>
          <w:sz w:val="24"/>
        </w:rPr>
      </w:pPr>
      <w:r>
        <w:rPr>
          <w:sz w:val="24"/>
        </w:rPr>
        <w:t>los nombres y números de placa de los agentes, así como la institución a la que representaban;</w:t>
      </w:r>
    </w:p>
    <w:p w14:paraId="4C9D91C3" w14:textId="77777777" w:rsidR="00717AFE" w:rsidRDefault="006D328B">
      <w:pPr>
        <w:pStyle w:val="ListParagraph"/>
        <w:numPr>
          <w:ilvl w:val="0"/>
          <w:numId w:val="4"/>
        </w:numPr>
        <w:tabs>
          <w:tab w:val="left" w:pos="1531"/>
        </w:tabs>
        <w:spacing w:before="39"/>
        <w:ind w:hanging="811"/>
        <w:rPr>
          <w:sz w:val="24"/>
        </w:rPr>
      </w:pPr>
      <w:r>
        <w:rPr>
          <w:sz w:val="24"/>
        </w:rPr>
        <w:t>el número de vehículos y los números de matrícula, si eran visibles;</w:t>
      </w:r>
    </w:p>
    <w:p w14:paraId="4C9D91C5" w14:textId="77777777" w:rsidR="00717AFE" w:rsidRDefault="006D328B">
      <w:pPr>
        <w:pStyle w:val="ListParagraph"/>
        <w:numPr>
          <w:ilvl w:val="0"/>
          <w:numId w:val="4"/>
        </w:numPr>
        <w:tabs>
          <w:tab w:val="left" w:pos="1531"/>
        </w:tabs>
        <w:spacing w:before="81"/>
        <w:ind w:hanging="811"/>
        <w:rPr>
          <w:sz w:val="24"/>
        </w:rPr>
      </w:pPr>
      <w:r>
        <w:rPr>
          <w:sz w:val="24"/>
        </w:rPr>
        <w:t>los nombres de los testigos, estudiantes u otros miembros del personal involucrados;</w:t>
      </w:r>
    </w:p>
    <w:p w14:paraId="4C9D91C6" w14:textId="77777777" w:rsidR="00717AFE" w:rsidRDefault="006D328B">
      <w:pPr>
        <w:pStyle w:val="ListParagraph"/>
        <w:numPr>
          <w:ilvl w:val="0"/>
          <w:numId w:val="4"/>
        </w:numPr>
        <w:tabs>
          <w:tab w:val="left" w:pos="1531"/>
        </w:tabs>
        <w:spacing w:before="39" w:line="273" w:lineRule="auto"/>
        <w:ind w:right="1091"/>
        <w:rPr>
          <w:sz w:val="24"/>
        </w:rPr>
      </w:pPr>
      <w:r>
        <w:rPr>
          <w:sz w:val="24"/>
        </w:rPr>
        <w:t>las medidas tomadas para notificar a la persona de contacto a nivel escolar, a la persona de contacto a nivel distrital o al abogado de la escuela, según corresponda;</w:t>
      </w:r>
    </w:p>
    <w:p w14:paraId="4C9D91C7" w14:textId="77777777" w:rsidR="00717AFE" w:rsidRDefault="006D328B">
      <w:pPr>
        <w:pStyle w:val="ListParagraph"/>
        <w:numPr>
          <w:ilvl w:val="0"/>
          <w:numId w:val="4"/>
        </w:numPr>
        <w:tabs>
          <w:tab w:val="left" w:pos="1531"/>
        </w:tabs>
        <w:spacing w:before="3" w:line="271" w:lineRule="auto"/>
        <w:ind w:right="1366"/>
        <w:rPr>
          <w:sz w:val="24"/>
        </w:rPr>
      </w:pPr>
      <w:r>
        <w:rPr>
          <w:sz w:val="24"/>
        </w:rPr>
        <w:t>las acciones de los agentes, incluido si cumplieron con las instrucciones de la escuela;</w:t>
      </w:r>
    </w:p>
    <w:p w14:paraId="4C9D91C8" w14:textId="2CB46D77" w:rsidR="00717AFE" w:rsidRDefault="006D328B">
      <w:pPr>
        <w:pStyle w:val="ListParagraph"/>
        <w:numPr>
          <w:ilvl w:val="0"/>
          <w:numId w:val="4"/>
        </w:numPr>
        <w:tabs>
          <w:tab w:val="left" w:pos="1531"/>
        </w:tabs>
        <w:spacing w:before="9" w:line="271" w:lineRule="auto"/>
        <w:ind w:right="1106"/>
        <w:rPr>
          <w:sz w:val="24"/>
        </w:rPr>
      </w:pPr>
      <w:r>
        <w:rPr>
          <w:sz w:val="24"/>
        </w:rPr>
        <w:t xml:space="preserve">si los agentes contaban con una </w:t>
      </w:r>
      <w:proofErr w:type="gramStart"/>
      <w:r>
        <w:rPr>
          <w:sz w:val="24"/>
        </w:rPr>
        <w:t xml:space="preserve">orden judicial o una </w:t>
      </w:r>
      <w:r w:rsidR="007B2879">
        <w:t xml:space="preserve">resolución </w:t>
      </w:r>
      <w:r>
        <w:rPr>
          <w:sz w:val="24"/>
        </w:rPr>
        <w:t>judicial</w:t>
      </w:r>
      <w:proofErr w:type="gramEnd"/>
      <w:r>
        <w:rPr>
          <w:sz w:val="24"/>
        </w:rPr>
        <w:t xml:space="preserve"> válida u otra documentación;</w:t>
      </w:r>
    </w:p>
    <w:p w14:paraId="4C9D91C9" w14:textId="77777777" w:rsidR="00717AFE" w:rsidRDefault="006D328B">
      <w:pPr>
        <w:pStyle w:val="ListParagraph"/>
        <w:numPr>
          <w:ilvl w:val="0"/>
          <w:numId w:val="4"/>
        </w:numPr>
        <w:tabs>
          <w:tab w:val="left" w:pos="1531"/>
        </w:tabs>
        <w:spacing w:before="6"/>
        <w:ind w:hanging="811"/>
        <w:rPr>
          <w:sz w:val="24"/>
        </w:rPr>
      </w:pPr>
      <w:r>
        <w:rPr>
          <w:sz w:val="24"/>
        </w:rPr>
        <w:t>si se realizó un arresto civil en las instalaciones escolares; y</w:t>
      </w:r>
    </w:p>
    <w:p w14:paraId="4C9D91CA" w14:textId="77777777" w:rsidR="00717AFE" w:rsidRDefault="006D328B">
      <w:pPr>
        <w:pStyle w:val="ListParagraph"/>
        <w:numPr>
          <w:ilvl w:val="0"/>
          <w:numId w:val="4"/>
        </w:numPr>
        <w:tabs>
          <w:tab w:val="left" w:pos="1531"/>
        </w:tabs>
        <w:spacing w:before="42" w:line="271" w:lineRule="auto"/>
        <w:ind w:right="1201"/>
        <w:rPr>
          <w:sz w:val="24"/>
        </w:rPr>
      </w:pPr>
      <w:r>
        <w:rPr>
          <w:sz w:val="24"/>
        </w:rPr>
        <w:t>el impacto en cualquier estudiante, niño, empleado o miembro del personal, una vez que se hayan resuelto los problemas inmediatos, así como cualquier medida de seguimiento necesaria para brindarles apoyo.</w:t>
      </w:r>
    </w:p>
    <w:p w14:paraId="4C9D91CB" w14:textId="77777777" w:rsidR="00717AFE" w:rsidRDefault="006D328B">
      <w:pPr>
        <w:pStyle w:val="BodyText"/>
        <w:spacing w:before="165" w:line="276" w:lineRule="auto"/>
        <w:ind w:right="841" w:firstLine="0"/>
      </w:pPr>
      <w:r w:rsidRPr="00660EE5">
        <w:rPr>
          <w:i/>
          <w:iCs/>
        </w:rPr>
        <w:t>Consulte</w:t>
      </w:r>
      <w:r>
        <w:t xml:space="preserve"> los procedimientos modelo del DESE para obtener un modelo de aviso destinado a registrar las interacciones con agentes de las fuerzas del orden que participen en actividades de aplicación de la ley civil.</w:t>
      </w:r>
    </w:p>
    <w:p w14:paraId="4C9D91CC" w14:textId="77777777" w:rsidR="00717AFE" w:rsidRDefault="006D328B">
      <w:pPr>
        <w:pStyle w:val="BodyText"/>
        <w:spacing w:before="160" w:line="278" w:lineRule="auto"/>
        <w:ind w:right="757"/>
      </w:pPr>
      <w:r>
        <w:t>Los testigos, incluidos los empleados y el personal, pueden grabar en video la interacción de manera abierta (no en secreto), pero no deben interferir.</w:t>
      </w:r>
    </w:p>
    <w:p w14:paraId="4C9D91CD" w14:textId="1C29E3F9" w:rsidR="00717AFE" w:rsidRDefault="00FB6418">
      <w:pPr>
        <w:pStyle w:val="ListParagraph"/>
        <w:numPr>
          <w:ilvl w:val="1"/>
          <w:numId w:val="5"/>
        </w:numPr>
        <w:tabs>
          <w:tab w:val="left" w:pos="1079"/>
        </w:tabs>
        <w:spacing w:before="154"/>
        <w:ind w:left="1079" w:hanging="719"/>
        <w:rPr>
          <w:i/>
          <w:sz w:val="24"/>
        </w:rPr>
      </w:pPr>
      <w:bookmarkStart w:id="16" w:name="H._School_Resource_Officers"/>
      <w:bookmarkEnd w:id="16"/>
      <w:r>
        <w:rPr>
          <w:i/>
          <w:sz w:val="24"/>
          <w:u w:val="single"/>
        </w:rPr>
        <w:t>Agentes de seguridad escolar</w:t>
      </w:r>
    </w:p>
    <w:p w14:paraId="4C9D91CF" w14:textId="66092953" w:rsidR="00717AFE" w:rsidRDefault="006D328B" w:rsidP="007B2879">
      <w:pPr>
        <w:pStyle w:val="BodyText"/>
        <w:spacing w:before="202" w:line="276" w:lineRule="auto"/>
        <w:ind w:right="728"/>
      </w:pPr>
      <w:r>
        <w:t>Los distritos escolares que cuenten con agentes de seguridad escolar (SRO, por sus siglas en inglés) deben asegurarse de contar con un Memorando de Entendimiento (MOU, por sus siglas en inglés) para los SRO que cumpla con el modelo obligatorio</w:t>
      </w:r>
      <w:hyperlink r:id="rId11">
        <w:r>
          <w:rPr>
            <w:color w:val="467885"/>
            <w:u w:val="single" w:color="467885"/>
          </w:rPr>
          <w:t xml:space="preserve"> a nivel estatal</w:t>
        </w:r>
        <w:r>
          <w:t>.</w:t>
        </w:r>
      </w:hyperlink>
      <w:r>
        <w:t xml:space="preserve"> Se recomienda a los distritos que distribuyan este MOU entre los administradores escolares y el personal de seguridad escolar. Según la ley estatal, el SRO no deberá (i) actuar como responsable de la disciplina escolar, encargado de hacer cumplir las normas escolares ni sustituir a psicólogos, psiquiatras o consejeros escolares con licencia; ni</w:t>
      </w:r>
      <w:r w:rsidR="007B2879">
        <w:t xml:space="preserve"> </w:t>
      </w:r>
      <w:r>
        <w:t>(</w:t>
      </w:r>
      <w:proofErr w:type="spellStart"/>
      <w:r>
        <w:t>ii</w:t>
      </w:r>
      <w:proofErr w:type="spellEnd"/>
      <w:r>
        <w:t>) hacer uso de facultades policiales para abordar cuestiones disciplinarias escolares tradicionales, incluido el comportamiento disruptivo no violento. De acuerdo con el modelo de MOU, "puede ser apropiado que los administradores escolares, en lugar de los SRO, se ocupen de las infracciones de menor gravedad, incluidas, entre otras, las denuncias de delitos menores como amenazas, agresión y lesiones, hurto, recepción de bienes robados y destrucción o daño intencional, malicioso o temerario de bienes personales." En los casos que requieran la intervención del tribunal de menores, la citación es el método preferido para llevar a los menores ante el tribunal, en lugar de arrestarlos en las instalaciones escolares, a menos que existan motivos para creer que el menor no se presentará después de recibir la citación.</w:t>
      </w:r>
    </w:p>
    <w:p w14:paraId="4C9D91D0" w14:textId="77777777" w:rsidR="00717AFE" w:rsidRDefault="006D328B">
      <w:pPr>
        <w:pStyle w:val="BodyText"/>
        <w:spacing w:before="158" w:line="276" w:lineRule="auto"/>
        <w:ind w:left="-1" w:right="724"/>
      </w:pPr>
      <w:r>
        <w:lastRenderedPageBreak/>
        <w:t>De acuerdo con el modelo de MOU para los SRO, el personal del distrito escolar y los SRO no revelarán a ningún oficial o agencia de las fuerzas del orden, incluidas las autoridades locales, municipales, regionales, del condado, estatales y federales, ninguna información relacionada con un estudiante o un miembro de su familia que provenga de sus bases de datos y otros sistemas de registro, incluyendo: (i) estatus migratorio; (</w:t>
      </w:r>
      <w:proofErr w:type="spellStart"/>
      <w:r>
        <w:t>ii</w:t>
      </w:r>
      <w:proofErr w:type="spellEnd"/>
      <w:r>
        <w:t>) ciudadanía; (</w:t>
      </w:r>
      <w:proofErr w:type="spellStart"/>
      <w:r>
        <w:t>iii</w:t>
      </w:r>
      <w:proofErr w:type="spellEnd"/>
      <w:r>
        <w:t>) barrio de residencia; (</w:t>
      </w:r>
      <w:proofErr w:type="spellStart"/>
      <w:r>
        <w:t>iv</w:t>
      </w:r>
      <w:proofErr w:type="spellEnd"/>
      <w:r>
        <w:t>) religión; (v) origen nacional; (vi) origen étnico; o (</w:t>
      </w:r>
      <w:proofErr w:type="spellStart"/>
      <w:r>
        <w:t>vii</w:t>
      </w:r>
      <w:proofErr w:type="spellEnd"/>
      <w:r>
        <w:t>) afiliación a pandillas sospechada, presunta o confirmada, a menos que sea pertinente a un incidente ilegal específico o a una posibilidad concreta de actividad ilegal que la escuela esté obligada a reportar de otro modo. Se alienta a las escuelas a compartir con sus SRO que prestan servicio en el plantel cualquier política o procedimiento nuevo o actualizado que adopten de conformidad con la Ley PROTECT, así como las políticas relacionadas con la privacidad de los estudiantes.</w:t>
      </w:r>
    </w:p>
    <w:p w14:paraId="4C9D91D2" w14:textId="77777777" w:rsidR="00717AFE" w:rsidRDefault="006D328B">
      <w:pPr>
        <w:pStyle w:val="ListParagraph"/>
        <w:numPr>
          <w:ilvl w:val="0"/>
          <w:numId w:val="3"/>
        </w:numPr>
        <w:tabs>
          <w:tab w:val="left" w:pos="1079"/>
        </w:tabs>
        <w:spacing w:before="79"/>
        <w:ind w:left="1079" w:hanging="719"/>
        <w:rPr>
          <w:i/>
          <w:sz w:val="24"/>
        </w:rPr>
      </w:pPr>
      <w:bookmarkStart w:id="17" w:name="I._Parental_Notice"/>
      <w:bookmarkEnd w:id="17"/>
      <w:r>
        <w:rPr>
          <w:i/>
          <w:sz w:val="24"/>
          <w:u w:val="single"/>
        </w:rPr>
        <w:t>Aviso a los padres</w:t>
      </w:r>
    </w:p>
    <w:p w14:paraId="58170639" w14:textId="3DE29231" w:rsidR="007B2879" w:rsidRDefault="006D328B" w:rsidP="00FB6418">
      <w:pPr>
        <w:pStyle w:val="ListParagraph"/>
        <w:numPr>
          <w:ilvl w:val="1"/>
          <w:numId w:val="3"/>
        </w:numPr>
        <w:tabs>
          <w:tab w:val="left" w:pos="1439"/>
        </w:tabs>
        <w:spacing w:before="77"/>
        <w:ind w:left="719" w:right="360" w:firstLine="0"/>
        <w:rPr>
          <w:sz w:val="24"/>
        </w:rPr>
      </w:pPr>
      <w:bookmarkStart w:id="18" w:name="1._Notice_to_School_Community_of_the_Pre"/>
      <w:bookmarkEnd w:id="18"/>
      <w:r>
        <w:rPr>
          <w:sz w:val="24"/>
        </w:rPr>
        <w:t xml:space="preserve">Aviso a la comunidad escolar sobre la presencia de agentes de </w:t>
      </w:r>
      <w:r w:rsidR="00FB6418">
        <w:rPr>
          <w:sz w:val="24"/>
        </w:rPr>
        <w:t>las fuerzas del orden</w:t>
      </w:r>
      <w:r>
        <w:rPr>
          <w:sz w:val="24"/>
        </w:rPr>
        <w:t xml:space="preserve">* </w:t>
      </w:r>
    </w:p>
    <w:p w14:paraId="4C9D91D4" w14:textId="61006C24" w:rsidR="00717AFE" w:rsidRPr="007B2879" w:rsidRDefault="006D328B" w:rsidP="007B2879">
      <w:pPr>
        <w:pStyle w:val="ListParagraph"/>
        <w:tabs>
          <w:tab w:val="left" w:pos="1439"/>
        </w:tabs>
        <w:spacing w:before="77" w:line="276" w:lineRule="auto"/>
        <w:ind w:left="0" w:right="630" w:firstLine="720"/>
        <w:rPr>
          <w:sz w:val="24"/>
          <w:szCs w:val="24"/>
        </w:rPr>
      </w:pPr>
      <w:r>
        <w:rPr>
          <w:sz w:val="24"/>
        </w:rPr>
        <w:t xml:space="preserve">Cuando una escuela confirme la presencia de agentes de las fuerzas del orden que estén desempeñando funciones de aplicación de la ley civil en las instalaciones escolares, la escuela debe notificar a los padres y encargados </w:t>
      </w:r>
      <w:r w:rsidRPr="007B2879">
        <w:rPr>
          <w:sz w:val="24"/>
          <w:szCs w:val="24"/>
        </w:rPr>
        <w:t>legales de los estudiantes, así como a los maestros, administradores y demás personal escolar.</w:t>
      </w:r>
      <w:r w:rsidR="007B2879" w:rsidRPr="007B2879">
        <w:rPr>
          <w:sz w:val="24"/>
          <w:szCs w:val="24"/>
        </w:rPr>
        <w:t xml:space="preserve"> </w:t>
      </w:r>
      <w:r w:rsidRPr="007B2879">
        <w:rPr>
          <w:sz w:val="24"/>
          <w:szCs w:val="24"/>
        </w:rPr>
        <w:t>La escuela debe proporcionar este aviso de manera que se garantice la confidencialidad y privacidad de cualquier información que pueda identificar a una persona. Consulte los procedimientos modelo del DESE para obtener un modelo de aviso.</w:t>
      </w:r>
    </w:p>
    <w:p w14:paraId="4C9D91D5" w14:textId="77777777" w:rsidR="00717AFE" w:rsidRDefault="006D328B">
      <w:pPr>
        <w:pStyle w:val="ListParagraph"/>
        <w:numPr>
          <w:ilvl w:val="1"/>
          <w:numId w:val="3"/>
        </w:numPr>
        <w:tabs>
          <w:tab w:val="left" w:pos="1439"/>
        </w:tabs>
        <w:spacing w:before="158" w:line="278" w:lineRule="auto"/>
        <w:ind w:left="1439" w:right="875"/>
        <w:rPr>
          <w:sz w:val="24"/>
        </w:rPr>
      </w:pPr>
      <w:bookmarkStart w:id="19" w:name="2._Individualized_Notice_to_Parents_When"/>
      <w:bookmarkEnd w:id="19"/>
      <w:r>
        <w:rPr>
          <w:sz w:val="24"/>
        </w:rPr>
        <w:t>Aviso individualizado a los padres cuando los agentes de las fuerzas del orden buscan a un estudiante en particular o información sobre ese estudiante</w:t>
      </w:r>
    </w:p>
    <w:p w14:paraId="4C9D91D6" w14:textId="77777777" w:rsidR="00717AFE" w:rsidRDefault="006D328B">
      <w:pPr>
        <w:pStyle w:val="BodyText"/>
        <w:spacing w:before="79" w:line="276" w:lineRule="auto"/>
        <w:ind w:left="-1" w:right="816"/>
      </w:pPr>
      <w:r>
        <w:t>Si los agentes de las fuerzas del orden intentan localizar a un menor o solicitan información sobre él, los empleados o miembros del personal deben comunicarse con la(s) persona(s) de contacto a nivel escolar y, a continuación, informar de inmediato a los padres o al encargado legal del menor. Si el estudiante tiene 18 años o más o está emancipado, los empleados o miembros del personal deben notificarle directamente, además de notificar a la persona de contacto a nivel escolar. Se recomienda a las escuelas que designen a un empleado o miembro del personal responsable de notificar a las familias o a los estudiantes como parte de su protocolo de escalamiento. Consulte los procedimientos modelo del DESE para obtener una plantilla de aviso.</w:t>
      </w:r>
    </w:p>
    <w:p w14:paraId="4C9D91D7" w14:textId="77777777" w:rsidR="00717AFE" w:rsidRDefault="006D328B">
      <w:pPr>
        <w:pStyle w:val="ListParagraph"/>
        <w:numPr>
          <w:ilvl w:val="0"/>
          <w:numId w:val="2"/>
        </w:numPr>
        <w:tabs>
          <w:tab w:val="left" w:pos="1079"/>
        </w:tabs>
        <w:spacing w:before="159"/>
        <w:ind w:left="1079"/>
        <w:rPr>
          <w:i/>
          <w:sz w:val="24"/>
        </w:rPr>
      </w:pPr>
      <w:bookmarkStart w:id="20" w:name="J._Protection_of_Personally_Identifiable"/>
      <w:bookmarkEnd w:id="20"/>
      <w:r>
        <w:rPr>
          <w:i/>
          <w:sz w:val="24"/>
          <w:u w:val="single"/>
        </w:rPr>
        <w:t>Protección de la información de identificación personal</w:t>
      </w:r>
    </w:p>
    <w:p w14:paraId="4C9D91D8" w14:textId="41E6F5D6" w:rsidR="00717AFE" w:rsidRDefault="006D328B">
      <w:pPr>
        <w:pStyle w:val="BodyText"/>
        <w:spacing w:before="202" w:line="276" w:lineRule="auto"/>
        <w:ind w:left="-1" w:right="757"/>
      </w:pPr>
      <w:r>
        <w:t xml:space="preserve">Las escuelas no pueden divulgar a terceros, incluidos los agentes de las fuerzas del orden y los medios de comunicación, información de identificación personal sobre un estudiante o un niño bajo su cuidado, ya sea de manera oral o por escrito, a menos que: la escuela cuente con el consentimiento informado específico de los padres o del encargado legal del estudiante/niño (o del propio estudiante si tiene al menos 18 años o está emancipado); la divulgación se realice en virtud de una orden judicial, una </w:t>
      </w:r>
      <w:r w:rsidR="00FB6418">
        <w:t xml:space="preserve">resolución </w:t>
      </w:r>
      <w:r>
        <w:t xml:space="preserve">judicial o una citación; o exista una emergencia de salud o seguridad, según corresponda. En general, las escuelas también deben respetar las preferencias y preocupaciones de los padres o encargados legales de un estudiante (o del propio </w:t>
      </w:r>
      <w:r>
        <w:lastRenderedPageBreak/>
        <w:t>estudiante si tiene más de 18 años o está emancipado) en materia de privacidad al responder a consultas de los medios de comunicación y, en la medida en que sea compatible con la ley, durante interacciones con agentes de las fuerzas del orden que puedan involucrar a los estudiantes.</w:t>
      </w:r>
    </w:p>
    <w:p w14:paraId="4C9D91D9" w14:textId="77777777" w:rsidR="00717AFE" w:rsidRDefault="006D328B">
      <w:pPr>
        <w:pStyle w:val="BodyText"/>
        <w:spacing w:before="161" w:line="276" w:lineRule="auto"/>
        <w:ind w:left="-1" w:right="737"/>
      </w:pPr>
      <w:r>
        <w:t>Las escuelas deben permitir que los padres o encargados legales (o los propios estudiantes si tienen al menos 18 años o están emancipados) opten por no incluir su información en el directorio. También pueden limitar qué información se incluye en el directorio, por ejemplo, excluyendo la dirección y el lugar de nacimiento del niño o estudiante, y restringir su divulgación a la comunidad escolar. Según la ley federal, las escuelas están obligadas a notificar a los estudiantes y a sus familias, al menos una vez al año, qué información se incluye en el directorio y a permitir que los padres o encargados legales opten por no incluir determinada información en el directorio en cualquier momento. Las escuelas deben comunicar esta información mediante servicios de traducción o interpretación a los padres o encargados legales con dominio limitado del inglés.</w:t>
      </w:r>
    </w:p>
    <w:p w14:paraId="4C9D91DA" w14:textId="77777777" w:rsidR="00717AFE" w:rsidRDefault="006D328B">
      <w:pPr>
        <w:pStyle w:val="BodyText"/>
        <w:spacing w:before="158" w:line="276" w:lineRule="auto"/>
        <w:ind w:left="-1" w:right="630"/>
      </w:pPr>
      <w:r>
        <w:t>En caso de que los agentes de las fuerzas del orden soliciten información confidencial sobre un miembro del personal escolar, la escuela debe remitirlos a su departamento de recursos humanos, el cual deberá seguir los protocolos estándar.</w:t>
      </w:r>
    </w:p>
    <w:p w14:paraId="4C9D91DC" w14:textId="77777777" w:rsidR="00717AFE" w:rsidRDefault="006D328B">
      <w:pPr>
        <w:pStyle w:val="ListParagraph"/>
        <w:numPr>
          <w:ilvl w:val="0"/>
          <w:numId w:val="2"/>
        </w:numPr>
        <w:tabs>
          <w:tab w:val="left" w:pos="1079"/>
        </w:tabs>
        <w:spacing w:before="79"/>
        <w:ind w:left="1079" w:hanging="719"/>
        <w:rPr>
          <w:i/>
          <w:sz w:val="24"/>
        </w:rPr>
      </w:pPr>
      <w:bookmarkStart w:id="21" w:name="K._Caregiver_Plans_and_Contact_Informati"/>
      <w:bookmarkEnd w:id="21"/>
      <w:r>
        <w:rPr>
          <w:i/>
          <w:sz w:val="24"/>
          <w:u w:val="single"/>
        </w:rPr>
        <w:t>Planes para los cuidadores e información de contacto</w:t>
      </w:r>
    </w:p>
    <w:p w14:paraId="4C9D91DD" w14:textId="77777777" w:rsidR="00717AFE" w:rsidRDefault="006D328B">
      <w:pPr>
        <w:pStyle w:val="BodyText"/>
        <w:spacing w:before="201" w:line="276" w:lineRule="auto"/>
        <w:ind w:left="-1" w:right="757"/>
      </w:pPr>
      <w:r>
        <w:t>Se recomienda a las escuelas que establezcan protocolos claros para responder en caso de que un niño o estudiante, o su padre o encargado legal, sea detenido por agentes de las fuerzas del orden. En virtud de la Ley PROTECT, se espera que las escuelas elaboren un plan para garantizar que la información de contacto de emergencia, los datos de contacto de cuidadores alternativos y los datos de contacto de las personas autorizadas para recoger a los alumnos estén actualizados para todos los estudiantes y niños. Como parte de esta revisión, las escuelas deben permitir que los padres o encargados legales indiquen a más de una persona como contacto de emergencia. También se recomienda a las escuelas que mantengan en sus archivos toda la documentación pertinente, como una autorización para otro cuidador, representante temporal o encargado legal.</w:t>
      </w:r>
    </w:p>
    <w:p w14:paraId="4C9D91DE" w14:textId="77777777" w:rsidR="00717AFE" w:rsidRPr="00507B13" w:rsidRDefault="00717AFE">
      <w:pPr>
        <w:pStyle w:val="BodyText"/>
        <w:spacing w:before="1"/>
        <w:ind w:firstLine="0"/>
        <w:rPr>
          <w:sz w:val="18"/>
          <w:szCs w:val="18"/>
        </w:rPr>
      </w:pPr>
      <w:bookmarkStart w:id="22" w:name="L._Visitor_Policies"/>
      <w:bookmarkEnd w:id="22"/>
    </w:p>
    <w:p w14:paraId="4C9D91DF" w14:textId="77777777" w:rsidR="00717AFE" w:rsidRDefault="006D328B">
      <w:pPr>
        <w:pStyle w:val="ListParagraph"/>
        <w:numPr>
          <w:ilvl w:val="0"/>
          <w:numId w:val="2"/>
        </w:numPr>
        <w:tabs>
          <w:tab w:val="left" w:pos="1079"/>
        </w:tabs>
        <w:ind w:left="1079"/>
        <w:rPr>
          <w:i/>
          <w:sz w:val="24"/>
        </w:rPr>
      </w:pPr>
      <w:r>
        <w:rPr>
          <w:i/>
          <w:sz w:val="24"/>
          <w:u w:val="single"/>
        </w:rPr>
        <w:t>Políticas de visitantes</w:t>
      </w:r>
    </w:p>
    <w:p w14:paraId="4C9D91E0" w14:textId="77777777" w:rsidR="00717AFE" w:rsidRDefault="006D328B">
      <w:pPr>
        <w:pStyle w:val="BodyText"/>
        <w:spacing w:before="204" w:line="276" w:lineRule="auto"/>
        <w:ind w:right="757"/>
      </w:pPr>
      <w:r>
        <w:t>Las escuelas deben adoptar políticas (o procedimientos) escritos sobre los visitantes que especifiquen las restricciones aplicables y que se apliquen por igual a todos los visitantes. Es decir, la política o procedimiento sobre visitantes no debe diferenciar entre los agentes de las fuerzas del orden que visitan la escuela para desempeñar funciones de aplicación de la ley civil y otros tipos de visitantes.</w:t>
      </w:r>
    </w:p>
    <w:p w14:paraId="4C9D91E1" w14:textId="77777777" w:rsidR="00717AFE" w:rsidRDefault="006D328B">
      <w:pPr>
        <w:pStyle w:val="ListParagraph"/>
        <w:numPr>
          <w:ilvl w:val="0"/>
          <w:numId w:val="2"/>
        </w:numPr>
        <w:tabs>
          <w:tab w:val="left" w:pos="1079"/>
        </w:tabs>
        <w:spacing w:before="158"/>
        <w:ind w:left="1079" w:hanging="719"/>
        <w:rPr>
          <w:i/>
          <w:sz w:val="24"/>
        </w:rPr>
      </w:pPr>
      <w:bookmarkStart w:id="23" w:name="M._Existing_Obligations"/>
      <w:bookmarkEnd w:id="23"/>
      <w:r>
        <w:rPr>
          <w:i/>
          <w:sz w:val="24"/>
          <w:u w:val="single"/>
        </w:rPr>
        <w:t>Obligaciones existentes</w:t>
      </w:r>
    </w:p>
    <w:p w14:paraId="4C9D91E2" w14:textId="77777777" w:rsidR="00717AFE" w:rsidRDefault="006D328B">
      <w:pPr>
        <w:pStyle w:val="BodyText"/>
        <w:spacing w:before="204" w:line="276" w:lineRule="auto"/>
        <w:ind w:right="757"/>
      </w:pPr>
      <w:r>
        <w:t>Nada de lo contenido en estas orientaciones altera las obligaciones de la escuela de cumplir con las leyes estatales y federales ni con las políticas o procedimientos existentes.</w:t>
      </w:r>
    </w:p>
    <w:p w14:paraId="4C9D91E3" w14:textId="77777777" w:rsidR="00717AFE" w:rsidRDefault="00717AFE">
      <w:pPr>
        <w:pStyle w:val="BodyText"/>
        <w:spacing w:before="42"/>
        <w:ind w:firstLine="0"/>
      </w:pPr>
    </w:p>
    <w:p w14:paraId="4C9D91E4" w14:textId="77777777" w:rsidR="00717AFE" w:rsidRDefault="006D328B">
      <w:pPr>
        <w:pStyle w:val="BodyText"/>
        <w:spacing w:line="276" w:lineRule="auto"/>
        <w:ind w:right="757"/>
      </w:pPr>
      <w:r>
        <w:t>Nada de lo dispuesto en estas orientaciones prohíbe la cooperación adecuada con las autoridades, incluidos la policía, los cuerpos de bomberos, los servicios médicos de emergencia, las autoridades de protección infantil u otros funcionarios de seguridad pública que respondan a una emergencia, protejan a un niño contra el abuso o la negligencia o ejerzan de cualquier otra forma una autoridad legal no relacionada con la aplicación de la ley de inmigración civil. Si existe una amenaza inminente para la seguridad de un niño, un miembro del personal, un familiar u otra persona, la escuela no debe dudar en llamar al 9-1-1 para solicitar ayuda.</w:t>
      </w:r>
    </w:p>
    <w:p w14:paraId="4C9D91E5" w14:textId="77777777" w:rsidR="00717AFE" w:rsidRDefault="00717AFE">
      <w:pPr>
        <w:pStyle w:val="BodyText"/>
        <w:spacing w:before="43"/>
        <w:ind w:firstLine="0"/>
      </w:pPr>
    </w:p>
    <w:p w14:paraId="4C9D91E6" w14:textId="77777777" w:rsidR="00717AFE" w:rsidRDefault="006D328B" w:rsidP="00C15353">
      <w:pPr>
        <w:pStyle w:val="Heading2"/>
      </w:pPr>
      <w:bookmarkStart w:id="24" w:name="IV._Rights_of_a_Person_Being_Arrested/De"/>
      <w:bookmarkEnd w:id="24"/>
      <w:r>
        <w:t>Derechos de las personas que están siendo arrestadas o detenidas y derechos de los testigos</w:t>
      </w:r>
    </w:p>
    <w:p w14:paraId="4C9D91E7" w14:textId="77777777" w:rsidR="00717AFE" w:rsidRDefault="006D328B">
      <w:pPr>
        <w:pStyle w:val="ListParagraph"/>
        <w:numPr>
          <w:ilvl w:val="1"/>
          <w:numId w:val="5"/>
        </w:numPr>
        <w:tabs>
          <w:tab w:val="left" w:pos="1079"/>
        </w:tabs>
        <w:spacing w:before="205"/>
        <w:ind w:left="1079" w:hanging="719"/>
        <w:rPr>
          <w:i/>
          <w:sz w:val="24"/>
        </w:rPr>
      </w:pPr>
      <w:bookmarkStart w:id="25" w:name="A._Rights_of_the_Person_Being_Arrested_o"/>
      <w:bookmarkEnd w:id="25"/>
      <w:r>
        <w:rPr>
          <w:i/>
          <w:sz w:val="24"/>
          <w:u w:val="single"/>
        </w:rPr>
        <w:t>Derechos de la persona que está siendo arrestada o detenida</w:t>
      </w:r>
    </w:p>
    <w:p w14:paraId="4C9D91E8" w14:textId="77777777" w:rsidR="00717AFE" w:rsidRDefault="006D328B">
      <w:pPr>
        <w:pStyle w:val="BodyText"/>
        <w:spacing w:before="201" w:line="276" w:lineRule="auto"/>
        <w:ind w:right="776"/>
      </w:pPr>
      <w:r>
        <w:rPr>
          <w:b/>
        </w:rPr>
        <w:t xml:space="preserve">Derecho a guardar silencio: </w:t>
      </w:r>
      <w:r>
        <w:t>Una persona que esté siendo arrestada o detenida por agentes de las fuerzas del orden que desempeñan funciones de aplicación de la ley civil, incluidos los funcionarios federales de inmigración, no está obligada a responder preguntas sobre su estatus migratorio, ciudadanía, lugar de nacimiento o la manera en que ingresó a los Estados Unidos. La persona puede decir: "Estoy ejerciendo mi derecho a guardar silencio" y negarse a hablar con el agente hasta haber hablado con un abogado. A partir del 4 de septiembre de 2026, la Ley PROTECT prohíbe a los agentes de las fuerzas del orden preguntar sobre el estatus migratorio o la ciudadanía, salvo que lo exija la ley estatal o federal o que la pregunta esté sustancialmente relacionada con un delito penal específico.</w:t>
      </w:r>
    </w:p>
    <w:p w14:paraId="4C9D91EA" w14:textId="77777777" w:rsidR="00717AFE" w:rsidRDefault="006D328B">
      <w:pPr>
        <w:pStyle w:val="BodyText"/>
        <w:spacing w:before="79" w:line="276" w:lineRule="auto"/>
        <w:ind w:left="-1" w:right="841"/>
      </w:pPr>
      <w:r>
        <w:rPr>
          <w:b/>
        </w:rPr>
        <w:t xml:space="preserve">Derecho a contratar o consultar a un abogado: </w:t>
      </w:r>
      <w:r>
        <w:t>Una persona que sea arrestada o detenida tiene derecho a contratar y hablar con un abogado, pero, por lo general, el gobierno no está obligado a proporcionarle uno en los procedimientos migratorios.</w:t>
      </w:r>
    </w:p>
    <w:p w14:paraId="4C9D91EB" w14:textId="77777777" w:rsidR="00717AFE" w:rsidRDefault="006D328B">
      <w:pPr>
        <w:pStyle w:val="BodyText"/>
        <w:spacing w:before="159" w:line="276" w:lineRule="auto"/>
        <w:ind w:left="-1" w:right="757"/>
      </w:pPr>
      <w:r>
        <w:rPr>
          <w:b/>
        </w:rPr>
        <w:t xml:space="preserve">Derecho a negarse a firmar documentos: </w:t>
      </w:r>
      <w:r>
        <w:t>Una persona que sea arrestada o detenida tiene derecho a negarse a firmar documentos (ej. una renuncia a derechos o formularios de salida voluntaria). La persona tiene derecho a leer y comprender cualquier documento antes de firmarlo.</w:t>
      </w:r>
    </w:p>
    <w:p w14:paraId="4C9D91EC" w14:textId="77777777" w:rsidR="00717AFE" w:rsidRDefault="006D328B">
      <w:pPr>
        <w:pStyle w:val="ListParagraph"/>
        <w:numPr>
          <w:ilvl w:val="1"/>
          <w:numId w:val="5"/>
        </w:numPr>
        <w:tabs>
          <w:tab w:val="left" w:pos="1079"/>
        </w:tabs>
        <w:spacing w:before="161"/>
        <w:ind w:left="1079"/>
        <w:rPr>
          <w:i/>
          <w:sz w:val="24"/>
        </w:rPr>
      </w:pPr>
      <w:bookmarkStart w:id="26" w:name="B._Rights_of_Bystanders"/>
      <w:bookmarkEnd w:id="26"/>
      <w:r>
        <w:rPr>
          <w:i/>
          <w:sz w:val="24"/>
          <w:u w:val="single"/>
        </w:rPr>
        <w:t>Derechos de los testigos</w:t>
      </w:r>
    </w:p>
    <w:p w14:paraId="4C9D91ED" w14:textId="77777777" w:rsidR="00717AFE" w:rsidRDefault="006D328B">
      <w:pPr>
        <w:pStyle w:val="BodyText"/>
        <w:spacing w:before="202" w:line="276" w:lineRule="auto"/>
        <w:ind w:left="-1" w:right="782"/>
      </w:pPr>
      <w:r>
        <w:rPr>
          <w:b/>
        </w:rPr>
        <w:t xml:space="preserve">Derecho a observar: </w:t>
      </w:r>
      <w:r>
        <w:t>Los testigos de acciones de aplicación de la ley civil, incluida la aplicación de las leyes federales de inmigración, tienen derecho a observar a los agentes y a grabar en video el encuentro desde una distancia razonable, siempre que no interfieran con el trabajo de los agentes. La ley de Massachusetts permite realizar grabaciones de video de manera abierta (no encubierta).</w:t>
      </w:r>
    </w:p>
    <w:p w14:paraId="4C9D91EE" w14:textId="77777777" w:rsidR="00717AFE" w:rsidRDefault="006D328B">
      <w:pPr>
        <w:pStyle w:val="BodyText"/>
        <w:spacing w:before="159" w:line="276" w:lineRule="auto"/>
        <w:ind w:left="-1" w:right="810"/>
      </w:pPr>
      <w:r>
        <w:rPr>
          <w:b/>
        </w:rPr>
        <w:t xml:space="preserve">Derecho a guardar silencio: </w:t>
      </w:r>
      <w:r>
        <w:t xml:space="preserve">Aunque los agentes de las fuerzas del orden puedan hacer preguntas, los testigos tienen derecho a guardar silencio. Los testigos no están obligados a responder preguntas sobre su propio estatus migratorio ni sobre el estatus migratorio de ninguna otra persona. Como se señaló anteriormente, a partir del 4 de septiembre de 2026, la Ley </w:t>
      </w:r>
      <w:r>
        <w:lastRenderedPageBreak/>
        <w:t>PROTECT prohíbe a los agentes de las fuerzas del orden preguntar sobre el estatus migratorio o la ciudadanía, salvo que lo exijan otras leyes o que la pregunta esté específicamente relacionada con una posible infracción penal.</w:t>
      </w:r>
    </w:p>
    <w:p w14:paraId="4C9D91EF" w14:textId="77777777" w:rsidR="00717AFE" w:rsidRDefault="006D328B" w:rsidP="00C15353">
      <w:pPr>
        <w:pStyle w:val="Heading2"/>
      </w:pPr>
      <w:bookmarkStart w:id="27" w:name="V._Support_for_Students_and_Children"/>
      <w:bookmarkEnd w:id="27"/>
      <w:r>
        <w:t>Apoyo para estudiantes y niños</w:t>
      </w:r>
    </w:p>
    <w:p w14:paraId="4C9D91F0" w14:textId="77777777" w:rsidR="00717AFE" w:rsidRDefault="006D328B">
      <w:pPr>
        <w:pStyle w:val="BodyText"/>
        <w:spacing w:before="208" w:line="276" w:lineRule="auto"/>
        <w:ind w:right="757"/>
      </w:pPr>
      <w:r>
        <w:t>Alentamos a las escuelas a ofrecer servicios de consejería y apoyo de trabajo social a los estudiantes y niños que esté experimentando un aumento de la ansiedad, especialmente a aquellos que se vean afectados personalmente y a aquellos cuyas familias se vean directamente afectadas por actividades de aplicación de la ley civil, incluida la aplicación de las leyes federales de inmigración.</w:t>
      </w:r>
    </w:p>
    <w:p w14:paraId="4C9D91F1" w14:textId="77777777" w:rsidR="00717AFE" w:rsidRDefault="006D328B">
      <w:pPr>
        <w:pStyle w:val="BodyText"/>
        <w:spacing w:before="161" w:line="276" w:lineRule="auto"/>
        <w:ind w:right="782"/>
      </w:pPr>
      <w:r>
        <w:t>Además, es importante que las escuelas se mantengan atentas y sean sensibles a las ausencias de los estudiantes y a los problemas de conducta en la escuela. El personal y los educadores deben involucrarse de manera proactiva y establecer relaciones de confianza con los padres y los estudiantes, ofrecer apoyo y colaborar con las familias para abordar cualquier inquietud relacionada con la asistencia o el comportamiento que pueda surgir.</w:t>
      </w:r>
    </w:p>
    <w:p w14:paraId="4C9D91F2" w14:textId="77777777" w:rsidR="00717AFE" w:rsidRDefault="006D328B">
      <w:pPr>
        <w:pStyle w:val="BodyText"/>
        <w:spacing w:before="161" w:line="276" w:lineRule="auto"/>
        <w:ind w:right="724"/>
      </w:pPr>
      <w:r>
        <w:t>De conformidad con la Ley PROTECT, las escuelas deben desarrollar un plan para compartir las políticas y procedimientos requeridos con los estudiantes y las familias vinculadas a la escuela. Recomendamos publicar ese material en el sitio web de la escuela o del distrito escolar.</w:t>
      </w:r>
    </w:p>
    <w:p w14:paraId="4C9D91F3" w14:textId="77777777" w:rsidR="00717AFE" w:rsidRDefault="006D328B">
      <w:pPr>
        <w:pStyle w:val="BodyText"/>
        <w:spacing w:before="159" w:line="276" w:lineRule="auto"/>
        <w:ind w:right="757"/>
      </w:pPr>
      <w:r>
        <w:t>Es esencial que todas las comunicaciones con los padres y encargados legales que estén relacionadas con las necesidades de los alumnos, el transporte, la actualización de los contactos alternativos y la información del directorio, los protocolos de emergencia, las actividades policiales u otros asuntos se realicen en el idioma principal de los padres o encargados legales, con la asistencia de intérpretes. Los avisos a los padres y las comunicaciones escritas deben redactarse en un lenguaje sencillo, en la medida de lo posible, y traducirse a los idiomas que se hablan principalmente en la comunidad escolar.</w:t>
      </w:r>
    </w:p>
    <w:p w14:paraId="4C9D91F5" w14:textId="77777777" w:rsidR="00717AFE" w:rsidRDefault="006D328B" w:rsidP="00C15353">
      <w:pPr>
        <w:pStyle w:val="Heading2"/>
      </w:pPr>
      <w:bookmarkStart w:id="28" w:name="VI._Human_Resources/Labor/Union_Issues"/>
      <w:bookmarkEnd w:id="28"/>
      <w:r>
        <w:t>Asuntos de recursos humanos, laborales y sindicales</w:t>
      </w:r>
    </w:p>
    <w:p w14:paraId="4C9D91F6" w14:textId="77777777" w:rsidR="00717AFE" w:rsidRDefault="006D328B">
      <w:pPr>
        <w:pStyle w:val="BodyText"/>
        <w:spacing w:before="207" w:line="276" w:lineRule="auto"/>
        <w:ind w:left="-1" w:right="782"/>
      </w:pPr>
      <w:r>
        <w:t>Se anima a los empleados y al personal a plantear cualquier inquietud laboral relacionada con su interacción con agentes de las fuerzas del orden que participen en la aplicación de la ley civil, incluida la aplicación de las leyes federales de inmigración, ante su equipo de recursos humanos o, según corresponda, ante los representantes sindicales. Estos asuntos pueden incluir preguntas sobre estas orientaciones y las políticas o procedimientos relacionados, así como preguntas generales sobre situaciones personales que involucren la aplicación de la ley civil.</w:t>
      </w:r>
    </w:p>
    <w:p w14:paraId="4C9D91F7" w14:textId="77777777" w:rsidR="00717AFE" w:rsidRDefault="006D328B">
      <w:pPr>
        <w:pStyle w:val="BodyText"/>
        <w:spacing w:line="276" w:lineRule="auto"/>
        <w:ind w:left="-1" w:right="757" w:firstLine="0"/>
      </w:pPr>
      <w:r>
        <w:t>Se anima a los empleados y al personal a consultar también los recursos enumerados en la Sección VIII (Recursos adicionales para las escuelas) para obtener más información.</w:t>
      </w:r>
    </w:p>
    <w:p w14:paraId="4C9D91F8" w14:textId="77777777" w:rsidR="00717AFE" w:rsidRDefault="006D328B" w:rsidP="00C15353">
      <w:pPr>
        <w:pStyle w:val="Heading2"/>
      </w:pPr>
      <w:bookmarkStart w:id="29" w:name="VII._Trainings_Regarding_Interactions_wi"/>
      <w:bookmarkEnd w:id="29"/>
      <w:r>
        <w:t>Capacitaciones sobre las interacciones con las autoridades encargadas de la aplicación de la ley civil</w:t>
      </w:r>
    </w:p>
    <w:p w14:paraId="4C9D91F9" w14:textId="77777777" w:rsidR="00717AFE" w:rsidRDefault="006D328B">
      <w:pPr>
        <w:pStyle w:val="BodyText"/>
        <w:spacing w:before="207" w:line="276" w:lineRule="auto"/>
        <w:ind w:left="-1" w:right="739"/>
      </w:pPr>
      <w:r>
        <w:t xml:space="preserve">Se recomienda a las escuelas que impartan capacitaciones sobre los requisitos de la Ley </w:t>
      </w:r>
      <w:r>
        <w:lastRenderedPageBreak/>
        <w:t xml:space="preserve">PROTECT, las recomendaciones incluidas en estas orientaciones y cualquier política o procedimiento relacionado que haya adoptado la escuela o el distrito para garantizar la seguridad en las instalaciones escolares de todos los estudiantes y miembros del personal, independientemente de su origen nacional o estatus migratorio. En este sentido, suele ser una buena práctica recordar a los empleados y al personal el protocolo de escalamiento. El DESE, en consulta con la EOE, la Oficina de Refugiados e Inmigrantes de Massachusetts y la </w:t>
      </w:r>
      <w:proofErr w:type="gramStart"/>
      <w:r>
        <w:t>Fiscalía General</w:t>
      </w:r>
      <w:proofErr w:type="gramEnd"/>
      <w:r>
        <w:t xml:space="preserve"> de Massachusetts, desarrollará un modelo de capacitación que incorpore los componentes de estas orientaciones, junto con su política modelo y sus procedimientos modelo, que los comités escolares, las escuelas colaborativas y las juntas directivas de las escuelas chárter podrán ofrecer a su personal.</w:t>
      </w:r>
    </w:p>
    <w:p w14:paraId="4C9D91FA" w14:textId="77777777" w:rsidR="00717AFE" w:rsidRDefault="006D328B" w:rsidP="00C15353">
      <w:pPr>
        <w:pStyle w:val="Heading2"/>
      </w:pPr>
      <w:bookmarkStart w:id="30" w:name="VIII._Additional_Resources_for_Schools"/>
      <w:bookmarkEnd w:id="30"/>
      <w:r>
        <w:t>Recursos adicionales para las escuelas</w:t>
      </w:r>
    </w:p>
    <w:p w14:paraId="4C9D91FB" w14:textId="77777777" w:rsidR="00717AFE" w:rsidRDefault="006D328B">
      <w:pPr>
        <w:pStyle w:val="BodyText"/>
        <w:spacing w:before="208" w:line="276" w:lineRule="auto"/>
        <w:ind w:right="757" w:firstLine="0"/>
      </w:pPr>
      <w:r>
        <w:t xml:space="preserve">La </w:t>
      </w:r>
      <w:proofErr w:type="gramStart"/>
      <w:r>
        <w:t>Fiscalía General</w:t>
      </w:r>
      <w:proofErr w:type="gramEnd"/>
      <w:r>
        <w:t xml:space="preserve"> de Massachusetts, la Oficina de Refugiados e Inmigrantes de Massachusetts y el DESE han creado los siguientes recursos para ayudar al público a conocer mejor sus derechos. Alentamos a los miembros de la comunidad escolar a revisar estos recursos y sugerimos que las escuelas consideren publicarlos o distribuirlos entre los estudiantes y niños, las familias y los empleados y miembros del personal.</w:t>
      </w:r>
    </w:p>
    <w:p w14:paraId="4C9D91FC" w14:textId="7CABAE8E" w:rsidR="00717AFE" w:rsidRDefault="006D328B" w:rsidP="002139B5">
      <w:pPr>
        <w:pStyle w:val="ListParagraph"/>
        <w:numPr>
          <w:ilvl w:val="0"/>
          <w:numId w:val="1"/>
        </w:numPr>
        <w:tabs>
          <w:tab w:val="left" w:pos="1439"/>
        </w:tabs>
        <w:spacing w:before="162"/>
        <w:ind w:left="1439" w:right="810" w:hanging="719"/>
        <w:rPr>
          <w:sz w:val="24"/>
        </w:rPr>
      </w:pPr>
      <w:hyperlink r:id="rId12">
        <w:r>
          <w:rPr>
            <w:color w:val="467885"/>
            <w:sz w:val="24"/>
            <w:u w:val="single" w:color="467885"/>
          </w:rPr>
          <w:t>Fiscal</w:t>
        </w:r>
        <w:r w:rsidR="002139B5">
          <w:rPr>
            <w:color w:val="467885"/>
            <w:sz w:val="24"/>
            <w:u w:val="single" w:color="467885"/>
          </w:rPr>
          <w:t>ía</w:t>
        </w:r>
        <w:r>
          <w:rPr>
            <w:color w:val="467885"/>
            <w:sz w:val="24"/>
            <w:u w:val="single" w:color="467885"/>
          </w:rPr>
          <w:t xml:space="preserve"> General de Massachusetts:</w:t>
        </w:r>
      </w:hyperlink>
      <w:hyperlink r:id="rId13">
        <w:r>
          <w:rPr>
            <w:color w:val="467885"/>
            <w:sz w:val="24"/>
            <w:u w:val="single" w:color="467885"/>
          </w:rPr>
          <w:t xml:space="preserve"> Recursos para inmigrantes en Massachusetts</w:t>
        </w:r>
      </w:hyperlink>
    </w:p>
    <w:p w14:paraId="4C9D91FD" w14:textId="77777777" w:rsidR="00717AFE" w:rsidRDefault="006D328B" w:rsidP="002139B5">
      <w:pPr>
        <w:pStyle w:val="ListParagraph"/>
        <w:numPr>
          <w:ilvl w:val="0"/>
          <w:numId w:val="1"/>
        </w:numPr>
        <w:tabs>
          <w:tab w:val="left" w:pos="1439"/>
        </w:tabs>
        <w:spacing w:before="40"/>
        <w:ind w:left="1439" w:right="810" w:hanging="719"/>
        <w:rPr>
          <w:sz w:val="24"/>
        </w:rPr>
      </w:pPr>
      <w:hyperlink r:id="rId14">
        <w:r>
          <w:rPr>
            <w:color w:val="467885"/>
            <w:sz w:val="24"/>
            <w:u w:val="single" w:color="467885"/>
          </w:rPr>
          <w:t>Oficina de Refugiados e Inmigrantes de Massachusetts:</w:t>
        </w:r>
      </w:hyperlink>
      <w:hyperlink r:id="rId15">
        <w:r>
          <w:rPr>
            <w:color w:val="467885"/>
            <w:sz w:val="24"/>
            <w:u w:val="single" w:color="467885"/>
          </w:rPr>
          <w:t xml:space="preserve"> Kit de recursos comunitarios</w:t>
        </w:r>
      </w:hyperlink>
    </w:p>
    <w:p w14:paraId="4C9D91FE" w14:textId="75FEBE77" w:rsidR="00717AFE" w:rsidRDefault="006D328B" w:rsidP="002139B5">
      <w:pPr>
        <w:pStyle w:val="ListParagraph"/>
        <w:numPr>
          <w:ilvl w:val="0"/>
          <w:numId w:val="1"/>
        </w:numPr>
        <w:tabs>
          <w:tab w:val="left" w:pos="1440"/>
        </w:tabs>
        <w:spacing w:before="42" w:line="273" w:lineRule="auto"/>
        <w:ind w:right="810"/>
        <w:rPr>
          <w:i/>
          <w:sz w:val="24"/>
        </w:rPr>
      </w:pPr>
      <w:hyperlink r:id="rId16">
        <w:r>
          <w:rPr>
            <w:color w:val="467885"/>
            <w:sz w:val="24"/>
            <w:u w:val="single" w:color="467885"/>
          </w:rPr>
          <w:t>Orientaciones de la Fiscalía General de Massachusetts:</w:t>
        </w:r>
      </w:hyperlink>
      <w:hyperlink r:id="rId17">
        <w:r>
          <w:rPr>
            <w:color w:val="467885"/>
            <w:sz w:val="24"/>
            <w:u w:val="single" w:color="467885"/>
          </w:rPr>
          <w:t xml:space="preserve"> CONOZCA SUS DERECHOS:</w:t>
        </w:r>
      </w:hyperlink>
      <w:r>
        <w:rPr>
          <w:color w:val="467885"/>
          <w:sz w:val="24"/>
        </w:rPr>
        <w:t xml:space="preserve"> </w:t>
      </w:r>
      <w:hyperlink r:id="rId18">
        <w:r>
          <w:rPr>
            <w:color w:val="467885"/>
            <w:sz w:val="24"/>
            <w:u w:val="single" w:color="467885"/>
          </w:rPr>
          <w:t>Medidas de control de ICE: una guía actualizada para inmigrantes, familias y comunidades</w:t>
        </w:r>
      </w:hyperlink>
      <w:r>
        <w:rPr>
          <w:color w:val="467885"/>
          <w:sz w:val="24"/>
        </w:rPr>
        <w:t xml:space="preserve"> </w:t>
      </w:r>
      <w:r>
        <w:rPr>
          <w:i/>
          <w:sz w:val="24"/>
        </w:rPr>
        <w:t xml:space="preserve">(disponible en </w:t>
      </w:r>
      <w:hyperlink r:id="rId19">
        <w:r>
          <w:rPr>
            <w:i/>
            <w:color w:val="467885"/>
            <w:sz w:val="24"/>
            <w:u w:val="single" w:color="467885"/>
          </w:rPr>
          <w:t>español</w:t>
        </w:r>
      </w:hyperlink>
      <w:r>
        <w:rPr>
          <w:i/>
          <w:sz w:val="24"/>
        </w:rPr>
        <w:t xml:space="preserve">, </w:t>
      </w:r>
      <w:hyperlink r:id="rId20">
        <w:r>
          <w:rPr>
            <w:i/>
            <w:color w:val="467885"/>
            <w:sz w:val="24"/>
            <w:u w:val="single" w:color="467885"/>
          </w:rPr>
          <w:t>portugués</w:t>
        </w:r>
        <w:r>
          <w:rPr>
            <w:i/>
            <w:sz w:val="24"/>
          </w:rPr>
          <w:t>,</w:t>
        </w:r>
      </w:hyperlink>
      <w:r>
        <w:rPr>
          <w:i/>
          <w:sz w:val="24"/>
        </w:rPr>
        <w:t xml:space="preserve"> </w:t>
      </w:r>
      <w:hyperlink r:id="rId21">
        <w:r>
          <w:rPr>
            <w:i/>
            <w:color w:val="467885"/>
            <w:sz w:val="24"/>
            <w:u w:val="single" w:color="467885"/>
          </w:rPr>
          <w:t>criollo haitiano</w:t>
        </w:r>
        <w:r>
          <w:rPr>
            <w:i/>
            <w:sz w:val="24"/>
          </w:rPr>
          <w:t>,</w:t>
        </w:r>
      </w:hyperlink>
      <w:r>
        <w:rPr>
          <w:i/>
          <w:sz w:val="24"/>
        </w:rPr>
        <w:t xml:space="preserve"> </w:t>
      </w:r>
      <w:hyperlink r:id="rId22">
        <w:r>
          <w:rPr>
            <w:i/>
            <w:color w:val="467885"/>
            <w:sz w:val="24"/>
            <w:u w:val="single" w:color="467885"/>
          </w:rPr>
          <w:t>chino</w:t>
        </w:r>
        <w:r>
          <w:rPr>
            <w:i/>
            <w:sz w:val="24"/>
          </w:rPr>
          <w:t>,</w:t>
        </w:r>
      </w:hyperlink>
      <w:r>
        <w:rPr>
          <w:i/>
          <w:sz w:val="24"/>
        </w:rPr>
        <w:t xml:space="preserve"> </w:t>
      </w:r>
      <w:hyperlink r:id="rId23">
        <w:r>
          <w:rPr>
            <w:i/>
            <w:color w:val="467885"/>
            <w:sz w:val="24"/>
            <w:u w:val="single" w:color="467885"/>
          </w:rPr>
          <w:t>vietnamita</w:t>
        </w:r>
      </w:hyperlink>
      <w:r>
        <w:rPr>
          <w:i/>
          <w:sz w:val="24"/>
        </w:rPr>
        <w:t>)</w:t>
      </w:r>
    </w:p>
    <w:p w14:paraId="4C9D91FF" w14:textId="77777777" w:rsidR="00717AFE" w:rsidRDefault="006D328B" w:rsidP="002139B5">
      <w:pPr>
        <w:pStyle w:val="ListParagraph"/>
        <w:numPr>
          <w:ilvl w:val="0"/>
          <w:numId w:val="1"/>
        </w:numPr>
        <w:tabs>
          <w:tab w:val="left" w:pos="1440"/>
        </w:tabs>
        <w:spacing w:before="5" w:line="273" w:lineRule="auto"/>
        <w:ind w:right="810"/>
        <w:rPr>
          <w:i/>
          <w:sz w:val="24"/>
        </w:rPr>
      </w:pPr>
      <w:hyperlink r:id="rId24">
        <w:r>
          <w:rPr>
            <w:color w:val="467885"/>
            <w:sz w:val="24"/>
            <w:u w:val="single" w:color="467885"/>
          </w:rPr>
          <w:t>Orientaciones de la Fiscalía General de Massachusetts:</w:t>
        </w:r>
      </w:hyperlink>
      <w:hyperlink r:id="rId25">
        <w:r>
          <w:rPr>
            <w:color w:val="467885"/>
            <w:sz w:val="24"/>
            <w:u w:val="single" w:color="467885"/>
          </w:rPr>
          <w:t xml:space="preserve"> Información general para</w:t>
        </w:r>
      </w:hyperlink>
      <w:r>
        <w:rPr>
          <w:color w:val="467885"/>
          <w:sz w:val="24"/>
        </w:rPr>
        <w:t xml:space="preserve"> </w:t>
      </w:r>
      <w:hyperlink r:id="rId26">
        <w:r>
          <w:rPr>
            <w:color w:val="467885"/>
            <w:sz w:val="24"/>
            <w:u w:val="single" w:color="467885"/>
          </w:rPr>
          <w:t>proveedores de servicios de Massachusetts sobre las medidas de control migratorio</w:t>
        </w:r>
      </w:hyperlink>
      <w:r>
        <w:rPr>
          <w:color w:val="467885"/>
          <w:sz w:val="24"/>
        </w:rPr>
        <w:t xml:space="preserve"> </w:t>
      </w:r>
      <w:r>
        <w:rPr>
          <w:i/>
          <w:sz w:val="24"/>
        </w:rPr>
        <w:t xml:space="preserve">(disponible en </w:t>
      </w:r>
      <w:hyperlink r:id="rId27">
        <w:r>
          <w:rPr>
            <w:i/>
            <w:color w:val="467885"/>
            <w:sz w:val="24"/>
            <w:u w:val="single" w:color="467885"/>
          </w:rPr>
          <w:t>español</w:t>
        </w:r>
      </w:hyperlink>
      <w:r>
        <w:rPr>
          <w:i/>
          <w:sz w:val="24"/>
        </w:rPr>
        <w:t xml:space="preserve">, </w:t>
      </w:r>
      <w:hyperlink r:id="rId28">
        <w:r>
          <w:rPr>
            <w:i/>
            <w:color w:val="467885"/>
            <w:sz w:val="24"/>
            <w:u w:val="single" w:color="467885"/>
          </w:rPr>
          <w:t>portugués</w:t>
        </w:r>
      </w:hyperlink>
      <w:r>
        <w:rPr>
          <w:i/>
          <w:sz w:val="24"/>
        </w:rPr>
        <w:t xml:space="preserve">, </w:t>
      </w:r>
      <w:hyperlink r:id="rId29">
        <w:r>
          <w:rPr>
            <w:i/>
            <w:color w:val="467885"/>
            <w:sz w:val="24"/>
            <w:u w:val="single" w:color="467885"/>
          </w:rPr>
          <w:t>criollo haitiano</w:t>
        </w:r>
      </w:hyperlink>
      <w:r>
        <w:rPr>
          <w:i/>
          <w:sz w:val="24"/>
        </w:rPr>
        <w:t xml:space="preserve">, </w:t>
      </w:r>
      <w:hyperlink r:id="rId30">
        <w:r>
          <w:rPr>
            <w:i/>
            <w:color w:val="467885"/>
            <w:sz w:val="24"/>
            <w:u w:val="single" w:color="467885"/>
          </w:rPr>
          <w:t>chino</w:t>
        </w:r>
        <w:r>
          <w:rPr>
            <w:i/>
            <w:sz w:val="24"/>
          </w:rPr>
          <w:t>,</w:t>
        </w:r>
      </w:hyperlink>
      <w:r>
        <w:rPr>
          <w:i/>
          <w:sz w:val="24"/>
        </w:rPr>
        <w:t xml:space="preserve"> </w:t>
      </w:r>
      <w:hyperlink r:id="rId31">
        <w:r>
          <w:rPr>
            <w:i/>
            <w:color w:val="467885"/>
            <w:sz w:val="24"/>
            <w:u w:val="single" w:color="467885"/>
          </w:rPr>
          <w:t>vietnamita</w:t>
        </w:r>
      </w:hyperlink>
      <w:r>
        <w:rPr>
          <w:i/>
          <w:sz w:val="24"/>
        </w:rPr>
        <w:t>)</w:t>
      </w:r>
    </w:p>
    <w:p w14:paraId="4C9D9200" w14:textId="77777777" w:rsidR="00717AFE" w:rsidRDefault="006D328B" w:rsidP="002139B5">
      <w:pPr>
        <w:pStyle w:val="ListParagraph"/>
        <w:numPr>
          <w:ilvl w:val="0"/>
          <w:numId w:val="1"/>
        </w:numPr>
        <w:tabs>
          <w:tab w:val="left" w:pos="1440"/>
        </w:tabs>
        <w:spacing w:before="3" w:line="273" w:lineRule="auto"/>
        <w:ind w:right="810"/>
        <w:rPr>
          <w:sz w:val="24"/>
        </w:rPr>
      </w:pPr>
      <w:hyperlink r:id="rId32">
        <w:r>
          <w:rPr>
            <w:color w:val="467885"/>
            <w:sz w:val="24"/>
            <w:u w:val="single" w:color="467885"/>
          </w:rPr>
          <w:t xml:space="preserve">Orientaciones de la </w:t>
        </w:r>
        <w:proofErr w:type="gramStart"/>
        <w:r>
          <w:rPr>
            <w:color w:val="467885"/>
            <w:sz w:val="24"/>
            <w:u w:val="single" w:color="467885"/>
          </w:rPr>
          <w:t>Fiscalía General</w:t>
        </w:r>
        <w:proofErr w:type="gramEnd"/>
        <w:r>
          <w:rPr>
            <w:color w:val="467885"/>
            <w:sz w:val="24"/>
            <w:u w:val="single" w:color="467885"/>
          </w:rPr>
          <w:t xml:space="preserve"> de Massachusetts:</w:t>
        </w:r>
      </w:hyperlink>
      <w:hyperlink r:id="rId33">
        <w:r>
          <w:rPr>
            <w:color w:val="467885"/>
            <w:sz w:val="24"/>
            <w:u w:val="single" w:color="467885"/>
          </w:rPr>
          <w:t xml:space="preserve"> Obligaciones de las escuelas K-12 para proteger a</w:t>
        </w:r>
      </w:hyperlink>
      <w:r>
        <w:rPr>
          <w:color w:val="467885"/>
          <w:sz w:val="24"/>
        </w:rPr>
        <w:t xml:space="preserve"> </w:t>
      </w:r>
      <w:hyperlink r:id="rId34">
        <w:r>
          <w:rPr>
            <w:color w:val="467885"/>
            <w:sz w:val="24"/>
            <w:u w:val="single" w:color="467885"/>
          </w:rPr>
          <w:t>los estudiantes y su información</w:t>
        </w:r>
      </w:hyperlink>
    </w:p>
    <w:p w14:paraId="4C9D9201" w14:textId="77777777" w:rsidR="00717AFE" w:rsidRDefault="006D328B" w:rsidP="002139B5">
      <w:pPr>
        <w:pStyle w:val="ListParagraph"/>
        <w:numPr>
          <w:ilvl w:val="0"/>
          <w:numId w:val="1"/>
        </w:numPr>
        <w:tabs>
          <w:tab w:val="left" w:pos="1440"/>
        </w:tabs>
        <w:spacing w:before="3" w:line="273" w:lineRule="auto"/>
        <w:ind w:right="810"/>
        <w:rPr>
          <w:sz w:val="24"/>
        </w:rPr>
      </w:pPr>
      <w:hyperlink r:id="rId35">
        <w:r>
          <w:rPr>
            <w:color w:val="467885"/>
            <w:sz w:val="24"/>
            <w:u w:val="single" w:color="467885"/>
          </w:rPr>
          <w:t>Folleto de la Fiscalía General de Massachusetts:</w:t>
        </w:r>
      </w:hyperlink>
      <w:hyperlink r:id="rId36">
        <w:r>
          <w:rPr>
            <w:color w:val="467885"/>
            <w:sz w:val="24"/>
            <w:u w:val="single" w:color="467885"/>
          </w:rPr>
          <w:t xml:space="preserve"> El derecho de los estudiantes inmigrantes a asistir a</w:t>
        </w:r>
      </w:hyperlink>
      <w:r>
        <w:rPr>
          <w:color w:val="467885"/>
          <w:sz w:val="24"/>
        </w:rPr>
        <w:t xml:space="preserve"> </w:t>
      </w:r>
      <w:hyperlink r:id="rId37">
        <w:r>
          <w:rPr>
            <w:color w:val="467885"/>
            <w:sz w:val="24"/>
            <w:u w:val="single" w:color="467885"/>
          </w:rPr>
          <w:t>la escuela:</w:t>
        </w:r>
      </w:hyperlink>
      <w:hyperlink r:id="rId38">
        <w:r>
          <w:rPr>
            <w:color w:val="467885"/>
            <w:sz w:val="24"/>
            <w:u w:val="single" w:color="467885"/>
          </w:rPr>
          <w:t xml:space="preserve"> Una guía para las familias</w:t>
        </w:r>
      </w:hyperlink>
      <w:r>
        <w:rPr>
          <w:color w:val="467885"/>
          <w:sz w:val="24"/>
        </w:rPr>
        <w:t xml:space="preserve"> </w:t>
      </w:r>
      <w:r>
        <w:rPr>
          <w:sz w:val="24"/>
        </w:rPr>
        <w:t>(</w:t>
      </w:r>
      <w:r>
        <w:rPr>
          <w:i/>
          <w:sz w:val="24"/>
        </w:rPr>
        <w:t xml:space="preserve">disponible en </w:t>
      </w:r>
      <w:hyperlink r:id="rId39">
        <w:r>
          <w:rPr>
            <w:i/>
            <w:color w:val="467885"/>
            <w:sz w:val="24"/>
            <w:u w:val="single" w:color="467885"/>
          </w:rPr>
          <w:t>español</w:t>
        </w:r>
      </w:hyperlink>
      <w:r>
        <w:rPr>
          <w:i/>
          <w:sz w:val="24"/>
        </w:rPr>
        <w:t xml:space="preserve">, </w:t>
      </w:r>
      <w:hyperlink r:id="rId40">
        <w:r>
          <w:rPr>
            <w:i/>
            <w:color w:val="467885"/>
            <w:sz w:val="24"/>
            <w:u w:val="single" w:color="467885"/>
          </w:rPr>
          <w:t>portugués,</w:t>
        </w:r>
      </w:hyperlink>
      <w:r>
        <w:rPr>
          <w:i/>
          <w:color w:val="467885"/>
          <w:sz w:val="24"/>
          <w:u w:val="single" w:color="467885"/>
        </w:rPr>
        <w:t xml:space="preserve"> </w:t>
      </w:r>
      <w:hyperlink r:id="rId41">
        <w:r>
          <w:rPr>
            <w:i/>
            <w:color w:val="467885"/>
            <w:sz w:val="24"/>
            <w:u w:val="single" w:color="467885"/>
          </w:rPr>
          <w:t>criollo haitiano,</w:t>
        </w:r>
      </w:hyperlink>
      <w:r>
        <w:rPr>
          <w:i/>
          <w:color w:val="467885"/>
          <w:sz w:val="24"/>
        </w:rPr>
        <w:t xml:space="preserve"> </w:t>
      </w:r>
      <w:hyperlink r:id="rId42">
        <w:r>
          <w:rPr>
            <w:i/>
            <w:color w:val="467885"/>
            <w:sz w:val="24"/>
            <w:u w:val="single" w:color="467885"/>
          </w:rPr>
          <w:t>vietnamita,</w:t>
        </w:r>
      </w:hyperlink>
      <w:r>
        <w:rPr>
          <w:i/>
          <w:color w:val="467885"/>
          <w:sz w:val="24"/>
        </w:rPr>
        <w:t xml:space="preserve"> </w:t>
      </w:r>
      <w:hyperlink r:id="rId43">
        <w:r>
          <w:rPr>
            <w:i/>
            <w:color w:val="467885"/>
            <w:sz w:val="24"/>
            <w:u w:val="single" w:color="467885"/>
          </w:rPr>
          <w:t>chino</w:t>
        </w:r>
      </w:hyperlink>
      <w:r>
        <w:rPr>
          <w:sz w:val="24"/>
        </w:rPr>
        <w:t>)</w:t>
      </w:r>
    </w:p>
    <w:p w14:paraId="4C9D9203" w14:textId="77777777" w:rsidR="00717AFE" w:rsidRDefault="006D328B" w:rsidP="00660EE5">
      <w:pPr>
        <w:pStyle w:val="ListParagraph"/>
        <w:numPr>
          <w:ilvl w:val="0"/>
          <w:numId w:val="1"/>
        </w:numPr>
        <w:tabs>
          <w:tab w:val="left" w:pos="1440"/>
        </w:tabs>
        <w:spacing w:line="271" w:lineRule="auto"/>
        <w:ind w:right="857"/>
        <w:rPr>
          <w:sz w:val="24"/>
        </w:rPr>
      </w:pPr>
      <w:hyperlink r:id="rId44">
        <w:r>
          <w:rPr>
            <w:color w:val="467885"/>
            <w:sz w:val="24"/>
            <w:u w:val="single" w:color="467885"/>
          </w:rPr>
          <w:t xml:space="preserve">Folleto de la </w:t>
        </w:r>
        <w:proofErr w:type="gramStart"/>
        <w:r>
          <w:rPr>
            <w:color w:val="467885"/>
            <w:sz w:val="24"/>
            <w:u w:val="single" w:color="467885"/>
          </w:rPr>
          <w:t>Fiscalía General</w:t>
        </w:r>
        <w:proofErr w:type="gramEnd"/>
        <w:r>
          <w:rPr>
            <w:color w:val="467885"/>
            <w:sz w:val="24"/>
            <w:u w:val="single" w:color="467885"/>
          </w:rPr>
          <w:t xml:space="preserve"> de Massachusetts:</w:t>
        </w:r>
      </w:hyperlink>
      <w:hyperlink r:id="rId45">
        <w:r>
          <w:rPr>
            <w:color w:val="467885"/>
            <w:sz w:val="24"/>
            <w:u w:val="single" w:color="467885"/>
          </w:rPr>
          <w:t xml:space="preserve"> Escuelas K-12 sobre la protección de los estudiantes</w:t>
        </w:r>
      </w:hyperlink>
      <w:r>
        <w:rPr>
          <w:color w:val="467885"/>
          <w:sz w:val="24"/>
        </w:rPr>
        <w:t xml:space="preserve"> </w:t>
      </w:r>
      <w:hyperlink r:id="rId46">
        <w:r>
          <w:rPr>
            <w:color w:val="467885"/>
            <w:sz w:val="24"/>
            <w:u w:val="single" w:color="467885"/>
          </w:rPr>
          <w:t>y su información</w:t>
        </w:r>
      </w:hyperlink>
    </w:p>
    <w:p w14:paraId="4C9D9204" w14:textId="77777777" w:rsidR="00717AFE" w:rsidRDefault="006D328B">
      <w:pPr>
        <w:pStyle w:val="ListParagraph"/>
        <w:numPr>
          <w:ilvl w:val="0"/>
          <w:numId w:val="1"/>
        </w:numPr>
        <w:tabs>
          <w:tab w:val="left" w:pos="1439"/>
        </w:tabs>
        <w:spacing w:before="9"/>
        <w:ind w:left="1439" w:hanging="719"/>
        <w:rPr>
          <w:sz w:val="24"/>
        </w:rPr>
      </w:pPr>
      <w:hyperlink r:id="rId47">
        <w:r>
          <w:rPr>
            <w:color w:val="467885"/>
            <w:sz w:val="24"/>
            <w:u w:val="single" w:color="467885"/>
          </w:rPr>
          <w:t>Guía de planificación de emergencias para padres con estatus migratorio</w:t>
        </w:r>
      </w:hyperlink>
    </w:p>
    <w:p w14:paraId="4C9D9205" w14:textId="77777777" w:rsidR="00717AFE" w:rsidRDefault="006D328B">
      <w:pPr>
        <w:spacing w:before="37"/>
        <w:ind w:left="1440"/>
        <w:rPr>
          <w:i/>
          <w:sz w:val="24"/>
        </w:rPr>
      </w:pPr>
      <w:hyperlink r:id="rId48">
        <w:r>
          <w:rPr>
            <w:color w:val="467885"/>
            <w:sz w:val="24"/>
            <w:u w:val="single" w:color="467885"/>
          </w:rPr>
          <w:t>incierto</w:t>
        </w:r>
      </w:hyperlink>
      <w:r>
        <w:rPr>
          <w:color w:val="467885"/>
          <w:sz w:val="24"/>
        </w:rPr>
        <w:t xml:space="preserve"> </w:t>
      </w:r>
      <w:r>
        <w:rPr>
          <w:i/>
          <w:sz w:val="24"/>
        </w:rPr>
        <w:t xml:space="preserve">(disponible en </w:t>
      </w:r>
      <w:hyperlink r:id="rId49">
        <w:r>
          <w:rPr>
            <w:i/>
            <w:color w:val="467885"/>
            <w:sz w:val="24"/>
            <w:u w:val="single" w:color="467885"/>
          </w:rPr>
          <w:t>español</w:t>
        </w:r>
      </w:hyperlink>
      <w:r>
        <w:rPr>
          <w:i/>
          <w:sz w:val="24"/>
        </w:rPr>
        <w:t xml:space="preserve">, </w:t>
      </w:r>
      <w:hyperlink r:id="rId50">
        <w:proofErr w:type="spellStart"/>
        <w:r>
          <w:rPr>
            <w:i/>
            <w:color w:val="467885"/>
            <w:sz w:val="24"/>
            <w:u w:val="single" w:color="467885"/>
          </w:rPr>
          <w:t>protugués</w:t>
        </w:r>
        <w:proofErr w:type="spellEnd"/>
      </w:hyperlink>
      <w:r>
        <w:rPr>
          <w:i/>
          <w:sz w:val="24"/>
        </w:rPr>
        <w:t xml:space="preserve">, </w:t>
      </w:r>
      <w:hyperlink r:id="rId51">
        <w:r>
          <w:rPr>
            <w:i/>
            <w:color w:val="467885"/>
            <w:sz w:val="24"/>
            <w:u w:val="single" w:color="467885"/>
          </w:rPr>
          <w:t>criollo haitiano</w:t>
        </w:r>
      </w:hyperlink>
      <w:r>
        <w:rPr>
          <w:i/>
          <w:sz w:val="24"/>
        </w:rPr>
        <w:t xml:space="preserve">, </w:t>
      </w:r>
      <w:hyperlink r:id="rId52">
        <w:r>
          <w:rPr>
            <w:i/>
            <w:color w:val="467885"/>
            <w:sz w:val="24"/>
            <w:u w:val="single" w:color="467885"/>
          </w:rPr>
          <w:t>chino simplificado</w:t>
        </w:r>
      </w:hyperlink>
      <w:r>
        <w:rPr>
          <w:i/>
          <w:sz w:val="24"/>
        </w:rPr>
        <w:t>)</w:t>
      </w:r>
    </w:p>
    <w:p w14:paraId="4C9D9206" w14:textId="77777777" w:rsidR="00717AFE" w:rsidRDefault="006D328B">
      <w:pPr>
        <w:pStyle w:val="ListParagraph"/>
        <w:numPr>
          <w:ilvl w:val="0"/>
          <w:numId w:val="1"/>
        </w:numPr>
        <w:tabs>
          <w:tab w:val="left" w:pos="1440"/>
        </w:tabs>
        <w:spacing w:before="43" w:line="273" w:lineRule="auto"/>
        <w:ind w:right="1173"/>
        <w:rPr>
          <w:i/>
          <w:sz w:val="24"/>
        </w:rPr>
      </w:pPr>
      <w:hyperlink r:id="rId53">
        <w:r>
          <w:rPr>
            <w:color w:val="467885"/>
            <w:sz w:val="24"/>
            <w:u w:val="single" w:color="467885"/>
          </w:rPr>
          <w:t>Hoja informativa sobre planificación de emergencias para padres con estatus migratorio</w:t>
        </w:r>
      </w:hyperlink>
      <w:r>
        <w:rPr>
          <w:color w:val="467885"/>
          <w:sz w:val="24"/>
        </w:rPr>
        <w:t xml:space="preserve"> </w:t>
      </w:r>
      <w:hyperlink r:id="rId54">
        <w:r>
          <w:rPr>
            <w:color w:val="467885"/>
            <w:sz w:val="24"/>
            <w:u w:val="single" w:color="467885"/>
          </w:rPr>
          <w:t>incierto</w:t>
        </w:r>
      </w:hyperlink>
      <w:r>
        <w:rPr>
          <w:color w:val="467885"/>
          <w:sz w:val="24"/>
        </w:rPr>
        <w:t xml:space="preserve"> </w:t>
      </w:r>
      <w:r>
        <w:rPr>
          <w:i/>
          <w:sz w:val="24"/>
        </w:rPr>
        <w:t xml:space="preserve">(disponible </w:t>
      </w:r>
      <w:proofErr w:type="spellStart"/>
      <w:r>
        <w:rPr>
          <w:i/>
          <w:sz w:val="24"/>
        </w:rPr>
        <w:t>en</w:t>
      </w:r>
      <w:hyperlink r:id="rId55">
        <w:r>
          <w:rPr>
            <w:i/>
            <w:color w:val="467885"/>
            <w:sz w:val="24"/>
            <w:u w:val="single" w:color="467885"/>
          </w:rPr>
          <w:t>español</w:t>
        </w:r>
        <w:proofErr w:type="spellEnd"/>
      </w:hyperlink>
      <w:r>
        <w:rPr>
          <w:i/>
          <w:sz w:val="24"/>
        </w:rPr>
        <w:t xml:space="preserve">, </w:t>
      </w:r>
      <w:hyperlink r:id="rId56">
        <w:r>
          <w:rPr>
            <w:i/>
            <w:color w:val="467885"/>
            <w:sz w:val="24"/>
            <w:u w:val="single" w:color="467885"/>
          </w:rPr>
          <w:t>portugués</w:t>
        </w:r>
      </w:hyperlink>
      <w:r>
        <w:rPr>
          <w:i/>
          <w:sz w:val="24"/>
        </w:rPr>
        <w:t xml:space="preserve">, </w:t>
      </w:r>
      <w:hyperlink r:id="rId57">
        <w:r>
          <w:rPr>
            <w:i/>
            <w:color w:val="467885"/>
            <w:sz w:val="24"/>
            <w:u w:val="single" w:color="467885"/>
          </w:rPr>
          <w:t>criollo haitiano</w:t>
        </w:r>
      </w:hyperlink>
      <w:r>
        <w:rPr>
          <w:i/>
          <w:sz w:val="24"/>
        </w:rPr>
        <w:t xml:space="preserve">, </w:t>
      </w:r>
      <w:hyperlink r:id="rId58">
        <w:r>
          <w:rPr>
            <w:i/>
            <w:color w:val="467885"/>
            <w:sz w:val="24"/>
            <w:u w:val="single" w:color="467885"/>
          </w:rPr>
          <w:t>chino simplificado</w:t>
        </w:r>
      </w:hyperlink>
      <w:r>
        <w:rPr>
          <w:i/>
          <w:sz w:val="24"/>
        </w:rPr>
        <w:t>)</w:t>
      </w:r>
    </w:p>
    <w:p w14:paraId="4C9D9207" w14:textId="77777777" w:rsidR="00717AFE" w:rsidRDefault="006D328B">
      <w:pPr>
        <w:pStyle w:val="ListParagraph"/>
        <w:numPr>
          <w:ilvl w:val="0"/>
          <w:numId w:val="1"/>
        </w:numPr>
        <w:tabs>
          <w:tab w:val="left" w:pos="1440"/>
        </w:tabs>
        <w:spacing w:before="3" w:line="273" w:lineRule="auto"/>
        <w:ind w:right="814"/>
        <w:rPr>
          <w:i/>
          <w:sz w:val="24"/>
        </w:rPr>
      </w:pPr>
      <w:hyperlink r:id="rId59" w:anchor="%3A%7E%3Atext%3DThe%20Massachusetts%20Student%20Anti-Discrimination%2C%2C%20gender%20identity%2C%20religion%2C%20national">
        <w:r>
          <w:rPr>
            <w:color w:val="467885"/>
            <w:sz w:val="24"/>
            <w:u w:val="single" w:color="467885"/>
          </w:rPr>
          <w:t>Aviso de la Fiscalía General sobre el acceso equitativo a la educación pública para todos</w:t>
        </w:r>
      </w:hyperlink>
      <w:r>
        <w:rPr>
          <w:color w:val="467885"/>
          <w:sz w:val="24"/>
        </w:rPr>
        <w:t xml:space="preserve"> </w:t>
      </w:r>
      <w:hyperlink r:id="rId60" w:anchor="%3A%7E%3Atext%3DThe%20Massachusetts%20Student%20Anti-Discrimination%2C%2C%20gender%20identity%2C%20religion%2C%20national">
        <w:r>
          <w:rPr>
            <w:color w:val="467885"/>
            <w:sz w:val="24"/>
            <w:u w:val="single" w:color="467885"/>
          </w:rPr>
          <w:t>los estudiantes, independientemente de su estatus migratorio</w:t>
        </w:r>
      </w:hyperlink>
      <w:r>
        <w:rPr>
          <w:color w:val="467885"/>
          <w:sz w:val="24"/>
        </w:rPr>
        <w:t xml:space="preserve"> </w:t>
      </w:r>
      <w:r>
        <w:rPr>
          <w:i/>
          <w:sz w:val="24"/>
        </w:rPr>
        <w:lastRenderedPageBreak/>
        <w:t xml:space="preserve">(disponible en </w:t>
      </w:r>
      <w:hyperlink r:id="rId61">
        <w:r>
          <w:rPr>
            <w:i/>
            <w:color w:val="467885"/>
            <w:sz w:val="24"/>
            <w:u w:val="single" w:color="467885"/>
          </w:rPr>
          <w:t>español</w:t>
        </w:r>
      </w:hyperlink>
      <w:r>
        <w:rPr>
          <w:i/>
          <w:sz w:val="24"/>
        </w:rPr>
        <w:t xml:space="preserve">, </w:t>
      </w:r>
      <w:hyperlink r:id="rId62">
        <w:r>
          <w:rPr>
            <w:i/>
            <w:color w:val="467885"/>
            <w:sz w:val="24"/>
            <w:u w:val="single" w:color="467885"/>
          </w:rPr>
          <w:t>portugués</w:t>
        </w:r>
      </w:hyperlink>
      <w:r>
        <w:rPr>
          <w:i/>
          <w:sz w:val="24"/>
        </w:rPr>
        <w:t xml:space="preserve">, </w:t>
      </w:r>
      <w:hyperlink r:id="rId63">
        <w:r>
          <w:rPr>
            <w:i/>
            <w:color w:val="467885"/>
            <w:sz w:val="24"/>
            <w:u w:val="single" w:color="467885"/>
          </w:rPr>
          <w:t>árabe</w:t>
        </w:r>
      </w:hyperlink>
      <w:r>
        <w:rPr>
          <w:i/>
          <w:sz w:val="24"/>
        </w:rPr>
        <w:t>)</w:t>
      </w:r>
    </w:p>
    <w:p w14:paraId="4C9D9208" w14:textId="77777777" w:rsidR="00717AFE" w:rsidRDefault="006D328B">
      <w:pPr>
        <w:pStyle w:val="ListParagraph"/>
        <w:numPr>
          <w:ilvl w:val="0"/>
          <w:numId w:val="1"/>
        </w:numPr>
        <w:tabs>
          <w:tab w:val="left" w:pos="1440"/>
        </w:tabs>
        <w:spacing w:before="5" w:line="271" w:lineRule="auto"/>
        <w:ind w:right="1083"/>
        <w:rPr>
          <w:sz w:val="24"/>
        </w:rPr>
      </w:pPr>
      <w:hyperlink r:id="rId64">
        <w:r>
          <w:rPr>
            <w:color w:val="467885"/>
            <w:sz w:val="24"/>
            <w:u w:val="single" w:color="467885"/>
          </w:rPr>
          <w:t>Defensa de los derechos de los estudiantes inmigrantes a matricularse en la escuela:</w:t>
        </w:r>
      </w:hyperlink>
      <w:hyperlink r:id="rId65">
        <w:r>
          <w:rPr>
            <w:color w:val="467885"/>
            <w:sz w:val="24"/>
            <w:u w:val="single" w:color="467885"/>
          </w:rPr>
          <w:t xml:space="preserve"> Orientaciones para</w:t>
        </w:r>
      </w:hyperlink>
      <w:r>
        <w:rPr>
          <w:color w:val="467885"/>
          <w:sz w:val="24"/>
        </w:rPr>
        <w:t xml:space="preserve"> </w:t>
      </w:r>
      <w:hyperlink r:id="rId66">
        <w:r>
          <w:rPr>
            <w:color w:val="467885"/>
            <w:sz w:val="24"/>
            <w:u w:val="single" w:color="467885"/>
          </w:rPr>
          <w:t>comités y distritos escolares</w:t>
        </w:r>
      </w:hyperlink>
    </w:p>
    <w:p w14:paraId="4C9D9209" w14:textId="77777777" w:rsidR="00717AFE" w:rsidRDefault="006D328B">
      <w:pPr>
        <w:pStyle w:val="ListParagraph"/>
        <w:numPr>
          <w:ilvl w:val="0"/>
          <w:numId w:val="1"/>
        </w:numPr>
        <w:tabs>
          <w:tab w:val="left" w:pos="1440"/>
        </w:tabs>
        <w:spacing w:before="9" w:line="271" w:lineRule="auto"/>
        <w:ind w:right="1083"/>
        <w:rPr>
          <w:i/>
          <w:sz w:val="24"/>
        </w:rPr>
      </w:pPr>
      <w:hyperlink r:id="rId67">
        <w:r>
          <w:rPr>
            <w:color w:val="467885"/>
            <w:sz w:val="24"/>
            <w:u w:val="single" w:color="467885"/>
          </w:rPr>
          <w:t>Defensa de los derechos de los estudiantes inmigrantes a matricularse en la escuela:</w:t>
        </w:r>
      </w:hyperlink>
      <w:hyperlink r:id="rId68">
        <w:r>
          <w:rPr>
            <w:color w:val="467885"/>
            <w:sz w:val="24"/>
            <w:u w:val="single" w:color="467885"/>
          </w:rPr>
          <w:t xml:space="preserve"> Orientaciones para</w:t>
        </w:r>
      </w:hyperlink>
      <w:r>
        <w:rPr>
          <w:color w:val="467885"/>
          <w:sz w:val="24"/>
        </w:rPr>
        <w:t xml:space="preserve"> </w:t>
      </w:r>
      <w:hyperlink r:id="rId69">
        <w:r>
          <w:rPr>
            <w:color w:val="467885"/>
            <w:sz w:val="24"/>
            <w:u w:val="single" w:color="467885"/>
          </w:rPr>
          <w:t>familias y estudiantes</w:t>
        </w:r>
      </w:hyperlink>
      <w:r>
        <w:rPr>
          <w:color w:val="467885"/>
          <w:sz w:val="24"/>
        </w:rPr>
        <w:t xml:space="preserve"> </w:t>
      </w:r>
      <w:r>
        <w:rPr>
          <w:i/>
          <w:sz w:val="24"/>
        </w:rPr>
        <w:t xml:space="preserve">(disponible en </w:t>
      </w:r>
      <w:hyperlink r:id="rId70">
        <w:r>
          <w:rPr>
            <w:i/>
            <w:color w:val="467885"/>
            <w:sz w:val="24"/>
          </w:rPr>
          <w:t>chino</w:t>
        </w:r>
      </w:hyperlink>
      <w:r>
        <w:rPr>
          <w:i/>
          <w:sz w:val="24"/>
        </w:rPr>
        <w:t xml:space="preserve">, </w:t>
      </w:r>
      <w:hyperlink r:id="rId71">
        <w:r>
          <w:rPr>
            <w:rFonts w:ascii="Calibri" w:hAnsi="Calibri"/>
            <w:color w:val="467885"/>
            <w:sz w:val="24"/>
            <w:u w:val="single" w:color="467885"/>
          </w:rPr>
          <w:t>criollo haitiano</w:t>
        </w:r>
        <w:r>
          <w:rPr>
            <w:i/>
            <w:sz w:val="24"/>
          </w:rPr>
          <w:t>,</w:t>
        </w:r>
      </w:hyperlink>
      <w:r>
        <w:rPr>
          <w:i/>
          <w:sz w:val="24"/>
        </w:rPr>
        <w:t xml:space="preserve"> </w:t>
      </w:r>
      <w:hyperlink r:id="rId72">
        <w:r>
          <w:rPr>
            <w:rFonts w:ascii="Calibri" w:hAnsi="Calibri"/>
            <w:color w:val="467885"/>
            <w:sz w:val="24"/>
            <w:u w:val="single" w:color="467885"/>
          </w:rPr>
          <w:t>portugués</w:t>
        </w:r>
        <w:r>
          <w:rPr>
            <w:i/>
            <w:sz w:val="24"/>
          </w:rPr>
          <w:t>,</w:t>
        </w:r>
      </w:hyperlink>
      <w:r>
        <w:rPr>
          <w:i/>
          <w:sz w:val="24"/>
        </w:rPr>
        <w:t xml:space="preserve"> </w:t>
      </w:r>
      <w:hyperlink r:id="rId73">
        <w:r>
          <w:rPr>
            <w:rFonts w:ascii="Calibri" w:hAnsi="Calibri"/>
            <w:color w:val="467885"/>
            <w:sz w:val="24"/>
            <w:u w:val="single" w:color="467885"/>
          </w:rPr>
          <w:t>español</w:t>
        </w:r>
      </w:hyperlink>
      <w:r>
        <w:rPr>
          <w:i/>
          <w:sz w:val="24"/>
        </w:rPr>
        <w:t xml:space="preserve">, </w:t>
      </w:r>
      <w:hyperlink r:id="rId74">
        <w:r>
          <w:rPr>
            <w:rFonts w:ascii="Calibri" w:hAnsi="Calibri"/>
            <w:color w:val="467885"/>
            <w:sz w:val="24"/>
            <w:u w:val="single" w:color="467885"/>
          </w:rPr>
          <w:t>vietnamita</w:t>
        </w:r>
      </w:hyperlink>
      <w:r>
        <w:rPr>
          <w:i/>
          <w:sz w:val="24"/>
        </w:rPr>
        <w:t>)</w:t>
      </w:r>
    </w:p>
    <w:p w14:paraId="4C9D920A" w14:textId="77777777" w:rsidR="00717AFE" w:rsidRDefault="00717AFE">
      <w:pPr>
        <w:pStyle w:val="ListParagraph"/>
        <w:spacing w:line="271" w:lineRule="auto"/>
        <w:rPr>
          <w:i/>
          <w:sz w:val="24"/>
        </w:rPr>
        <w:sectPr w:rsidR="00717AFE">
          <w:pgSz w:w="12240" w:h="15840"/>
          <w:pgMar w:top="1360" w:right="720" w:bottom="1260" w:left="1440" w:header="0" w:footer="1079" w:gutter="0"/>
          <w:cols w:space="720"/>
        </w:sectPr>
      </w:pPr>
    </w:p>
    <w:p w14:paraId="4C9D920B" w14:textId="77777777" w:rsidR="00717AFE" w:rsidRPr="00C15353" w:rsidRDefault="006D328B" w:rsidP="00C15353">
      <w:pPr>
        <w:pStyle w:val="Heading2"/>
        <w:numPr>
          <w:ilvl w:val="0"/>
          <w:numId w:val="0"/>
        </w:numPr>
        <w:ind w:left="-1"/>
        <w:jc w:val="center"/>
        <w:rPr>
          <w:color w:val="auto"/>
        </w:rPr>
      </w:pPr>
      <w:r w:rsidRPr="00C15353">
        <w:rPr>
          <w:color w:val="auto"/>
        </w:rPr>
        <w:lastRenderedPageBreak/>
        <w:t>APÉNDICE A</w:t>
      </w:r>
    </w:p>
    <w:p w14:paraId="4C9D920C" w14:textId="30B123E5" w:rsidR="00717AFE" w:rsidRDefault="006D328B">
      <w:pPr>
        <w:spacing w:before="201"/>
        <w:ind w:right="723"/>
        <w:jc w:val="center"/>
        <w:rPr>
          <w:b/>
          <w:sz w:val="24"/>
        </w:rPr>
      </w:pPr>
      <w:r>
        <w:rPr>
          <w:b/>
          <w:sz w:val="24"/>
        </w:rPr>
        <w:t>Ejemplos de órdenes judiciales y órdenes administrativas</w:t>
      </w:r>
    </w:p>
    <w:p w14:paraId="4C9D920D" w14:textId="6C64EBB3" w:rsidR="00717AFE" w:rsidRDefault="006D328B">
      <w:pPr>
        <w:pStyle w:val="BodyText"/>
        <w:spacing w:before="202"/>
        <w:ind w:firstLine="0"/>
      </w:pPr>
      <w:r>
        <w:t>Figura 1: Orden judicial emitida por un tribunal estatal</w:t>
      </w:r>
    </w:p>
    <w:p w14:paraId="4C9D920E" w14:textId="77777777" w:rsidR="00717AFE" w:rsidRDefault="006D328B">
      <w:pPr>
        <w:pStyle w:val="BodyText"/>
        <w:spacing w:before="73"/>
        <w:ind w:firstLine="0"/>
        <w:rPr>
          <w:sz w:val="20"/>
        </w:rPr>
      </w:pPr>
      <w:r>
        <w:rPr>
          <w:noProof/>
          <w:sz w:val="20"/>
        </w:rPr>
        <w:drawing>
          <wp:anchor distT="0" distB="0" distL="0" distR="0" simplePos="0" relativeHeight="487590400" behindDoc="1" locked="0" layoutInCell="1" allowOverlap="1" wp14:anchorId="4C9D9222" wp14:editId="3E79650B">
            <wp:simplePos x="0" y="0"/>
            <wp:positionH relativeFrom="page">
              <wp:posOffset>993650</wp:posOffset>
            </wp:positionH>
            <wp:positionV relativeFrom="paragraph">
              <wp:posOffset>208064</wp:posOffset>
            </wp:positionV>
            <wp:extent cx="5497258" cy="4020502"/>
            <wp:effectExtent l="0" t="0" r="0" b="0"/>
            <wp:wrapTopAndBottom/>
            <wp:docPr id="8" name="Image 8" descr="Ejemplos de órdenes judiciales estatales y órdenes administrativ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Ejemplos de órdenes judiciales estatales y órdenes administrativas"/>
                    <pic:cNvPicPr/>
                  </pic:nvPicPr>
                  <pic:blipFill>
                    <a:blip r:embed="rId75" cstate="print"/>
                    <a:stretch>
                      <a:fillRect/>
                    </a:stretch>
                  </pic:blipFill>
                  <pic:spPr>
                    <a:xfrm>
                      <a:off x="0" y="0"/>
                      <a:ext cx="5497258" cy="4020502"/>
                    </a:xfrm>
                    <a:prstGeom prst="rect">
                      <a:avLst/>
                    </a:prstGeom>
                  </pic:spPr>
                </pic:pic>
              </a:graphicData>
            </a:graphic>
          </wp:anchor>
        </w:drawing>
      </w:r>
    </w:p>
    <w:p w14:paraId="4C9D920F" w14:textId="77777777" w:rsidR="00717AFE" w:rsidRDefault="00717AFE">
      <w:pPr>
        <w:pStyle w:val="BodyText"/>
        <w:rPr>
          <w:sz w:val="20"/>
        </w:rPr>
        <w:sectPr w:rsidR="00717AFE">
          <w:pgSz w:w="12240" w:h="15840"/>
          <w:pgMar w:top="1360" w:right="720" w:bottom="1260" w:left="1440" w:header="0" w:footer="1079" w:gutter="0"/>
          <w:cols w:space="720"/>
        </w:sectPr>
      </w:pPr>
    </w:p>
    <w:p w14:paraId="4C9D9210" w14:textId="77777777" w:rsidR="00717AFE" w:rsidRPr="00C15353" w:rsidRDefault="006D328B" w:rsidP="00C15353">
      <w:pPr>
        <w:jc w:val="center"/>
        <w:rPr>
          <w:b/>
          <w:bCs/>
          <w:sz w:val="28"/>
          <w:szCs w:val="28"/>
        </w:rPr>
      </w:pPr>
      <w:r w:rsidRPr="00C15353">
        <w:rPr>
          <w:b/>
          <w:bCs/>
          <w:sz w:val="28"/>
          <w:szCs w:val="28"/>
        </w:rPr>
        <w:lastRenderedPageBreak/>
        <w:t>APÉNDICE A</w:t>
      </w:r>
    </w:p>
    <w:p w14:paraId="4C9D9211" w14:textId="2461A24C" w:rsidR="00717AFE" w:rsidRDefault="006D328B">
      <w:pPr>
        <w:spacing w:before="201"/>
        <w:ind w:right="723"/>
        <w:jc w:val="center"/>
        <w:rPr>
          <w:b/>
          <w:sz w:val="24"/>
        </w:rPr>
      </w:pPr>
      <w:r>
        <w:rPr>
          <w:b/>
          <w:sz w:val="24"/>
        </w:rPr>
        <w:t>Ejemplos de órdenes judiciales y órdenes administrativas</w:t>
      </w:r>
    </w:p>
    <w:p w14:paraId="4C9D9212" w14:textId="77777777" w:rsidR="00717AFE" w:rsidRDefault="00717AFE">
      <w:pPr>
        <w:pStyle w:val="BodyText"/>
        <w:ind w:firstLine="0"/>
        <w:rPr>
          <w:b/>
        </w:rPr>
      </w:pPr>
    </w:p>
    <w:p w14:paraId="4C9D9213" w14:textId="77777777" w:rsidR="00717AFE" w:rsidRDefault="00717AFE">
      <w:pPr>
        <w:pStyle w:val="BodyText"/>
        <w:spacing w:before="128"/>
        <w:ind w:firstLine="0"/>
        <w:rPr>
          <w:b/>
        </w:rPr>
      </w:pPr>
    </w:p>
    <w:p w14:paraId="4C9D9214" w14:textId="77777777" w:rsidR="00717AFE" w:rsidRDefault="006D328B">
      <w:pPr>
        <w:pStyle w:val="BodyText"/>
        <w:ind w:firstLine="0"/>
      </w:pPr>
      <w:r>
        <w:t>Figura 2: "Orden judicial de registro" de un tribunal federal (izquierda) y "orden administrativa de ICE" (derecha)</w:t>
      </w:r>
    </w:p>
    <w:p w14:paraId="4C9D9215" w14:textId="77777777" w:rsidR="00717AFE" w:rsidRDefault="006D328B">
      <w:pPr>
        <w:pStyle w:val="BodyText"/>
        <w:spacing w:before="37"/>
        <w:ind w:firstLine="0"/>
        <w:rPr>
          <w:sz w:val="20"/>
        </w:rPr>
      </w:pPr>
      <w:r>
        <w:rPr>
          <w:noProof/>
          <w:sz w:val="20"/>
        </w:rPr>
        <w:drawing>
          <wp:anchor distT="0" distB="0" distL="0" distR="0" simplePos="0" relativeHeight="487590912" behindDoc="1" locked="0" layoutInCell="1" allowOverlap="1" wp14:anchorId="4C9D9224" wp14:editId="22C45211">
            <wp:simplePos x="0" y="0"/>
            <wp:positionH relativeFrom="page">
              <wp:posOffset>1169679</wp:posOffset>
            </wp:positionH>
            <wp:positionV relativeFrom="paragraph">
              <wp:posOffset>185208</wp:posOffset>
            </wp:positionV>
            <wp:extent cx="6099098" cy="2650236"/>
            <wp:effectExtent l="0" t="0" r="0" b="0"/>
            <wp:wrapTopAndBottom/>
            <wp:docPr id="9" name="Image 9" descr="Ejemplos de órdenes judiciales federales y órdenes administrativ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Ejemplos de órdenes judiciales federales y órdenes administrativas"/>
                    <pic:cNvPicPr/>
                  </pic:nvPicPr>
                  <pic:blipFill>
                    <a:blip r:embed="rId76" cstate="print"/>
                    <a:stretch>
                      <a:fillRect/>
                    </a:stretch>
                  </pic:blipFill>
                  <pic:spPr>
                    <a:xfrm>
                      <a:off x="0" y="0"/>
                      <a:ext cx="6099098" cy="2650236"/>
                    </a:xfrm>
                    <a:prstGeom prst="rect">
                      <a:avLst/>
                    </a:prstGeom>
                  </pic:spPr>
                </pic:pic>
              </a:graphicData>
            </a:graphic>
          </wp:anchor>
        </w:drawing>
      </w:r>
    </w:p>
    <w:sectPr w:rsidR="00717AFE">
      <w:pgSz w:w="12240" w:h="15840"/>
      <w:pgMar w:top="1360" w:right="720" w:bottom="1260" w:left="1440" w:header="0"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0D06" w14:textId="77777777" w:rsidR="00AA7145" w:rsidRDefault="00AA7145">
      <w:r>
        <w:separator/>
      </w:r>
    </w:p>
  </w:endnote>
  <w:endnote w:type="continuationSeparator" w:id="0">
    <w:p w14:paraId="2ECE93D7" w14:textId="77777777" w:rsidR="00AA7145" w:rsidRDefault="00AA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altName w:val="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9226" w14:textId="77777777" w:rsidR="00717AFE" w:rsidRDefault="006D328B">
    <w:pPr>
      <w:pStyle w:val="BodyText"/>
      <w:spacing w:line="14" w:lineRule="auto"/>
      <w:ind w:firstLine="0"/>
      <w:rPr>
        <w:sz w:val="20"/>
      </w:rPr>
    </w:pPr>
    <w:r>
      <w:rPr>
        <w:noProof/>
        <w:sz w:val="20"/>
      </w:rPr>
      <mc:AlternateContent>
        <mc:Choice Requires="wps">
          <w:drawing>
            <wp:anchor distT="0" distB="0" distL="0" distR="0" simplePos="0" relativeHeight="487411712" behindDoc="1" locked="0" layoutInCell="1" allowOverlap="1" wp14:anchorId="4C9D9227" wp14:editId="4C9D9228">
              <wp:simplePos x="0" y="0"/>
              <wp:positionH relativeFrom="page">
                <wp:posOffset>6692900</wp:posOffset>
              </wp:positionH>
              <wp:positionV relativeFrom="page">
                <wp:posOffset>9212229</wp:posOffset>
              </wp:positionV>
              <wp:extent cx="215900" cy="215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15265"/>
                      </a:xfrm>
                      <a:prstGeom prst="rect">
                        <a:avLst/>
                      </a:prstGeom>
                    </wps:spPr>
                    <wps:txbx>
                      <w:txbxContent>
                        <w:p w14:paraId="4C9D9229" w14:textId="77777777" w:rsidR="00717AFE" w:rsidRDefault="006D328B">
                          <w:pPr>
                            <w:pStyle w:val="BodyText"/>
                            <w:spacing w:before="43"/>
                            <w:ind w:left="20" w:firstLine="0"/>
                          </w:pPr>
                          <w:r>
                            <w:fldChar w:fldCharType="begin"/>
                          </w:r>
                          <w:r>
                            <w:instrText xml:space="preserve"> PAGE </w:instrText>
                          </w:r>
                          <w:r>
                            <w:fldChar w:fldCharType="separate"/>
                          </w:r>
                          <w:r>
                            <w:t>10</w:t>
                          </w:r>
                          <w:r>
                            <w:fldChar w:fldCharType="end"/>
                          </w:r>
                        </w:p>
                      </w:txbxContent>
                    </wps:txbx>
                    <wps:bodyPr wrap="square" lIns="0" tIns="0" rIns="0" bIns="0" rtlCol="0">
                      <a:noAutofit/>
                    </wps:bodyPr>
                  </wps:wsp>
                </a:graphicData>
              </a:graphic>
            </wp:anchor>
          </w:drawing>
        </mc:Choice>
        <mc:Fallback>
          <w:pict>
            <v:shapetype w14:anchorId="4C9D9227" id="_x0000_t202" coordsize="21600,21600" o:spt="202" path="m,l,21600r21600,l21600,xe">
              <v:stroke joinstyle="miter"/>
              <v:path gradientshapeok="t" o:connecttype="rect"/>
            </v:shapetype>
            <v:shape id="Textbox 1" o:spid="_x0000_s1026" type="#_x0000_t202" style="position:absolute;margin-left:527pt;margin-top:725.35pt;width:17pt;height:16.95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" filled="f" stroked="f">
              <v:textbox inset="0,0,0,0">
                <w:txbxContent>
                  <w:p w14:paraId="4C9D9229" w14:textId="77777777" w:rsidR="00717AFE" w:rsidRDefault="006D328B">
                    <w:pPr>
                      <w:pStyle w:val="BodyText"/>
                      <w:spacing w:before="43"/>
                      <w:ind w:left="20" w:firstLine="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A70FE" w14:textId="77777777" w:rsidR="00AA7145" w:rsidRDefault="00AA7145">
      <w:r>
        <w:separator/>
      </w:r>
    </w:p>
  </w:footnote>
  <w:footnote w:type="continuationSeparator" w:id="0">
    <w:p w14:paraId="37F9AC3F" w14:textId="77777777" w:rsidR="00AA7145" w:rsidRDefault="00AA7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B6"/>
    <w:multiLevelType w:val="hybridMultilevel"/>
    <w:tmpl w:val="DA58E756"/>
    <w:lvl w:ilvl="0" w:tplc="6A8C1BB8">
      <w:start w:val="1"/>
      <w:numFmt w:val="upperRoman"/>
      <w:pStyle w:val="Heading2"/>
      <w:lvlText w:val="%1."/>
      <w:lvlJc w:val="left"/>
      <w:pPr>
        <w:ind w:left="719" w:hanging="720"/>
      </w:pPr>
      <w:rPr>
        <w:rFonts w:ascii="Times New Roman" w:eastAsia="Times New Roman" w:hAnsi="Times New Roman" w:cs="Times New Roman" w:hint="default"/>
        <w:b/>
        <w:bCs/>
        <w:i w:val="0"/>
        <w:iCs w:val="0"/>
        <w:spacing w:val="0"/>
        <w:w w:val="100"/>
        <w:sz w:val="28"/>
        <w:szCs w:val="28"/>
        <w:lang w:val="en-US" w:eastAsia="en-US" w:bidi="ar-SA"/>
      </w:rPr>
    </w:lvl>
    <w:lvl w:ilvl="1" w:tplc="1EA29632">
      <w:start w:val="1"/>
      <w:numFmt w:val="upperLetter"/>
      <w:lvlText w:val="%2."/>
      <w:lvlJc w:val="left"/>
      <w:pPr>
        <w:ind w:left="108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833656EA">
      <w:start w:val="1"/>
      <w:numFmt w:val="decimal"/>
      <w:lvlText w:val="%3."/>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DBE8D8EA">
      <w:start w:val="1"/>
      <w:numFmt w:val="lowerLetter"/>
      <w:lvlText w:val="%4."/>
      <w:lvlJc w:val="left"/>
      <w:pPr>
        <w:ind w:left="23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4" w:tplc="0372848A">
      <w:numFmt w:val="bullet"/>
      <w:lvlText w:val="•"/>
      <w:lvlJc w:val="left"/>
      <w:pPr>
        <w:ind w:left="3445" w:hanging="360"/>
      </w:pPr>
      <w:rPr>
        <w:rFonts w:hint="default"/>
        <w:lang w:val="en-US" w:eastAsia="en-US" w:bidi="ar-SA"/>
      </w:rPr>
    </w:lvl>
    <w:lvl w:ilvl="5" w:tplc="2A102F6C">
      <w:numFmt w:val="bullet"/>
      <w:lvlText w:val="•"/>
      <w:lvlJc w:val="left"/>
      <w:pPr>
        <w:ind w:left="4551" w:hanging="360"/>
      </w:pPr>
      <w:rPr>
        <w:rFonts w:hint="default"/>
        <w:lang w:val="en-US" w:eastAsia="en-US" w:bidi="ar-SA"/>
      </w:rPr>
    </w:lvl>
    <w:lvl w:ilvl="6" w:tplc="987E9928">
      <w:numFmt w:val="bullet"/>
      <w:lvlText w:val="•"/>
      <w:lvlJc w:val="left"/>
      <w:pPr>
        <w:ind w:left="5657" w:hanging="360"/>
      </w:pPr>
      <w:rPr>
        <w:rFonts w:hint="default"/>
        <w:lang w:val="en-US" w:eastAsia="en-US" w:bidi="ar-SA"/>
      </w:rPr>
    </w:lvl>
    <w:lvl w:ilvl="7" w:tplc="2AE04044">
      <w:numFmt w:val="bullet"/>
      <w:lvlText w:val="•"/>
      <w:lvlJc w:val="left"/>
      <w:pPr>
        <w:ind w:left="6762" w:hanging="360"/>
      </w:pPr>
      <w:rPr>
        <w:rFonts w:hint="default"/>
        <w:lang w:val="en-US" w:eastAsia="en-US" w:bidi="ar-SA"/>
      </w:rPr>
    </w:lvl>
    <w:lvl w:ilvl="8" w:tplc="004EEBC0">
      <w:numFmt w:val="bullet"/>
      <w:lvlText w:val="•"/>
      <w:lvlJc w:val="left"/>
      <w:pPr>
        <w:ind w:left="7868" w:hanging="360"/>
      </w:pPr>
      <w:rPr>
        <w:rFonts w:hint="default"/>
        <w:lang w:val="en-US" w:eastAsia="en-US" w:bidi="ar-SA"/>
      </w:rPr>
    </w:lvl>
  </w:abstractNum>
  <w:abstractNum w:abstractNumId="1" w15:restartNumberingAfterBreak="0">
    <w:nsid w:val="09065E8E"/>
    <w:multiLevelType w:val="hybridMultilevel"/>
    <w:tmpl w:val="4E6C0EEA"/>
    <w:lvl w:ilvl="0" w:tplc="661CC9B2">
      <w:start w:val="1"/>
      <w:numFmt w:val="upperRoman"/>
      <w:lvlText w:val="%1."/>
      <w:lvlJc w:val="left"/>
      <w:pPr>
        <w:ind w:left="108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2C02CD6E">
      <w:start w:val="1"/>
      <w:numFmt w:val="decimal"/>
      <w:lvlText w:val="%2."/>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A0161E1A">
      <w:numFmt w:val="bullet"/>
      <w:lvlText w:val="•"/>
      <w:lvlJc w:val="left"/>
      <w:pPr>
        <w:ind w:left="2080" w:hanging="720"/>
      </w:pPr>
      <w:rPr>
        <w:rFonts w:hint="default"/>
        <w:lang w:val="en-US" w:eastAsia="en-US" w:bidi="ar-SA"/>
      </w:rPr>
    </w:lvl>
    <w:lvl w:ilvl="3" w:tplc="0C3EF19C">
      <w:numFmt w:val="bullet"/>
      <w:lvlText w:val="•"/>
      <w:lvlJc w:val="left"/>
      <w:pPr>
        <w:ind w:left="3080" w:hanging="720"/>
      </w:pPr>
      <w:rPr>
        <w:rFonts w:hint="default"/>
        <w:lang w:val="en-US" w:eastAsia="en-US" w:bidi="ar-SA"/>
      </w:rPr>
    </w:lvl>
    <w:lvl w:ilvl="4" w:tplc="70BA2448">
      <w:numFmt w:val="bullet"/>
      <w:lvlText w:val="•"/>
      <w:lvlJc w:val="left"/>
      <w:pPr>
        <w:ind w:left="4080" w:hanging="720"/>
      </w:pPr>
      <w:rPr>
        <w:rFonts w:hint="default"/>
        <w:lang w:val="en-US" w:eastAsia="en-US" w:bidi="ar-SA"/>
      </w:rPr>
    </w:lvl>
    <w:lvl w:ilvl="5" w:tplc="5BAC67E0">
      <w:numFmt w:val="bullet"/>
      <w:lvlText w:val="•"/>
      <w:lvlJc w:val="left"/>
      <w:pPr>
        <w:ind w:left="5080" w:hanging="720"/>
      </w:pPr>
      <w:rPr>
        <w:rFonts w:hint="default"/>
        <w:lang w:val="en-US" w:eastAsia="en-US" w:bidi="ar-SA"/>
      </w:rPr>
    </w:lvl>
    <w:lvl w:ilvl="6" w:tplc="72CEB72C">
      <w:numFmt w:val="bullet"/>
      <w:lvlText w:val="•"/>
      <w:lvlJc w:val="left"/>
      <w:pPr>
        <w:ind w:left="6080" w:hanging="720"/>
      </w:pPr>
      <w:rPr>
        <w:rFonts w:hint="default"/>
        <w:lang w:val="en-US" w:eastAsia="en-US" w:bidi="ar-SA"/>
      </w:rPr>
    </w:lvl>
    <w:lvl w:ilvl="7" w:tplc="8C645248">
      <w:numFmt w:val="bullet"/>
      <w:lvlText w:val="•"/>
      <w:lvlJc w:val="left"/>
      <w:pPr>
        <w:ind w:left="7080" w:hanging="720"/>
      </w:pPr>
      <w:rPr>
        <w:rFonts w:hint="default"/>
        <w:lang w:val="en-US" w:eastAsia="en-US" w:bidi="ar-SA"/>
      </w:rPr>
    </w:lvl>
    <w:lvl w:ilvl="8" w:tplc="04B4B8E0">
      <w:numFmt w:val="bullet"/>
      <w:lvlText w:val="•"/>
      <w:lvlJc w:val="left"/>
      <w:pPr>
        <w:ind w:left="8080" w:hanging="720"/>
      </w:pPr>
      <w:rPr>
        <w:rFonts w:hint="default"/>
        <w:lang w:val="en-US" w:eastAsia="en-US" w:bidi="ar-SA"/>
      </w:rPr>
    </w:lvl>
  </w:abstractNum>
  <w:abstractNum w:abstractNumId="2" w15:restartNumberingAfterBreak="0">
    <w:nsid w:val="11701C57"/>
    <w:multiLevelType w:val="hybridMultilevel"/>
    <w:tmpl w:val="D44CE196"/>
    <w:lvl w:ilvl="0" w:tplc="B994D8A0">
      <w:start w:val="10"/>
      <w:numFmt w:val="upperLetter"/>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26AE5DEC">
      <w:numFmt w:val="bullet"/>
      <w:lvlText w:val="•"/>
      <w:lvlJc w:val="left"/>
      <w:pPr>
        <w:ind w:left="1980" w:hanging="720"/>
      </w:pPr>
      <w:rPr>
        <w:rFonts w:hint="default"/>
        <w:lang w:val="en-US" w:eastAsia="en-US" w:bidi="ar-SA"/>
      </w:rPr>
    </w:lvl>
    <w:lvl w:ilvl="2" w:tplc="91C0127A">
      <w:numFmt w:val="bullet"/>
      <w:lvlText w:val="•"/>
      <w:lvlJc w:val="left"/>
      <w:pPr>
        <w:ind w:left="2880" w:hanging="720"/>
      </w:pPr>
      <w:rPr>
        <w:rFonts w:hint="default"/>
        <w:lang w:val="en-US" w:eastAsia="en-US" w:bidi="ar-SA"/>
      </w:rPr>
    </w:lvl>
    <w:lvl w:ilvl="3" w:tplc="176AC59A">
      <w:numFmt w:val="bullet"/>
      <w:lvlText w:val="•"/>
      <w:lvlJc w:val="left"/>
      <w:pPr>
        <w:ind w:left="3780" w:hanging="720"/>
      </w:pPr>
      <w:rPr>
        <w:rFonts w:hint="default"/>
        <w:lang w:val="en-US" w:eastAsia="en-US" w:bidi="ar-SA"/>
      </w:rPr>
    </w:lvl>
    <w:lvl w:ilvl="4" w:tplc="4AECB14E">
      <w:numFmt w:val="bullet"/>
      <w:lvlText w:val="•"/>
      <w:lvlJc w:val="left"/>
      <w:pPr>
        <w:ind w:left="4680" w:hanging="720"/>
      </w:pPr>
      <w:rPr>
        <w:rFonts w:hint="default"/>
        <w:lang w:val="en-US" w:eastAsia="en-US" w:bidi="ar-SA"/>
      </w:rPr>
    </w:lvl>
    <w:lvl w:ilvl="5" w:tplc="B1CA27EE">
      <w:numFmt w:val="bullet"/>
      <w:lvlText w:val="•"/>
      <w:lvlJc w:val="left"/>
      <w:pPr>
        <w:ind w:left="5580" w:hanging="720"/>
      </w:pPr>
      <w:rPr>
        <w:rFonts w:hint="default"/>
        <w:lang w:val="en-US" w:eastAsia="en-US" w:bidi="ar-SA"/>
      </w:rPr>
    </w:lvl>
    <w:lvl w:ilvl="6" w:tplc="23FE501C">
      <w:numFmt w:val="bullet"/>
      <w:lvlText w:val="•"/>
      <w:lvlJc w:val="left"/>
      <w:pPr>
        <w:ind w:left="6480" w:hanging="720"/>
      </w:pPr>
      <w:rPr>
        <w:rFonts w:hint="default"/>
        <w:lang w:val="en-US" w:eastAsia="en-US" w:bidi="ar-SA"/>
      </w:rPr>
    </w:lvl>
    <w:lvl w:ilvl="7" w:tplc="AD262B00">
      <w:numFmt w:val="bullet"/>
      <w:lvlText w:val="•"/>
      <w:lvlJc w:val="left"/>
      <w:pPr>
        <w:ind w:left="7380" w:hanging="720"/>
      </w:pPr>
      <w:rPr>
        <w:rFonts w:hint="default"/>
        <w:lang w:val="en-US" w:eastAsia="en-US" w:bidi="ar-SA"/>
      </w:rPr>
    </w:lvl>
    <w:lvl w:ilvl="8" w:tplc="00702E78">
      <w:numFmt w:val="bullet"/>
      <w:lvlText w:val="•"/>
      <w:lvlJc w:val="left"/>
      <w:pPr>
        <w:ind w:left="8280" w:hanging="720"/>
      </w:pPr>
      <w:rPr>
        <w:rFonts w:hint="default"/>
        <w:lang w:val="en-US" w:eastAsia="en-US" w:bidi="ar-SA"/>
      </w:rPr>
    </w:lvl>
  </w:abstractNum>
  <w:abstractNum w:abstractNumId="3" w15:restartNumberingAfterBreak="0">
    <w:nsid w:val="53DE3B28"/>
    <w:multiLevelType w:val="hybridMultilevel"/>
    <w:tmpl w:val="C6E013E0"/>
    <w:lvl w:ilvl="0" w:tplc="EF343076">
      <w:numFmt w:val="bullet"/>
      <w:lvlText w:val=""/>
      <w:lvlJc w:val="left"/>
      <w:pPr>
        <w:ind w:left="1440" w:hanging="720"/>
      </w:pPr>
      <w:rPr>
        <w:rFonts w:ascii="Symbol" w:eastAsia="Symbol" w:hAnsi="Symbol" w:cs="Symbol" w:hint="default"/>
        <w:b w:val="0"/>
        <w:bCs w:val="0"/>
        <w:i w:val="0"/>
        <w:iCs w:val="0"/>
        <w:spacing w:val="0"/>
        <w:w w:val="100"/>
        <w:sz w:val="24"/>
        <w:szCs w:val="24"/>
        <w:lang w:val="en-US" w:eastAsia="en-US" w:bidi="ar-SA"/>
      </w:rPr>
    </w:lvl>
    <w:lvl w:ilvl="1" w:tplc="7E20059E">
      <w:numFmt w:val="bullet"/>
      <w:lvlText w:val="•"/>
      <w:lvlJc w:val="left"/>
      <w:pPr>
        <w:ind w:left="2304" w:hanging="720"/>
      </w:pPr>
      <w:rPr>
        <w:rFonts w:hint="default"/>
        <w:lang w:val="en-US" w:eastAsia="en-US" w:bidi="ar-SA"/>
      </w:rPr>
    </w:lvl>
    <w:lvl w:ilvl="2" w:tplc="C2189CFC">
      <w:numFmt w:val="bullet"/>
      <w:lvlText w:val="•"/>
      <w:lvlJc w:val="left"/>
      <w:pPr>
        <w:ind w:left="3168" w:hanging="720"/>
      </w:pPr>
      <w:rPr>
        <w:rFonts w:hint="default"/>
        <w:lang w:val="en-US" w:eastAsia="en-US" w:bidi="ar-SA"/>
      </w:rPr>
    </w:lvl>
    <w:lvl w:ilvl="3" w:tplc="DE3C32AC">
      <w:numFmt w:val="bullet"/>
      <w:lvlText w:val="•"/>
      <w:lvlJc w:val="left"/>
      <w:pPr>
        <w:ind w:left="4032" w:hanging="720"/>
      </w:pPr>
      <w:rPr>
        <w:rFonts w:hint="default"/>
        <w:lang w:val="en-US" w:eastAsia="en-US" w:bidi="ar-SA"/>
      </w:rPr>
    </w:lvl>
    <w:lvl w:ilvl="4" w:tplc="684E19D6">
      <w:numFmt w:val="bullet"/>
      <w:lvlText w:val="•"/>
      <w:lvlJc w:val="left"/>
      <w:pPr>
        <w:ind w:left="4896" w:hanging="720"/>
      </w:pPr>
      <w:rPr>
        <w:rFonts w:hint="default"/>
        <w:lang w:val="en-US" w:eastAsia="en-US" w:bidi="ar-SA"/>
      </w:rPr>
    </w:lvl>
    <w:lvl w:ilvl="5" w:tplc="798E9F82">
      <w:numFmt w:val="bullet"/>
      <w:lvlText w:val="•"/>
      <w:lvlJc w:val="left"/>
      <w:pPr>
        <w:ind w:left="5760" w:hanging="720"/>
      </w:pPr>
      <w:rPr>
        <w:rFonts w:hint="default"/>
        <w:lang w:val="en-US" w:eastAsia="en-US" w:bidi="ar-SA"/>
      </w:rPr>
    </w:lvl>
    <w:lvl w:ilvl="6" w:tplc="ECE6DBFC">
      <w:numFmt w:val="bullet"/>
      <w:lvlText w:val="•"/>
      <w:lvlJc w:val="left"/>
      <w:pPr>
        <w:ind w:left="6624" w:hanging="720"/>
      </w:pPr>
      <w:rPr>
        <w:rFonts w:hint="default"/>
        <w:lang w:val="en-US" w:eastAsia="en-US" w:bidi="ar-SA"/>
      </w:rPr>
    </w:lvl>
    <w:lvl w:ilvl="7" w:tplc="FC1E9B20">
      <w:numFmt w:val="bullet"/>
      <w:lvlText w:val="•"/>
      <w:lvlJc w:val="left"/>
      <w:pPr>
        <w:ind w:left="7488" w:hanging="720"/>
      </w:pPr>
      <w:rPr>
        <w:rFonts w:hint="default"/>
        <w:lang w:val="en-US" w:eastAsia="en-US" w:bidi="ar-SA"/>
      </w:rPr>
    </w:lvl>
    <w:lvl w:ilvl="8" w:tplc="93D849EC">
      <w:numFmt w:val="bullet"/>
      <w:lvlText w:val="•"/>
      <w:lvlJc w:val="left"/>
      <w:pPr>
        <w:ind w:left="8352" w:hanging="720"/>
      </w:pPr>
      <w:rPr>
        <w:rFonts w:hint="default"/>
        <w:lang w:val="en-US" w:eastAsia="en-US" w:bidi="ar-SA"/>
      </w:rPr>
    </w:lvl>
  </w:abstractNum>
  <w:abstractNum w:abstractNumId="4" w15:restartNumberingAfterBreak="0">
    <w:nsid w:val="57C01A58"/>
    <w:multiLevelType w:val="hybridMultilevel"/>
    <w:tmpl w:val="A8A42888"/>
    <w:lvl w:ilvl="0" w:tplc="3A206060">
      <w:numFmt w:val="bullet"/>
      <w:lvlText w:val=""/>
      <w:lvlJc w:val="left"/>
      <w:pPr>
        <w:ind w:left="1531" w:hanging="812"/>
      </w:pPr>
      <w:rPr>
        <w:rFonts w:ascii="Symbol" w:eastAsia="Symbol" w:hAnsi="Symbol" w:cs="Symbol" w:hint="default"/>
        <w:b w:val="0"/>
        <w:bCs w:val="0"/>
        <w:i w:val="0"/>
        <w:iCs w:val="0"/>
        <w:spacing w:val="0"/>
        <w:w w:val="100"/>
        <w:sz w:val="24"/>
        <w:szCs w:val="24"/>
        <w:lang w:val="en-US" w:eastAsia="en-US" w:bidi="ar-SA"/>
      </w:rPr>
    </w:lvl>
    <w:lvl w:ilvl="1" w:tplc="99640264">
      <w:numFmt w:val="bullet"/>
      <w:lvlText w:val="•"/>
      <w:lvlJc w:val="left"/>
      <w:pPr>
        <w:ind w:left="2394" w:hanging="812"/>
      </w:pPr>
      <w:rPr>
        <w:rFonts w:hint="default"/>
        <w:lang w:val="en-US" w:eastAsia="en-US" w:bidi="ar-SA"/>
      </w:rPr>
    </w:lvl>
    <w:lvl w:ilvl="2" w:tplc="30160F30">
      <w:numFmt w:val="bullet"/>
      <w:lvlText w:val="•"/>
      <w:lvlJc w:val="left"/>
      <w:pPr>
        <w:ind w:left="3248" w:hanging="812"/>
      </w:pPr>
      <w:rPr>
        <w:rFonts w:hint="default"/>
        <w:lang w:val="en-US" w:eastAsia="en-US" w:bidi="ar-SA"/>
      </w:rPr>
    </w:lvl>
    <w:lvl w:ilvl="3" w:tplc="F488B598">
      <w:numFmt w:val="bullet"/>
      <w:lvlText w:val="•"/>
      <w:lvlJc w:val="left"/>
      <w:pPr>
        <w:ind w:left="4102" w:hanging="812"/>
      </w:pPr>
      <w:rPr>
        <w:rFonts w:hint="default"/>
        <w:lang w:val="en-US" w:eastAsia="en-US" w:bidi="ar-SA"/>
      </w:rPr>
    </w:lvl>
    <w:lvl w:ilvl="4" w:tplc="0E4CDF76">
      <w:numFmt w:val="bullet"/>
      <w:lvlText w:val="•"/>
      <w:lvlJc w:val="left"/>
      <w:pPr>
        <w:ind w:left="4956" w:hanging="812"/>
      </w:pPr>
      <w:rPr>
        <w:rFonts w:hint="default"/>
        <w:lang w:val="en-US" w:eastAsia="en-US" w:bidi="ar-SA"/>
      </w:rPr>
    </w:lvl>
    <w:lvl w:ilvl="5" w:tplc="701A232A">
      <w:numFmt w:val="bullet"/>
      <w:lvlText w:val="•"/>
      <w:lvlJc w:val="left"/>
      <w:pPr>
        <w:ind w:left="5810" w:hanging="812"/>
      </w:pPr>
      <w:rPr>
        <w:rFonts w:hint="default"/>
        <w:lang w:val="en-US" w:eastAsia="en-US" w:bidi="ar-SA"/>
      </w:rPr>
    </w:lvl>
    <w:lvl w:ilvl="6" w:tplc="45B0E286">
      <w:numFmt w:val="bullet"/>
      <w:lvlText w:val="•"/>
      <w:lvlJc w:val="left"/>
      <w:pPr>
        <w:ind w:left="6664" w:hanging="812"/>
      </w:pPr>
      <w:rPr>
        <w:rFonts w:hint="default"/>
        <w:lang w:val="en-US" w:eastAsia="en-US" w:bidi="ar-SA"/>
      </w:rPr>
    </w:lvl>
    <w:lvl w:ilvl="7" w:tplc="F2D22D28">
      <w:numFmt w:val="bullet"/>
      <w:lvlText w:val="•"/>
      <w:lvlJc w:val="left"/>
      <w:pPr>
        <w:ind w:left="7518" w:hanging="812"/>
      </w:pPr>
      <w:rPr>
        <w:rFonts w:hint="default"/>
        <w:lang w:val="en-US" w:eastAsia="en-US" w:bidi="ar-SA"/>
      </w:rPr>
    </w:lvl>
    <w:lvl w:ilvl="8" w:tplc="CC907016">
      <w:numFmt w:val="bullet"/>
      <w:lvlText w:val="•"/>
      <w:lvlJc w:val="left"/>
      <w:pPr>
        <w:ind w:left="8372" w:hanging="812"/>
      </w:pPr>
      <w:rPr>
        <w:rFonts w:hint="default"/>
        <w:lang w:val="en-US" w:eastAsia="en-US" w:bidi="ar-SA"/>
      </w:rPr>
    </w:lvl>
  </w:abstractNum>
  <w:num w:numId="1" w16cid:durableId="780733556">
    <w:abstractNumId w:val="3"/>
  </w:num>
  <w:num w:numId="2" w16cid:durableId="77140017">
    <w:abstractNumId w:val="2"/>
  </w:num>
  <w:num w:numId="3" w16cid:durableId="350569733">
    <w:abstractNumId w:val="1"/>
  </w:num>
  <w:num w:numId="4" w16cid:durableId="1186673286">
    <w:abstractNumId w:val="4"/>
  </w:num>
  <w:num w:numId="5" w16cid:durableId="71928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FE"/>
    <w:rsid w:val="00066D9C"/>
    <w:rsid w:val="00114BF2"/>
    <w:rsid w:val="002139B5"/>
    <w:rsid w:val="003478DB"/>
    <w:rsid w:val="003D3F34"/>
    <w:rsid w:val="00507B13"/>
    <w:rsid w:val="005161A5"/>
    <w:rsid w:val="005E1B8A"/>
    <w:rsid w:val="00660EE5"/>
    <w:rsid w:val="006D328B"/>
    <w:rsid w:val="00717AFE"/>
    <w:rsid w:val="00793364"/>
    <w:rsid w:val="007B2879"/>
    <w:rsid w:val="00990743"/>
    <w:rsid w:val="00A26D8F"/>
    <w:rsid w:val="00A86369"/>
    <w:rsid w:val="00AA7145"/>
    <w:rsid w:val="00B53482"/>
    <w:rsid w:val="00B55E42"/>
    <w:rsid w:val="00B95E70"/>
    <w:rsid w:val="00C15353"/>
    <w:rsid w:val="00CA4EA4"/>
    <w:rsid w:val="00D87202"/>
    <w:rsid w:val="00D93EC9"/>
    <w:rsid w:val="00DD5719"/>
    <w:rsid w:val="00EC5F09"/>
    <w:rsid w:val="00FB641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9163"/>
  <w15:docId w15:val="{9A8AF675-6774-4E03-BB71-0630A166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A26D8F"/>
    <w:pPr>
      <w:spacing w:before="60"/>
      <w:ind w:left="719" w:hanging="719"/>
      <w:jc w:val="center"/>
      <w:outlineLvl w:val="0"/>
    </w:pPr>
    <w:rPr>
      <w:b/>
      <w:bCs/>
      <w:color w:val="4F81BD" w:themeColor="accent1"/>
      <w:sz w:val="28"/>
      <w:szCs w:val="28"/>
    </w:rPr>
  </w:style>
  <w:style w:type="paragraph" w:styleId="Heading2">
    <w:name w:val="heading 2"/>
    <w:basedOn w:val="Heading1"/>
    <w:uiPriority w:val="9"/>
    <w:unhideWhenUsed/>
    <w:qFormat/>
    <w:rsid w:val="00C15353"/>
    <w:pPr>
      <w:numPr>
        <w:numId w:val="5"/>
      </w:numPr>
      <w:jc w:val="lef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20"/>
    </w:pPr>
    <w:rPr>
      <w:sz w:val="24"/>
      <w:szCs w:val="24"/>
    </w:rPr>
  </w:style>
  <w:style w:type="paragraph" w:styleId="Title">
    <w:name w:val="Title"/>
    <w:basedOn w:val="Normal"/>
    <w:uiPriority w:val="10"/>
    <w:qFormat/>
    <w:pPr>
      <w:ind w:right="719"/>
      <w:jc w:val="center"/>
    </w:pPr>
    <w:rPr>
      <w:b/>
      <w:bCs/>
      <w:sz w:val="32"/>
      <w:szCs w:val="32"/>
    </w:rPr>
  </w:style>
  <w:style w:type="paragraph" w:styleId="ListParagraph">
    <w:name w:val="List Paragraph"/>
    <w:basedOn w:val="Normal"/>
    <w:uiPriority w:val="1"/>
    <w:qFormat/>
    <w:pPr>
      <w:ind w:left="107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95E70"/>
    <w:pPr>
      <w:tabs>
        <w:tab w:val="center" w:pos="4680"/>
        <w:tab w:val="right" w:pos="9360"/>
      </w:tabs>
    </w:pPr>
  </w:style>
  <w:style w:type="character" w:customStyle="1" w:styleId="HeaderChar">
    <w:name w:val="Header Char"/>
    <w:basedOn w:val="DefaultParagraphFont"/>
    <w:link w:val="Header"/>
    <w:uiPriority w:val="99"/>
    <w:rsid w:val="00B95E70"/>
    <w:rPr>
      <w:rFonts w:ascii="Times New Roman" w:eastAsia="Times New Roman" w:hAnsi="Times New Roman" w:cs="Times New Roman"/>
    </w:rPr>
  </w:style>
  <w:style w:type="paragraph" w:styleId="Footer">
    <w:name w:val="footer"/>
    <w:basedOn w:val="Normal"/>
    <w:link w:val="FooterChar"/>
    <w:uiPriority w:val="99"/>
    <w:unhideWhenUsed/>
    <w:rsid w:val="00B95E70"/>
    <w:pPr>
      <w:tabs>
        <w:tab w:val="center" w:pos="4680"/>
        <w:tab w:val="right" w:pos="9360"/>
      </w:tabs>
    </w:pPr>
  </w:style>
  <w:style w:type="character" w:customStyle="1" w:styleId="FooterChar">
    <w:name w:val="Footer Char"/>
    <w:basedOn w:val="DefaultParagraphFont"/>
    <w:link w:val="Footer"/>
    <w:uiPriority w:val="99"/>
    <w:rsid w:val="00B95E7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ass.gov/doc/ago-service-providers-immigration-guidance-02072025/download" TargetMode="External"/><Relationship Id="rId21" Type="http://schemas.openxmlformats.org/officeDocument/2006/relationships/hyperlink" Target="https://www.mass.gov/doc/05292025-ago-ice-guidance-final-haitian-creole/download" TargetMode="External"/><Relationship Id="rId42" Type="http://schemas.openxmlformats.org/officeDocument/2006/relationships/hyperlink" Target="https://www.mass.gov/doc/quyen-duoc-den-truong-cua-hoc-sinh-nhap-cu-huong-dan-cho-gia-dinh/download" TargetMode="External"/><Relationship Id="rId47" Type="http://schemas.openxmlformats.org/officeDocument/2006/relationships/hyperlink" Target="https://www.mass.gov/doc/emergency-planning-guide-for-parents-with-uncertain-immigration-status/download" TargetMode="External"/><Relationship Id="rId63" Type="http://schemas.openxmlformats.org/officeDocument/2006/relationships/hyperlink" Target="https://www.mass.gov/doc/wswl-mtsawy-lltlym-alam-lkaft-altlbt-bsrf-alnzr-n-wd-alhjrt-alkhas-bhm/download" TargetMode="External"/><Relationship Id="rId68" Type="http://schemas.openxmlformats.org/officeDocument/2006/relationships/hyperlink" Target="https://www.doe.mass.edu/commissioner/spec-advisories/upholding-rights.html" TargetMode="External"/><Relationship Id="rId16" Type="http://schemas.openxmlformats.org/officeDocument/2006/relationships/hyperlink" Target="https://www.mass.gov/doc/ice-kyr-guidance-31226/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ago-service-providers-immigration-guidance-02072025/download" TargetMode="External"/><Relationship Id="rId32" Type="http://schemas.openxmlformats.org/officeDocument/2006/relationships/hyperlink" Target="https://www.mass.gov/doc/guidance-for-k-12-schools-on-protecting-students-and-their-information/download" TargetMode="External"/><Relationship Id="rId37" Type="http://schemas.openxmlformats.org/officeDocument/2006/relationships/hyperlink" Target="https://www.mass.gov/doc/immigrant-students-right-to-attend-school-a-guide-for-families/download" TargetMode="External"/><Relationship Id="rId40" Type="http://schemas.openxmlformats.org/officeDocument/2006/relationships/hyperlink" Target="https://www.mass.gov/doc/direito-dos-estudantes-imigrantes-de-frequentar-a-escola-um-guia-para-as-familias/download" TargetMode="External"/><Relationship Id="rId45" Type="http://schemas.openxmlformats.org/officeDocument/2006/relationships/hyperlink" Target="https://www.mass.gov/doc/flyer-for-k-12-schools-on-protecting-students-and-their-information/download" TargetMode="External"/><Relationship Id="rId53" Type="http://schemas.openxmlformats.org/officeDocument/2006/relationships/hyperlink" Target="https://www.mass.gov/doc/emergency-planning-fact-sheet-for-parents-with-uncertain-immigration-status/download" TargetMode="External"/><Relationship Id="rId58" Type="http://schemas.openxmlformats.org/officeDocument/2006/relationships/hyperlink" Target="https://www.mass.gov/doc/simplified-chinese-emergency-planning-fact-sheet-for-parents-with-uncertain-immigration-status-july-2025/download" TargetMode="External"/><Relationship Id="rId66" Type="http://schemas.openxmlformats.org/officeDocument/2006/relationships/hyperlink" Target="https://www.doe.mass.edu/commissioner/spec-advisories/upholding-rights.html" TargetMode="External"/><Relationship Id="rId74" Type="http://schemas.openxmlformats.org/officeDocument/2006/relationships/hyperlink" Target="https://www.doe.mass.edu/commissioner/spec-advisories/families-students-guide-vietnamese.pdf" TargetMode="External"/><Relationship Id="rId5" Type="http://schemas.openxmlformats.org/officeDocument/2006/relationships/footnotes" Target="footnotes.xml"/><Relationship Id="rId61" Type="http://schemas.openxmlformats.org/officeDocument/2006/relationships/hyperlink" Target="https://www.mass.gov/doc/recomendacion-del-procuradora-general-igualdad-en-el-acceso-a-la-educacion-pubica-para-todos-los-estudiantes-sin-importar-su-condicion-migratoria/download" TargetMode="External"/><Relationship Id="rId19" Type="http://schemas.openxmlformats.org/officeDocument/2006/relationships/hyperlink" Target="https://www.mass.gov/doc/05292025-ago-ice-guidance-spanish/download" TargetMode="External"/><Relationship Id="rId14" Type="http://schemas.openxmlformats.org/officeDocument/2006/relationships/hyperlink" Target="https://www.mass.gov/community-resource-toolkit" TargetMode="External"/><Relationship Id="rId22" Type="http://schemas.openxmlformats.org/officeDocument/2006/relationships/hyperlink" Target="https://www.mass.gov/doc/05292025-ago-ice-guidance-final-simplified-chinese/download" TargetMode="External"/><Relationship Id="rId27" Type="http://schemas.openxmlformats.org/officeDocument/2006/relationships/hyperlink" Target="https://www.mass.gov/doc/one-pager-for-massachusetts-service-providers-informacion-general-sobre-control-de-inmigracion/download" TargetMode="External"/><Relationship Id="rId30" Type="http://schemas.openxmlformats.org/officeDocument/2006/relationships/hyperlink" Target="https://www.mass.gov/doc/one-pager-for-massachusetts-service-providers-guanyuyiminzhifadejibenxinxi/download" TargetMode="External"/><Relationship Id="rId35" Type="http://schemas.openxmlformats.org/officeDocument/2006/relationships/hyperlink" Target="https://www.mass.gov/doc/immigrant-students-right-to-attend-school-a-guide-for-families/download" TargetMode="External"/><Relationship Id="rId43" Type="http://schemas.openxmlformats.org/officeDocument/2006/relationships/hyperlink" Target="https://www.mass.gov/doc/yiminxueshengruxuequan-jiatingshouce/download" TargetMode="External"/><Relationship Id="rId48" Type="http://schemas.openxmlformats.org/officeDocument/2006/relationships/hyperlink" Target="https://www.mass.gov/doc/emergency-planning-guide-for-parents-with-uncertain-immigration-status/download" TargetMode="External"/><Relationship Id="rId56" Type="http://schemas.openxmlformats.org/officeDocument/2006/relationships/hyperlink" Target="https://www.mass.gov/doc/portuguese-emergency-planning-fact-sheet-for-parents-with-uncertain-immigration-status-july-2025/download" TargetMode="External"/><Relationship Id="rId64" Type="http://schemas.openxmlformats.org/officeDocument/2006/relationships/hyperlink" Target="https://www.doe.mass.edu/commissioner/spec-advisories/upholding-rights.html" TargetMode="External"/><Relationship Id="rId69" Type="http://schemas.openxmlformats.org/officeDocument/2006/relationships/hyperlink" Target="https://www.doe.mass.edu/commissioner/spec-advisories/upholding-rights.html" TargetMode="External"/><Relationship Id="rId77" Type="http://schemas.openxmlformats.org/officeDocument/2006/relationships/fontTable" Target="fontTable.xml"/><Relationship Id="rId8" Type="http://schemas.openxmlformats.org/officeDocument/2006/relationships/hyperlink" Target="https://malegislature.gov/Laws/SessionLaws/Acts/2026/Chapter163" TargetMode="External"/><Relationship Id="rId51" Type="http://schemas.openxmlformats.org/officeDocument/2006/relationships/hyperlink" Target="https://www.mass.gov/doc/haitian-creole-emergency-planning-guide-for-parents-with-uncertain-immigration-status-july-2025/download" TargetMode="External"/><Relationship Id="rId72" Type="http://schemas.openxmlformats.org/officeDocument/2006/relationships/hyperlink" Target="https://www.doe.mass.edu/commissioner/spec-advisories/families-students-guide-portuguese.pdf" TargetMode="External"/><Relationship Id="rId3" Type="http://schemas.openxmlformats.org/officeDocument/2006/relationships/settings" Target="settings.xml"/><Relationship Id="rId12" Type="http://schemas.openxmlformats.org/officeDocument/2006/relationships/hyperlink" Target="https://www.mass.gov/info-details/resources-for-immigrants-in-massachusetts" TargetMode="External"/><Relationship Id="rId17" Type="http://schemas.openxmlformats.org/officeDocument/2006/relationships/hyperlink" Target="https://www.mass.gov/doc/ice-kyr-guidance-31226/download" TargetMode="External"/><Relationship Id="rId25" Type="http://schemas.openxmlformats.org/officeDocument/2006/relationships/hyperlink" Target="https://www.mass.gov/doc/ago-service-providers-immigration-guidance-02072025/download" TargetMode="External"/><Relationship Id="rId33" Type="http://schemas.openxmlformats.org/officeDocument/2006/relationships/hyperlink" Target="https://www.mass.gov/doc/guidance-for-k-12-schools-on-protecting-students-and-their-information/download" TargetMode="External"/><Relationship Id="rId38" Type="http://schemas.openxmlformats.org/officeDocument/2006/relationships/hyperlink" Target="https://www.mass.gov/doc/immigrant-students-right-to-attend-school-a-guide-for-families/download" TargetMode="External"/><Relationship Id="rId46" Type="http://schemas.openxmlformats.org/officeDocument/2006/relationships/hyperlink" Target="https://www.mass.gov/doc/flyer-for-k-12-schools-on-protecting-students-and-their-information/download" TargetMode="External"/><Relationship Id="rId59" Type="http://schemas.openxmlformats.org/officeDocument/2006/relationships/hyperlink" Target="https://www.mass.gov/info-details/attorney-generals-advisory-regarding-equal-access-to-public-education-for-all-students-irrespective-of-immigration-status" TargetMode="External"/><Relationship Id="rId67" Type="http://schemas.openxmlformats.org/officeDocument/2006/relationships/hyperlink" Target="https://www.doe.mass.edu/commissioner/spec-advisories/upholding-rights.html" TargetMode="External"/><Relationship Id="rId20" Type="http://schemas.openxmlformats.org/officeDocument/2006/relationships/hyperlink" Target="https://www.mass.gov/doc/05292025-ago-ice-guidance-final-portuguese/download" TargetMode="External"/><Relationship Id="rId41" Type="http://schemas.openxmlformats.org/officeDocument/2006/relationships/hyperlink" Target="https://www.mass.gov/doc/dwa-elev-imigran-yo-pou-ale-lekol-yon-gid-pou-fanmi-yo/download" TargetMode="External"/><Relationship Id="rId54" Type="http://schemas.openxmlformats.org/officeDocument/2006/relationships/hyperlink" Target="https://www.mass.gov/doc/emergency-planning-fact-sheet-for-parents-with-uncertain-immigration-status/download" TargetMode="External"/><Relationship Id="rId62" Type="http://schemas.openxmlformats.org/officeDocument/2006/relationships/hyperlink" Target="https://www.mass.gov/doc/parecer-da-procuradora-geral-igualdade-de-acesso-a-educacao-publica-para-todos-os-estudantes-independentemente-de-seu-status-imigratorio/download" TargetMode="External"/><Relationship Id="rId70" Type="http://schemas.openxmlformats.org/officeDocument/2006/relationships/hyperlink" Target="https://www.doe.mass.edu/commissioner/spec-advisories/families-students-guide-chinese.pdf" TargetMode="External"/><Relationship Id="rId75"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ass.gov/community-resource-toolkit" TargetMode="External"/><Relationship Id="rId23" Type="http://schemas.openxmlformats.org/officeDocument/2006/relationships/hyperlink" Target="https://www.mass.gov/doc/05292025-ago-ice-guidance-final-vietnamese/download" TargetMode="External"/><Relationship Id="rId28" Type="http://schemas.openxmlformats.org/officeDocument/2006/relationships/hyperlink" Target="https://www.mass.gov/doc/one-pager-for-massachusetts-service-providers-informacoes-gerais-sobre-aplicacao-das-leis-de-imigracao/download" TargetMode="External"/><Relationship Id="rId36" Type="http://schemas.openxmlformats.org/officeDocument/2006/relationships/hyperlink" Target="https://www.mass.gov/doc/immigrant-students-right-to-attend-school-a-guide-for-families/download" TargetMode="External"/><Relationship Id="rId49" Type="http://schemas.openxmlformats.org/officeDocument/2006/relationships/hyperlink" Target="https://www.mass.gov/doc/spanish-emergency-planning-guide-for-parents-with-uncertain-immigration-status-july-2025/download" TargetMode="External"/><Relationship Id="rId57" Type="http://schemas.openxmlformats.org/officeDocument/2006/relationships/hyperlink" Target="https://www.mass.gov/doc/haitian-creole-emergency-planning-fact-sheet-for-parents-with-uncertain-immigration-status-july-2025/download" TargetMode="External"/><Relationship Id="rId10" Type="http://schemas.openxmlformats.org/officeDocument/2006/relationships/footer" Target="footer1.xml"/><Relationship Id="rId31" Type="http://schemas.openxmlformats.org/officeDocument/2006/relationships/hyperlink" Target="https://www.mass.gov/doc/one-pager-for-massachusetts-service-providers-thong-tin-chung-ve-thuc-thi-di-tru/download" TargetMode="External"/><Relationship Id="rId44" Type="http://schemas.openxmlformats.org/officeDocument/2006/relationships/hyperlink" Target="https://www.mass.gov/doc/flyer-for-k-12-schools-on-protecting-students-and-their-information/download" TargetMode="External"/><Relationship Id="rId52" Type="http://schemas.openxmlformats.org/officeDocument/2006/relationships/hyperlink" Target="https://www.mass.gov/doc/simplified-chinese-emergency-planning-guide-for-parents-with-uncertain-immigration-status-july-2025/download" TargetMode="External"/><Relationship Id="rId60" Type="http://schemas.openxmlformats.org/officeDocument/2006/relationships/hyperlink" Target="https://www.mass.gov/info-details/attorney-generals-advisory-regarding-equal-access-to-public-education-for-all-students-irrespective-of-immigration-status" TargetMode="External"/><Relationship Id="rId65" Type="http://schemas.openxmlformats.org/officeDocument/2006/relationships/hyperlink" Target="https://www.doe.mass.edu/commissioner/spec-advisories/upholding-rights.html" TargetMode="External"/><Relationship Id="rId73" Type="http://schemas.openxmlformats.org/officeDocument/2006/relationships/hyperlink" Target="https://www.doe.mass.edu/commissioner/spec-advisories/families-students-guide-spanish.pdf"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legislature.gov/Laws/SessionLaws/Acts/2026/Chapter163" TargetMode="External"/><Relationship Id="rId13" Type="http://schemas.openxmlformats.org/officeDocument/2006/relationships/hyperlink" Target="https://www.mass.gov/info-details/resources-for-immigrants-in-massachusetts" TargetMode="External"/><Relationship Id="rId18" Type="http://schemas.openxmlformats.org/officeDocument/2006/relationships/hyperlink" Target="https://www.mass.gov/doc/ice-kyr-guidance-31226/download" TargetMode="External"/><Relationship Id="rId39" Type="http://schemas.openxmlformats.org/officeDocument/2006/relationships/hyperlink" Target="https://www.mass.gov/doc/derecho-de-los-alumnos-inmigrantes-a-asistir-a-la-escuela-guia-para-las-familias/download" TargetMode="External"/><Relationship Id="rId34" Type="http://schemas.openxmlformats.org/officeDocument/2006/relationships/hyperlink" Target="https://www.mass.gov/doc/guidance-for-k-12-schools-on-protecting-students-and-their-information/download" TargetMode="External"/><Relationship Id="rId50" Type="http://schemas.openxmlformats.org/officeDocument/2006/relationships/hyperlink" Target="https://www.mass.gov/doc/portuguese-emergency-planning-guide-for-parents-with-uncertain-immigration-status-july-2025/download" TargetMode="External"/><Relationship Id="rId55" Type="http://schemas.openxmlformats.org/officeDocument/2006/relationships/hyperlink" Target="https://www.mass.gov/doc/spanish-emergency-planning-fact-sheet-for-parents-with-uncertain-immigration-status-july-2025/download" TargetMode="External"/><Relationship Id="rId76" Type="http://schemas.openxmlformats.org/officeDocument/2006/relationships/image" Target="media/image3.jpeg"/><Relationship Id="rId7" Type="http://schemas.openxmlformats.org/officeDocument/2006/relationships/image" Target="media/image1.jpeg"/><Relationship Id="rId71" Type="http://schemas.openxmlformats.org/officeDocument/2006/relationships/hyperlink" Target="https://www.doe.mass.edu/commissioner/spec-advisories/families-students-guide-haitiancreole.pdf" TargetMode="External"/><Relationship Id="rId2" Type="http://schemas.openxmlformats.org/officeDocument/2006/relationships/styles" Target="styles.xml"/><Relationship Id="rId29" Type="http://schemas.openxmlformats.org/officeDocument/2006/relationships/hyperlink" Target="https://www.mass.gov/doc/one-pager-for-massachusetts-service-providers-enfomasyon-jeneral-sou-ranfosman-imigrasyon/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59</TotalTime>
  <Pages>18</Pages>
  <Words>8038</Words>
  <Characters>45817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K-12 Schools Related to Interacting with Civil Law Enforcement — Spanish</dc:title>
  <dc:creator>DESE</dc:creator>
  <dc:description/>
  <cp:lastModifiedBy>Zou, Dong (EOE)</cp:lastModifiedBy>
  <cp:revision>15</cp:revision>
  <dcterms:created xsi:type="dcterms:W3CDTF">2026-08-24T18:55:00Z</dcterms:created>
  <dcterms:modified xsi:type="dcterms:W3CDTF">2026-08-27T16:21:00Z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