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A6DF" w14:textId="22231E7E" w:rsidR="00F634A0" w:rsidRDefault="00F634A0" w:rsidP="00D90C7B">
      <w:pPr>
        <w:pStyle w:val="Heading2"/>
      </w:pPr>
      <w:r>
        <w:t>Introdução</w:t>
      </w:r>
    </w:p>
    <w:p w14:paraId="4C284292" w14:textId="00173113" w:rsidR="00F634A0" w:rsidRPr="00F634A0" w:rsidRDefault="00F634A0" w:rsidP="00F634A0">
      <w:pPr>
        <w:rPr>
          <w:sz w:val="20"/>
          <w:szCs w:val="20"/>
        </w:rPr>
      </w:pPr>
      <w:r>
        <w:rPr>
          <w:sz w:val="20"/>
        </w:rPr>
        <w:t>Nosso documento de visão educacional descreve a aspiração da Secretaria de Educação Fundamental e Secundária – nossa visão – para a educação pública fundamental e secundária e a educação básica para adultos no estado de Massachusetts. Essa visão está ancorada em nosso compromisso com ensino e aprendizagem de alta qualidade em Massachusetts. Continuaremos a trabalhar com os distritos, as escolas e os educadores para promover um ensino e aprendizagem antirracistas, inclusivos, multilíngues e multiculturais; que valorizem e afirmem todos os alunos e suas famílias; e que crie oportunidades e experiências equitativas para todos os alunos, especialmente aqueles</w:t>
      </w:r>
      <w:r w:rsidR="00DE43E2">
        <w:rPr>
          <w:sz w:val="20"/>
        </w:rPr>
        <w:t xml:space="preserve"> </w:t>
      </w:r>
      <w:r>
        <w:rPr>
          <w:sz w:val="20"/>
        </w:rPr>
        <w:t>historicamente carentes.</w:t>
      </w:r>
    </w:p>
    <w:p w14:paraId="1C772669" w14:textId="287E6C40" w:rsidR="00807B07" w:rsidRDefault="3919896B" w:rsidP="00D90C7B">
      <w:pPr>
        <w:pStyle w:val="Heading2"/>
      </w:pPr>
      <w:r>
        <w:t>Nosso objetivo é que, como resultado de sua educação pública em Massachusetts, os alunos:</w:t>
      </w:r>
    </w:p>
    <w:p w14:paraId="452053FE" w14:textId="636FC5AA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Adquiriram conhecimentos e habilidades acadêmicas: </w:t>
      </w:r>
      <w:r>
        <w:rPr>
          <w:rFonts w:ascii="Calibri" w:hAnsi="Calibri"/>
          <w:color w:val="000000" w:themeColor="text1"/>
          <w:sz w:val="20"/>
        </w:rPr>
        <w:t>obtenham conhecimentos e habilidades em uma gama abrangente e diversificada de assuntos e apliquem suas competências em contextos relevantes do mundo real.</w:t>
      </w:r>
    </w:p>
    <w:p w14:paraId="2135D88C" w14:textId="76B347CA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>Compreendam e valorizem a si mesmo</w:t>
      </w:r>
      <w:r w:rsidR="001C2514">
        <w:rPr>
          <w:rFonts w:ascii="Calibri" w:hAnsi="Calibri"/>
          <w:b/>
          <w:color w:val="000000" w:themeColor="text1"/>
          <w:sz w:val="20"/>
        </w:rPr>
        <w:t>s</w:t>
      </w:r>
      <w:r>
        <w:rPr>
          <w:rFonts w:ascii="Calibri" w:hAnsi="Calibri"/>
          <w:color w:val="000000" w:themeColor="text1"/>
          <w:sz w:val="20"/>
        </w:rPr>
        <w:t xml:space="preserve">: conheçam seus próprios pontos fortes, interesses e áreas de crescimento, sejam autoconscientes, independentes e tomem decisões responsáveis. </w:t>
      </w:r>
    </w:p>
    <w:p w14:paraId="23A9F53C" w14:textId="3E4088F7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>Compreendam e valorizem os outros</w:t>
      </w:r>
      <w:r>
        <w:rPr>
          <w:rFonts w:ascii="Calibri" w:hAnsi="Calibri"/>
          <w:color w:val="000000" w:themeColor="text1"/>
          <w:sz w:val="20"/>
        </w:rPr>
        <w:t>: compreendam as diferenças e as múltiplas perspectivas, tenham empatia com os outros e criem relações com colegas e adultos.</w:t>
      </w:r>
    </w:p>
    <w:p w14:paraId="1B8F830A" w14:textId="3BF28DC2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>Envolvam-se com o mundo</w:t>
      </w:r>
      <w:r>
        <w:rPr>
          <w:rFonts w:ascii="Calibri" w:hAnsi="Calibri"/>
          <w:color w:val="000000" w:themeColor="text1"/>
          <w:sz w:val="20"/>
        </w:rPr>
        <w:t>: compreendam e pensem de forma crítica em relação a acontecimentos locais, nacionais e mundiais e sistemas sociais; e criem mudanças positivas por meio d</w:t>
      </w:r>
      <w:r w:rsidR="0037461C">
        <w:rPr>
          <w:rFonts w:ascii="Calibri" w:hAnsi="Calibri"/>
          <w:color w:val="000000" w:themeColor="text1"/>
          <w:sz w:val="20"/>
        </w:rPr>
        <w:t>e</w:t>
      </w:r>
      <w:r>
        <w:rPr>
          <w:rFonts w:ascii="Calibri" w:hAnsi="Calibri"/>
          <w:color w:val="000000" w:themeColor="text1"/>
          <w:sz w:val="20"/>
        </w:rPr>
        <w:t xml:space="preserve"> ações cívicas.</w:t>
      </w:r>
    </w:p>
    <w:p w14:paraId="0D493193" w14:textId="5A26FE4C" w:rsidR="00807B07" w:rsidRDefault="53B30854" w:rsidP="00D90C7B">
      <w:pPr>
        <w:pStyle w:val="Heading2"/>
      </w:pPr>
      <w:r>
        <w:t>Para que possam:</w:t>
      </w:r>
    </w:p>
    <w:p w14:paraId="518CAE65" w14:textId="4CD34040" w:rsidR="00807B07" w:rsidRDefault="53B30854" w:rsidP="23494CE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>Ser curiosos e criativos:</w:t>
      </w:r>
      <w:r>
        <w:rPr>
          <w:rFonts w:ascii="Calibri" w:hAnsi="Calibri"/>
          <w:color w:val="000000" w:themeColor="text1"/>
          <w:sz w:val="20"/>
        </w:rPr>
        <w:t xml:space="preserve"> encontrem alegria em aprender, busquem seus interesses e usem um pensamento inovador para abordar oportunidades e resolver desafios, incluindo desafios inéditos. </w:t>
      </w:r>
    </w:p>
    <w:p w14:paraId="39AD481B" w14:textId="5F54ACE4" w:rsidR="00807B07" w:rsidRDefault="42E7D7BC" w:rsidP="2845961D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Moldar seus caminhos: </w:t>
      </w:r>
      <w:r>
        <w:rPr>
          <w:rFonts w:ascii="Calibri" w:hAnsi="Calibri"/>
          <w:color w:val="000000" w:themeColor="text1"/>
          <w:sz w:val="20"/>
        </w:rPr>
        <w:t xml:space="preserve">estejam bem preparados para prosperar na faculdade e/ou na carreira e estejam posicionados para aprender ao longo da vida. </w:t>
      </w:r>
    </w:p>
    <w:p w14:paraId="4278BB02" w14:textId="4E799845" w:rsidR="00807B07" w:rsidRDefault="53B30854" w:rsidP="23494CE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Sentir-se conectados: </w:t>
      </w:r>
      <w:r>
        <w:rPr>
          <w:rFonts w:ascii="Calibri" w:hAnsi="Calibri"/>
          <w:color w:val="000000" w:themeColor="text1"/>
          <w:sz w:val="20"/>
        </w:rPr>
        <w:t>considerem-se membros valiosos e envolvidos em suas comunidades e tenham consciência de sua independência e interdependência.</w:t>
      </w:r>
    </w:p>
    <w:p w14:paraId="3841A5C6" w14:textId="29D3690F" w:rsidR="00807B07" w:rsidRDefault="53B30854" w:rsidP="2845961D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Ser empoderados: </w:t>
      </w:r>
      <w:r>
        <w:rPr>
          <w:rFonts w:ascii="Calibri" w:hAnsi="Calibri"/>
          <w:color w:val="000000" w:themeColor="text1"/>
          <w:sz w:val="20"/>
        </w:rPr>
        <w:t xml:space="preserve">desempenhem um papel na defesa da equidade, justiça e liberdade em suas comunidades e além. </w:t>
      </w:r>
    </w:p>
    <w:p w14:paraId="230BC4DE" w14:textId="47060F9C" w:rsidR="00807B07" w:rsidRPr="00D90C7B" w:rsidRDefault="53B30854" w:rsidP="00D90C7B">
      <w:pPr>
        <w:pStyle w:val="Heading2"/>
      </w:pPr>
      <w:r>
        <w:t>Experiencia de aprendizagem</w:t>
      </w:r>
    </w:p>
    <w:p w14:paraId="060ECD85" w14:textId="64E97FBC" w:rsidR="00807B07" w:rsidRDefault="58805F25" w:rsidP="1A27F4F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</w:rPr>
        <w:t>Todos os alunos de Massachusetts, especialmente alunos de grupos e comunidades historicamente carentes, terão oportunidades equitativas para ter sucesso em todas as matérias de todas as séries. Práticas escolares e salas de aula de sustentação cultural e linguística</w:t>
      </w:r>
      <w:r w:rsidR="53B30854" w:rsidRPr="37372A63">
        <w:rPr>
          <w:rStyle w:val="EndnoteReference"/>
          <w:rFonts w:ascii="Calibri" w:eastAsia="Calibri" w:hAnsi="Calibri" w:cs="Calibri"/>
          <w:color w:val="000000" w:themeColor="text1"/>
          <w:sz w:val="20"/>
          <w:szCs w:val="20"/>
        </w:rPr>
        <w:endnoteReference w:id="2"/>
      </w:r>
      <w:r>
        <w:rPr>
          <w:rFonts w:ascii="Calibri" w:hAnsi="Calibri"/>
          <w:color w:val="000000" w:themeColor="text1"/>
          <w:sz w:val="20"/>
        </w:rPr>
        <w:t xml:space="preserve"> ajudarão os alunos a prosperar, criando ambientes afirmativos onde os alunos tenham um senso de pertencimento, se envolvam em uma aprendizagem mais profunda</w:t>
      </w:r>
      <w:r w:rsidR="53B30854" w:rsidRPr="37372A63">
        <w:rPr>
          <w:rStyle w:val="EndnoteReference"/>
          <w:rFonts w:ascii="Calibri" w:eastAsia="Calibri" w:hAnsi="Calibri" w:cs="Calibri"/>
          <w:color w:val="000000" w:themeColor="text1"/>
          <w:sz w:val="20"/>
          <w:szCs w:val="20"/>
        </w:rPr>
        <w:endnoteReference w:id="3"/>
      </w:r>
      <w:r>
        <w:rPr>
          <w:rFonts w:ascii="Calibri" w:hAnsi="Calibri"/>
          <w:color w:val="000000" w:themeColor="text1"/>
          <w:sz w:val="20"/>
        </w:rPr>
        <w:t xml:space="preserve"> e tenham altas expectativas com apoio direcionado. </w:t>
      </w:r>
    </w:p>
    <w:p w14:paraId="216E6C35" w14:textId="3A13EF76" w:rsidR="00807B07" w:rsidRDefault="53B30854" w:rsidP="00D90C7B">
      <w:pPr>
        <w:pStyle w:val="Heading3"/>
      </w:pPr>
      <w:r>
        <w:t xml:space="preserve">Todos os alunos </w:t>
      </w:r>
      <w:r w:rsidR="00CB34F3">
        <w:t>sejam</w:t>
      </w:r>
      <w:r>
        <w:t xml:space="preserve"> conhecidos e valorizados.</w:t>
      </w: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620"/>
        <w:gridCol w:w="7725"/>
      </w:tblGrid>
      <w:tr w:rsidR="2845961D" w14:paraId="7CEB3059" w14:textId="77777777" w:rsidTr="095B5211">
        <w:trPr>
          <w:trHeight w:val="1125"/>
        </w:trPr>
        <w:tc>
          <w:tcPr>
            <w:tcW w:w="1620" w:type="dxa"/>
          </w:tcPr>
          <w:p w14:paraId="43E51021" w14:textId="09C4F12E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Os alunos sejam conhecidos</w:t>
            </w:r>
          </w:p>
        </w:tc>
        <w:tc>
          <w:tcPr>
            <w:tcW w:w="7725" w:type="dxa"/>
          </w:tcPr>
          <w:p w14:paraId="7779BDEB" w14:textId="55B56DD1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 xml:space="preserve">Os alunos e as famílias tenham um sentimento de pertencimento: sejam conhecidos, respeitados e valorizados por quem são e pelo que acrescentam à comunidade escolar, incluindo suas identidades singulares, pontos fortes, interesses, necessidades, idiomas, excepcionalidades e origens. </w:t>
            </w:r>
          </w:p>
          <w:p w14:paraId="547CAE5E" w14:textId="14E9218A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frequentem escolas seguras e acolhedoras que cuidem de seu bem-estar geral.</w:t>
            </w:r>
          </w:p>
          <w:p w14:paraId="0905BB89" w14:textId="1FE0173E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ganhem consciência de como pensam, aprendem, se relacionam e se comunicam, inclusive em vários idiomas/dialetos.</w:t>
            </w:r>
          </w:p>
        </w:tc>
      </w:tr>
      <w:tr w:rsidR="2845961D" w14:paraId="77B71582" w14:textId="77777777" w:rsidTr="095B5211">
        <w:trPr>
          <w:trHeight w:val="885"/>
        </w:trPr>
        <w:tc>
          <w:tcPr>
            <w:tcW w:w="1620" w:type="dxa"/>
          </w:tcPr>
          <w:p w14:paraId="16C4B94E" w14:textId="54582404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lastRenderedPageBreak/>
              <w:t>Os alunos sejam valorizados</w:t>
            </w:r>
          </w:p>
        </w:tc>
        <w:tc>
          <w:tcPr>
            <w:tcW w:w="7725" w:type="dxa"/>
          </w:tcPr>
          <w:p w14:paraId="016265C6" w14:textId="51232306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se envolvam em uma aprendizagem que valorize e se baseie em seu conhecimento adquirido, experiências vividas e patrimônios culturais e linguísticos.</w:t>
            </w:r>
          </w:p>
          <w:p w14:paraId="1E34A99E" w14:textId="6BF041E1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sejam participantes ativos e tenham voz na formação de sua experiência de aprendizagem.</w:t>
            </w:r>
          </w:p>
        </w:tc>
      </w:tr>
    </w:tbl>
    <w:p w14:paraId="17B5670C" w14:textId="77777777" w:rsidR="000159D6" w:rsidRDefault="000159D6" w:rsidP="2845961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C8940CE" w14:textId="717B0681" w:rsidR="00807B07" w:rsidRDefault="53B30854" w:rsidP="00D90C7B">
      <w:pPr>
        <w:pStyle w:val="Heading3"/>
      </w:pPr>
      <w:r>
        <w:t>As experiências de aprendizagem sejam relevantes, do mundo real e interativas.</w:t>
      </w:r>
    </w:p>
    <w:tbl>
      <w:tblPr>
        <w:tblStyle w:val="TableGrid"/>
        <w:tblW w:w="9330" w:type="dxa"/>
        <w:tblLayout w:type="fixed"/>
        <w:tblLook w:val="04A0" w:firstRow="1" w:lastRow="0" w:firstColumn="1" w:lastColumn="0" w:noHBand="0" w:noVBand="1"/>
      </w:tblPr>
      <w:tblGrid>
        <w:gridCol w:w="1635"/>
        <w:gridCol w:w="7695"/>
      </w:tblGrid>
      <w:tr w:rsidR="2845961D" w14:paraId="32C14B0D" w14:textId="77777777" w:rsidTr="095B5211">
        <w:trPr>
          <w:trHeight w:val="1125"/>
        </w:trPr>
        <w:tc>
          <w:tcPr>
            <w:tcW w:w="1635" w:type="dxa"/>
          </w:tcPr>
          <w:p w14:paraId="45343A18" w14:textId="0C1054AD" w:rsidR="2845961D" w:rsidRDefault="2845961D" w:rsidP="00750E5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Experiências de aprendizagem</w:t>
            </w:r>
          </w:p>
        </w:tc>
        <w:tc>
          <w:tcPr>
            <w:tcW w:w="7695" w:type="dxa"/>
          </w:tcPr>
          <w:p w14:paraId="3EDE1DBF" w14:textId="75E16CAF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aprendam por meio de currículo e ensino alinhados às estruturas curriculares de Massachusetts no nível de sua série ou acima, se conectem às suas identidades e utilizem práticas baseadas em evidências.</w:t>
            </w:r>
          </w:p>
          <w:p w14:paraId="37F14F78" w14:textId="57EF30E7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resolvam problemas, pensem de forma crítica, façam perguntas, entendam ideias complexas e possam demonstrar sua aprendizagem.</w:t>
            </w:r>
          </w:p>
          <w:p w14:paraId="1BB56D7A" w14:textId="013C73C5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aprendam e desenvolvam a linguagem por meio de atividades ricas em conteúdo que promovam a comunicação autêntica.</w:t>
            </w:r>
          </w:p>
        </w:tc>
      </w:tr>
      <w:tr w:rsidR="2845961D" w14:paraId="3EEED276" w14:textId="77777777" w:rsidTr="095B5211">
        <w:trPr>
          <w:trHeight w:val="1125"/>
        </w:trPr>
        <w:tc>
          <w:tcPr>
            <w:tcW w:w="1635" w:type="dxa"/>
          </w:tcPr>
          <w:p w14:paraId="2009541A" w14:textId="3BD8069B" w:rsidR="2845961D" w:rsidRDefault="2845961D" w:rsidP="006803E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Relevantes e do mundo real</w:t>
            </w:r>
          </w:p>
        </w:tc>
        <w:tc>
          <w:tcPr>
            <w:tcW w:w="7695" w:type="dxa"/>
          </w:tcPr>
          <w:p w14:paraId="23344D97" w14:textId="4B003DBB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aprendam se envolvendo com perspectivas</w:t>
            </w:r>
            <w:r w:rsidR="00402AD9">
              <w:rPr>
                <w:rFonts w:ascii="Calibri" w:hAnsi="Calibri"/>
                <w:color w:val="000000" w:themeColor="text1"/>
                <w:sz w:val="20"/>
              </w:rPr>
              <w:t xml:space="preserve"> diversificadas</w:t>
            </w:r>
            <w:r>
              <w:rPr>
                <w:rFonts w:ascii="Calibri" w:hAnsi="Calibri"/>
                <w:color w:val="000000" w:themeColor="text1"/>
                <w:sz w:val="20"/>
              </w:rPr>
              <w:t xml:space="preserve"> e apliquem sua aprendizagem para analisar o mundo natural e diferentes contextos históricos, sociais e políticos.</w:t>
            </w:r>
          </w:p>
          <w:p w14:paraId="6C94AE9E" w14:textId="2B20795A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tenham oportunidades de fazer escolhas, se conectar a contextos relevantes ou do mundo real e promover mudanças.</w:t>
            </w:r>
          </w:p>
        </w:tc>
      </w:tr>
      <w:tr w:rsidR="2845961D" w14:paraId="6740B4D7" w14:textId="77777777" w:rsidTr="095B5211">
        <w:trPr>
          <w:trHeight w:val="1125"/>
        </w:trPr>
        <w:tc>
          <w:tcPr>
            <w:tcW w:w="1635" w:type="dxa"/>
          </w:tcPr>
          <w:p w14:paraId="4F17DBEC" w14:textId="1117DE2C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Interativas</w:t>
            </w:r>
          </w:p>
        </w:tc>
        <w:tc>
          <w:tcPr>
            <w:tcW w:w="7695" w:type="dxa"/>
          </w:tcPr>
          <w:p w14:paraId="42C1AD64" w14:textId="57DC23AF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gostem e anseiem por suas experiências de aprendizagem.</w:t>
            </w:r>
          </w:p>
          <w:p w14:paraId="42EF7656" w14:textId="6353AD3F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tenham oportunidades frequentes de interagir com seus colegas, entender ideias complexas juntos e desenvolver a linguagem acadêmica.</w:t>
            </w:r>
          </w:p>
          <w:p w14:paraId="5BECBACD" w14:textId="4C3416FA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assumam riscos acadêmicos, aprendam com os erros, incorporem feedback e tenham orgulho de produzir trabalho</w:t>
            </w:r>
            <w:r w:rsidR="000149D4">
              <w:rPr>
                <w:rFonts w:ascii="Calibri" w:hAnsi="Calibri"/>
                <w:color w:val="000000" w:themeColor="text1"/>
                <w:sz w:val="20"/>
              </w:rPr>
              <w:t>s</w:t>
            </w:r>
            <w:r>
              <w:rPr>
                <w:rFonts w:ascii="Calibri" w:hAnsi="Calibri"/>
                <w:color w:val="000000" w:themeColor="text1"/>
                <w:sz w:val="20"/>
              </w:rPr>
              <w:t xml:space="preserve"> de alta qualidade.</w:t>
            </w:r>
          </w:p>
        </w:tc>
      </w:tr>
    </w:tbl>
    <w:p w14:paraId="19F4B540" w14:textId="6271BE9E" w:rsidR="00807B07" w:rsidRDefault="00807B07" w:rsidP="2845961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BC6C971" w14:textId="5922AD47" w:rsidR="00807B07" w:rsidRDefault="53B30854" w:rsidP="00D90C7B">
      <w:pPr>
        <w:pStyle w:val="Heading3"/>
      </w:pPr>
      <w:r>
        <w:t xml:space="preserve">Apoios individualizados permitem que os alunos tenham sucesso no nível de sua série (ou além).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7680"/>
      </w:tblGrid>
      <w:tr w:rsidR="2845961D" w14:paraId="36006CCB" w14:textId="77777777" w:rsidTr="23494CE0">
        <w:trPr>
          <w:trHeight w:val="1125"/>
        </w:trPr>
        <w:tc>
          <w:tcPr>
            <w:tcW w:w="1650" w:type="dxa"/>
          </w:tcPr>
          <w:p w14:paraId="35F34AA3" w14:textId="3D82AEA9" w:rsidR="2845961D" w:rsidRDefault="2845961D" w:rsidP="009E24DF">
            <w:pPr>
              <w:spacing w:line="257" w:lineRule="auto"/>
              <w:ind w:right="-15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Tenham sucesso no nível de sua série (ou além)</w:t>
            </w:r>
          </w:p>
        </w:tc>
        <w:tc>
          <w:tcPr>
            <w:tcW w:w="7680" w:type="dxa"/>
          </w:tcPr>
          <w:p w14:paraId="1AC2EEAB" w14:textId="63D005E3" w:rsidR="2845961D" w:rsidRDefault="7B8835FA" w:rsidP="31EBD1D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recebam os apoios e acomodações necessários baseados em evidências para aprender conhecimentos e habilidades no nível de sua série (ou além).</w:t>
            </w:r>
          </w:p>
          <w:p w14:paraId="1CBB10EE" w14:textId="1BC6AB8B" w:rsidR="2845961D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com deficiência tenham aulas cuidadosamente planejadas que acelerem seu crescimento em direção aos objetivos de aprendizagem.</w:t>
            </w:r>
          </w:p>
          <w:p w14:paraId="65E14F7B" w14:textId="00F52F44" w:rsidR="2845961D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que estejam aprendendo inglês recebam instrução explícita no idioma que permita o acesso ao conteúdo do nível de sua série.</w:t>
            </w:r>
          </w:p>
        </w:tc>
      </w:tr>
      <w:tr w:rsidR="2845961D" w14:paraId="1B738FE9" w14:textId="77777777" w:rsidTr="23494CE0">
        <w:trPr>
          <w:trHeight w:val="1125"/>
        </w:trPr>
        <w:tc>
          <w:tcPr>
            <w:tcW w:w="1650" w:type="dxa"/>
          </w:tcPr>
          <w:p w14:paraId="68A930E5" w14:textId="080B240B" w:rsidR="2845961D" w:rsidRDefault="2845961D" w:rsidP="00750E5A">
            <w:pPr>
              <w:spacing w:line="257" w:lineRule="auto"/>
              <w:ind w:right="-19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Apoios individualizados</w:t>
            </w:r>
          </w:p>
        </w:tc>
        <w:tc>
          <w:tcPr>
            <w:tcW w:w="7680" w:type="dxa"/>
          </w:tcPr>
          <w:p w14:paraId="51C06C1C" w14:textId="33DF5BFD" w:rsidR="2845961D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se envolvam com apoios flexíveis e responsivos baseados em informações coletadas de deveres de sala de aula, observações e dados de avaliação; esses apoios são projetados de modo a serem reduzidos com o tempo, à medida que os alunos desenvolvem habilidades mais independentes.</w:t>
            </w:r>
          </w:p>
          <w:p w14:paraId="4819E225" w14:textId="2A26DD15" w:rsidR="2845961D" w:rsidRDefault="7B8835FA" w:rsidP="31EBD1D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alunos tenham várias opções para acessar o conteúdo e demonstrar os conhecimentos e as habilidades que aprenderam, inclusive em vários formatos ou idiomas.</w:t>
            </w:r>
          </w:p>
          <w:p w14:paraId="37F213DC" w14:textId="2C9CD2A0" w:rsidR="2845961D" w:rsidRDefault="06836225" w:rsidP="23494CE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Os apoios sejam adaptados às necessidades acadêmicas, de saúde física e mental e socioemocionais dos alunos.</w:t>
            </w:r>
          </w:p>
        </w:tc>
      </w:tr>
    </w:tbl>
    <w:p w14:paraId="7E5DF599" w14:textId="3B4CE906" w:rsidR="2A6C47BB" w:rsidRDefault="2A6C47BB" w:rsidP="2A6C47BB">
      <w:pPr>
        <w:spacing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sectPr w:rsidR="2A6C47BB">
      <w:head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7D0F" w14:textId="77777777" w:rsidR="00C6305D" w:rsidRDefault="00C6305D">
      <w:pPr>
        <w:spacing w:after="0" w:line="240" w:lineRule="auto"/>
      </w:pPr>
      <w:r>
        <w:separator/>
      </w:r>
    </w:p>
  </w:endnote>
  <w:endnote w:type="continuationSeparator" w:id="0">
    <w:p w14:paraId="008B2F29" w14:textId="77777777" w:rsidR="00C6305D" w:rsidRDefault="00C6305D">
      <w:pPr>
        <w:spacing w:after="0" w:line="240" w:lineRule="auto"/>
      </w:pPr>
      <w:r>
        <w:continuationSeparator/>
      </w:r>
    </w:p>
  </w:endnote>
  <w:endnote w:type="continuationNotice" w:id="1">
    <w:p w14:paraId="7F62B1A3" w14:textId="77777777" w:rsidR="00C6305D" w:rsidRDefault="00C6305D">
      <w:pPr>
        <w:spacing w:after="0" w:line="240" w:lineRule="auto"/>
      </w:pPr>
    </w:p>
  </w:endnote>
  <w:endnote w:id="2">
    <w:p w14:paraId="4A705398" w14:textId="2834E9C6" w:rsidR="37372A63" w:rsidRDefault="37372A63" w:rsidP="37372A63">
      <w:pPr>
        <w:pStyle w:val="FootnoteText"/>
      </w:pPr>
      <w:r>
        <w:rPr>
          <w:rStyle w:val="EndnoteReference"/>
        </w:rPr>
        <w:endnoteRef/>
      </w:r>
      <w:r>
        <w:t xml:space="preserve"> Para obter mais informações, acesse </w:t>
      </w:r>
      <w:hyperlink r:id="rId1" w:history="1">
        <w:r w:rsidR="00F02FCB">
          <w:rPr>
            <w:rStyle w:val="Hyperlink"/>
            <w:rFonts w:ascii="Calibri" w:hAnsi="Calibri"/>
          </w:rPr>
          <w:t>https://www.doe.mass.edu/instruction/culturally-sustaining/default.html</w:t>
        </w:r>
      </w:hyperlink>
    </w:p>
  </w:endnote>
  <w:endnote w:id="3">
    <w:p w14:paraId="3BCAB976" w14:textId="1CFDC038" w:rsidR="37372A63" w:rsidRDefault="37372A63" w:rsidP="37372A63">
      <w:pPr>
        <w:pStyle w:val="EndnoteText"/>
      </w:pPr>
      <w:r>
        <w:rPr>
          <w:rStyle w:val="EndnoteReference"/>
        </w:rPr>
        <w:endnoteRef/>
      </w:r>
      <w:r>
        <w:t xml:space="preserve"> Para obter mais informações, acesse </w:t>
      </w:r>
      <w:hyperlink r:id="rId2" w:history="1">
        <w:r>
          <w:rPr>
            <w:rStyle w:val="Hyperlink"/>
          </w:rPr>
          <w:t>https://www.doe.mass.edu/kaleidoscope/overview.html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23E" w14:textId="77777777" w:rsidR="00C6305D" w:rsidRDefault="00C6305D">
      <w:pPr>
        <w:spacing w:after="0" w:line="240" w:lineRule="auto"/>
      </w:pPr>
      <w:r>
        <w:separator/>
      </w:r>
    </w:p>
  </w:footnote>
  <w:footnote w:type="continuationSeparator" w:id="0">
    <w:p w14:paraId="3E29428F" w14:textId="77777777" w:rsidR="00C6305D" w:rsidRDefault="00C6305D">
      <w:pPr>
        <w:spacing w:after="0" w:line="240" w:lineRule="auto"/>
      </w:pPr>
      <w:r>
        <w:continuationSeparator/>
      </w:r>
    </w:p>
  </w:footnote>
  <w:footnote w:type="continuationNotice" w:id="1">
    <w:p w14:paraId="0FC06EA0" w14:textId="77777777" w:rsidR="00C6305D" w:rsidRDefault="00C63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E41" w14:textId="6EA298E3" w:rsidR="000159D6" w:rsidRDefault="00EA2BC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01E847" wp14:editId="0143BDB0">
              <wp:extent cx="2670810" cy="160210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70810" cy="16021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F116" w14:textId="77777777" w:rsidR="00EA2BC3" w:rsidRDefault="00EA2BC3" w:rsidP="00EA2BC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2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01E8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10.3pt;height:126.1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" filled="f" stroked="f">
              <v:stroke joinstyle="round"/>
              <o:lock v:ext="edit" shapetype="t"/>
              <v:textbox style="mso-fit-shape-to-text:t">
                <w:txbxContent>
                  <w:p w14:paraId="5160F116" w14:textId="77777777" w:rsidR="00EA2BC3" w:rsidRDefault="00EA2BC3" w:rsidP="00EA2BC3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2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E2A2"/>
    <w:multiLevelType w:val="hybridMultilevel"/>
    <w:tmpl w:val="FFFFFFFF"/>
    <w:lvl w:ilvl="0" w:tplc="ADEE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4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0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F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4B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24CF"/>
    <w:multiLevelType w:val="hybridMultilevel"/>
    <w:tmpl w:val="FFFFFFFF"/>
    <w:lvl w:ilvl="0" w:tplc="78B8C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F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D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6D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2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9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B3DB"/>
    <w:multiLevelType w:val="hybridMultilevel"/>
    <w:tmpl w:val="FFFFFFFF"/>
    <w:lvl w:ilvl="0" w:tplc="8C74D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23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8F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C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4A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A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CEA4"/>
    <w:multiLevelType w:val="hybridMultilevel"/>
    <w:tmpl w:val="FFFFFFFF"/>
    <w:lvl w:ilvl="0" w:tplc="FA4C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64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D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E0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22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F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4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43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27D2"/>
    <w:multiLevelType w:val="hybridMultilevel"/>
    <w:tmpl w:val="FFFFFFFF"/>
    <w:lvl w:ilvl="0" w:tplc="EB5A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83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7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6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84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E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C74A"/>
    <w:multiLevelType w:val="hybridMultilevel"/>
    <w:tmpl w:val="FFFFFFFF"/>
    <w:lvl w:ilvl="0" w:tplc="E89EB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E21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6A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9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B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F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D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C8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6D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0BC6"/>
    <w:multiLevelType w:val="hybridMultilevel"/>
    <w:tmpl w:val="FFFFFFFF"/>
    <w:lvl w:ilvl="0" w:tplc="ED0A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6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CA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8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C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23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2058">
    <w:abstractNumId w:val="5"/>
  </w:num>
  <w:num w:numId="2" w16cid:durableId="65809864">
    <w:abstractNumId w:val="0"/>
  </w:num>
  <w:num w:numId="3" w16cid:durableId="227809872">
    <w:abstractNumId w:val="6"/>
  </w:num>
  <w:num w:numId="4" w16cid:durableId="693962263">
    <w:abstractNumId w:val="2"/>
  </w:num>
  <w:num w:numId="5" w16cid:durableId="52195872">
    <w:abstractNumId w:val="3"/>
  </w:num>
  <w:num w:numId="6" w16cid:durableId="1729299653">
    <w:abstractNumId w:val="1"/>
  </w:num>
  <w:num w:numId="7" w16cid:durableId="815990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79809D"/>
    <w:rsid w:val="000149D4"/>
    <w:rsid w:val="000159D6"/>
    <w:rsid w:val="00063B34"/>
    <w:rsid w:val="000747B6"/>
    <w:rsid w:val="000D270E"/>
    <w:rsid w:val="000E2BBB"/>
    <w:rsid w:val="000E695D"/>
    <w:rsid w:val="000F7FC4"/>
    <w:rsid w:val="00146AA0"/>
    <w:rsid w:val="001B6E5E"/>
    <w:rsid w:val="001C2514"/>
    <w:rsid w:val="001C36F0"/>
    <w:rsid w:val="00252DF0"/>
    <w:rsid w:val="00271082"/>
    <w:rsid w:val="002D0D95"/>
    <w:rsid w:val="0035631C"/>
    <w:rsid w:val="00372C05"/>
    <w:rsid w:val="0037461C"/>
    <w:rsid w:val="003C28DF"/>
    <w:rsid w:val="003D14A5"/>
    <w:rsid w:val="003E1D57"/>
    <w:rsid w:val="00402AD9"/>
    <w:rsid w:val="00452077"/>
    <w:rsid w:val="00457259"/>
    <w:rsid w:val="00491DBA"/>
    <w:rsid w:val="004E2B84"/>
    <w:rsid w:val="00517F7E"/>
    <w:rsid w:val="005227E0"/>
    <w:rsid w:val="00571EE7"/>
    <w:rsid w:val="00574FFE"/>
    <w:rsid w:val="005A6DF8"/>
    <w:rsid w:val="00615D7E"/>
    <w:rsid w:val="006803E1"/>
    <w:rsid w:val="00680B35"/>
    <w:rsid w:val="006A7975"/>
    <w:rsid w:val="006D24BF"/>
    <w:rsid w:val="00743515"/>
    <w:rsid w:val="00750E5A"/>
    <w:rsid w:val="007B67FA"/>
    <w:rsid w:val="00807B07"/>
    <w:rsid w:val="00853FF6"/>
    <w:rsid w:val="008726EE"/>
    <w:rsid w:val="0087350D"/>
    <w:rsid w:val="008A1E1D"/>
    <w:rsid w:val="008E44A4"/>
    <w:rsid w:val="008E4ECD"/>
    <w:rsid w:val="009875C6"/>
    <w:rsid w:val="009E24DF"/>
    <w:rsid w:val="00A11A21"/>
    <w:rsid w:val="00A20194"/>
    <w:rsid w:val="00AB7B5C"/>
    <w:rsid w:val="00AD3CCC"/>
    <w:rsid w:val="00AE3B42"/>
    <w:rsid w:val="00B00E55"/>
    <w:rsid w:val="00B2654D"/>
    <w:rsid w:val="00B3376A"/>
    <w:rsid w:val="00B36CED"/>
    <w:rsid w:val="00B73E49"/>
    <w:rsid w:val="00BD4A4C"/>
    <w:rsid w:val="00BF717B"/>
    <w:rsid w:val="00C22241"/>
    <w:rsid w:val="00C32262"/>
    <w:rsid w:val="00C6305D"/>
    <w:rsid w:val="00CA03DD"/>
    <w:rsid w:val="00CB34F3"/>
    <w:rsid w:val="00CB4FEC"/>
    <w:rsid w:val="00CF7EA8"/>
    <w:rsid w:val="00D171A9"/>
    <w:rsid w:val="00D76E6B"/>
    <w:rsid w:val="00D813B5"/>
    <w:rsid w:val="00D90C7B"/>
    <w:rsid w:val="00DE43E2"/>
    <w:rsid w:val="00E20219"/>
    <w:rsid w:val="00E37F8F"/>
    <w:rsid w:val="00E428A6"/>
    <w:rsid w:val="00E450CA"/>
    <w:rsid w:val="00E93DFC"/>
    <w:rsid w:val="00EA2BC3"/>
    <w:rsid w:val="00EA40A4"/>
    <w:rsid w:val="00F0029D"/>
    <w:rsid w:val="00F02FCB"/>
    <w:rsid w:val="00F45E7B"/>
    <w:rsid w:val="00F634A0"/>
    <w:rsid w:val="00FE55C2"/>
    <w:rsid w:val="018B49B7"/>
    <w:rsid w:val="03B9AE70"/>
    <w:rsid w:val="043B2241"/>
    <w:rsid w:val="05FFBD67"/>
    <w:rsid w:val="0679809D"/>
    <w:rsid w:val="06836225"/>
    <w:rsid w:val="07F9998A"/>
    <w:rsid w:val="095B5211"/>
    <w:rsid w:val="0A7E1A02"/>
    <w:rsid w:val="0CFE3101"/>
    <w:rsid w:val="0EB28FA2"/>
    <w:rsid w:val="0F7422C9"/>
    <w:rsid w:val="0FC7A68D"/>
    <w:rsid w:val="0FC8799C"/>
    <w:rsid w:val="10775DA0"/>
    <w:rsid w:val="10F6BAA6"/>
    <w:rsid w:val="12953074"/>
    <w:rsid w:val="13EC1DDE"/>
    <w:rsid w:val="142BEADE"/>
    <w:rsid w:val="14C9AF10"/>
    <w:rsid w:val="154DE722"/>
    <w:rsid w:val="162242FD"/>
    <w:rsid w:val="16F3A3F0"/>
    <w:rsid w:val="181F6A90"/>
    <w:rsid w:val="18F2C5C1"/>
    <w:rsid w:val="19157F45"/>
    <w:rsid w:val="1957F742"/>
    <w:rsid w:val="19645F2E"/>
    <w:rsid w:val="19F32B75"/>
    <w:rsid w:val="1A27F4F4"/>
    <w:rsid w:val="1B0ECF65"/>
    <w:rsid w:val="1B633FCE"/>
    <w:rsid w:val="1C033B28"/>
    <w:rsid w:val="1C19A14D"/>
    <w:rsid w:val="1C37FBB3"/>
    <w:rsid w:val="1D2CEC9B"/>
    <w:rsid w:val="1D69E305"/>
    <w:rsid w:val="1DC6EEB3"/>
    <w:rsid w:val="1DE8F07C"/>
    <w:rsid w:val="1FC2420A"/>
    <w:rsid w:val="1FE5BC86"/>
    <w:rsid w:val="1FFD2064"/>
    <w:rsid w:val="2069063D"/>
    <w:rsid w:val="20EA7BF1"/>
    <w:rsid w:val="21C01215"/>
    <w:rsid w:val="2271FD55"/>
    <w:rsid w:val="232BED52"/>
    <w:rsid w:val="23494CE0"/>
    <w:rsid w:val="237230E3"/>
    <w:rsid w:val="24045B89"/>
    <w:rsid w:val="267D509E"/>
    <w:rsid w:val="2845961D"/>
    <w:rsid w:val="2939263F"/>
    <w:rsid w:val="2939C9B7"/>
    <w:rsid w:val="2998E04F"/>
    <w:rsid w:val="2A6C47BB"/>
    <w:rsid w:val="2B147CF7"/>
    <w:rsid w:val="2B5D073C"/>
    <w:rsid w:val="2B67DF62"/>
    <w:rsid w:val="2B97EFA2"/>
    <w:rsid w:val="2BAE500D"/>
    <w:rsid w:val="2D9D3FF9"/>
    <w:rsid w:val="2F9541ED"/>
    <w:rsid w:val="30538166"/>
    <w:rsid w:val="31100AF9"/>
    <w:rsid w:val="31EBD1D7"/>
    <w:rsid w:val="3217081D"/>
    <w:rsid w:val="3375976B"/>
    <w:rsid w:val="3474A843"/>
    <w:rsid w:val="34B6B56D"/>
    <w:rsid w:val="350221E3"/>
    <w:rsid w:val="359F7F9F"/>
    <w:rsid w:val="36A82FA3"/>
    <w:rsid w:val="37372A63"/>
    <w:rsid w:val="37422219"/>
    <w:rsid w:val="37FCA557"/>
    <w:rsid w:val="384417BB"/>
    <w:rsid w:val="38F97FC9"/>
    <w:rsid w:val="3919896B"/>
    <w:rsid w:val="3B1EA652"/>
    <w:rsid w:val="3C4A78DF"/>
    <w:rsid w:val="3C8093F2"/>
    <w:rsid w:val="3D658C33"/>
    <w:rsid w:val="3FACF926"/>
    <w:rsid w:val="410E00D8"/>
    <w:rsid w:val="42E7D7BC"/>
    <w:rsid w:val="44EA7266"/>
    <w:rsid w:val="4ACEEBA7"/>
    <w:rsid w:val="4D5DAA1A"/>
    <w:rsid w:val="4D6DF02F"/>
    <w:rsid w:val="4E216F9B"/>
    <w:rsid w:val="4E68F27F"/>
    <w:rsid w:val="5134DEDF"/>
    <w:rsid w:val="53B30854"/>
    <w:rsid w:val="5479F13A"/>
    <w:rsid w:val="5495E601"/>
    <w:rsid w:val="56A9C713"/>
    <w:rsid w:val="58805F25"/>
    <w:rsid w:val="58CDA086"/>
    <w:rsid w:val="597D8ABC"/>
    <w:rsid w:val="59C3C0BA"/>
    <w:rsid w:val="5A2249D8"/>
    <w:rsid w:val="5BD156B2"/>
    <w:rsid w:val="5ED02A32"/>
    <w:rsid w:val="5F7F3ABA"/>
    <w:rsid w:val="5FBA1914"/>
    <w:rsid w:val="5FE125AA"/>
    <w:rsid w:val="600AF5CD"/>
    <w:rsid w:val="616E0484"/>
    <w:rsid w:val="61B2FB73"/>
    <w:rsid w:val="6305415E"/>
    <w:rsid w:val="630C0D5A"/>
    <w:rsid w:val="63137248"/>
    <w:rsid w:val="642A6051"/>
    <w:rsid w:val="64F5089F"/>
    <w:rsid w:val="660D5B89"/>
    <w:rsid w:val="66E095EE"/>
    <w:rsid w:val="68247351"/>
    <w:rsid w:val="68C73CE3"/>
    <w:rsid w:val="6A544A58"/>
    <w:rsid w:val="6B33710D"/>
    <w:rsid w:val="6B8746CE"/>
    <w:rsid w:val="6D1E4303"/>
    <w:rsid w:val="6FABC3FD"/>
    <w:rsid w:val="704F1E00"/>
    <w:rsid w:val="71201663"/>
    <w:rsid w:val="720B0B0C"/>
    <w:rsid w:val="729F2A39"/>
    <w:rsid w:val="7589F138"/>
    <w:rsid w:val="76041FF8"/>
    <w:rsid w:val="78AA486F"/>
    <w:rsid w:val="78BD578E"/>
    <w:rsid w:val="79082B88"/>
    <w:rsid w:val="7A74D8AB"/>
    <w:rsid w:val="7B84AE8C"/>
    <w:rsid w:val="7B8835FA"/>
    <w:rsid w:val="7BABD12B"/>
    <w:rsid w:val="7D252281"/>
    <w:rsid w:val="7D36AE2D"/>
    <w:rsid w:val="7E5EBFFB"/>
    <w:rsid w:val="7F77B591"/>
    <w:rsid w:val="7FAC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D355"/>
  <w15:chartTrackingRefBased/>
  <w15:docId w15:val="{81F59EE1-E4B9-40BF-B1AA-A8D6FD7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C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41"/>
  </w:style>
  <w:style w:type="paragraph" w:styleId="Footer">
    <w:name w:val="footer"/>
    <w:basedOn w:val="Normal"/>
    <w:link w:val="Foot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41"/>
  </w:style>
  <w:style w:type="paragraph" w:customStyle="1" w:styleId="paragraph">
    <w:name w:val="paragraph"/>
    <w:basedOn w:val="Normal"/>
    <w:rsid w:val="00E2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0219"/>
  </w:style>
  <w:style w:type="character" w:customStyle="1" w:styleId="eop">
    <w:name w:val="eop"/>
    <w:basedOn w:val="DefaultParagraphFont"/>
    <w:rsid w:val="00E20219"/>
  </w:style>
  <w:style w:type="character" w:styleId="EndnoteReference">
    <w:name w:val="endnote reference"/>
    <w:basedOn w:val="DefaultParagraphFont"/>
    <w:uiPriority w:val="99"/>
    <w:semiHidden/>
    <w:unhideWhenUsed/>
    <w:rsid w:val="00252DF0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DF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DF0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52D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B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C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kaleidoscope/overview.html" TargetMode="External"/><Relationship Id="rId1" Type="http://schemas.openxmlformats.org/officeDocument/2006/relationships/hyperlink" Target="https://www.doe.mass.edu/instruction/culturally-sustaining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143AB6608134A92E16E4884C6C0DE" ma:contentTypeVersion="4" ma:contentTypeDescription="Create a new document." ma:contentTypeScope="" ma:versionID="18a09186de1d14b5f6ef56e88968de81">
  <xsd:schema xmlns:xsd="http://www.w3.org/2001/XMLSchema" xmlns:xs="http://www.w3.org/2001/XMLSchema" xmlns:p="http://schemas.microsoft.com/office/2006/metadata/properties" xmlns:ns2="5f2f7c92-e50c-4dc6-9b49-75f420473e45" xmlns:ns3="bdacf83c-6ab7-4383-8f7f-e88e300c1db3" targetNamespace="http://schemas.microsoft.com/office/2006/metadata/properties" ma:root="true" ma:fieldsID="b7eb902a6c789c9842eb45967f6d11c8" ns2:_="" ns3:_="">
    <xsd:import namespace="5f2f7c92-e50c-4dc6-9b49-75f420473e45"/>
    <xsd:import namespace="bdacf83c-6ab7-4383-8f7f-e88e300c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7c92-e50c-4dc6-9b49-75f42047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f83c-6ab7-4383-8f7f-e88e300c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acf83c-6ab7-4383-8f7f-e88e300c1db3">
      <UserInfo>
        <DisplayName>Johnston, Russell (DESE)</DisplayName>
        <AccountId>20</AccountId>
        <AccountType/>
      </UserInfo>
      <UserInfo>
        <DisplayName>Foley, Kinnon (DESE)</DisplayName>
        <AccountId>60</AccountId>
        <AccountType/>
      </UserInfo>
      <UserInfo>
        <DisplayName>Bhasin, Komal (DESE)</DisplayName>
        <AccountId>21</AccountId>
        <AccountType/>
      </UserInfo>
      <UserInfo>
        <DisplayName>Ryan, Michelle (DESE)</DisplayName>
        <AccountId>31</AccountId>
        <AccountType/>
      </UserInfo>
      <UserInfo>
        <DisplayName>Tarca, Katherine (DESE)</DisplayName>
        <AccountId>23</AccountId>
        <AccountType/>
      </UserInfo>
      <UserInfo>
        <DisplayName>Robinson, Regina M. (DESE)</DisplayName>
        <AccountId>33</AccountId>
        <AccountType/>
      </UserInfo>
      <UserInfo>
        <DisplayName>Balter, Allison E. (DESE)</DisplayName>
        <AccountId>30</AccountId>
        <AccountType/>
      </UserInfo>
      <UserInfo>
        <DisplayName>Bagg, Alison (DESE)</DisplayName>
        <AccountId>22</AccountId>
        <AccountType/>
      </UserInfo>
      <UserInfo>
        <DisplayName>Bennett, Elizabeth L. (DESE)</DisplayName>
        <AccountId>51</AccountId>
        <AccountType/>
      </UserInfo>
      <UserInfo>
        <DisplayName>Hashimoto-Martell, Erin (DESE)</DisplayName>
        <AccountId>24</AccountId>
        <AccountType/>
      </UserInfo>
      <UserInfo>
        <DisplayName>Steenland, Deborah (DESE)</DisplayName>
        <AccountId>87</AccountId>
        <AccountType/>
      </UserInfo>
      <UserInfo>
        <DisplayName>Schneider, Rhoda E (DESE)</DisplayName>
        <AccountId>83</AccountId>
        <AccountType/>
      </UserInfo>
      <UserInfo>
        <DisplayName>Alvarez, Iraida (DESE)</DisplayName>
        <AccountId>86</AccountId>
        <AccountType/>
      </UserInfo>
      <UserInfo>
        <DisplayName>Sahni, Amrita D. (DESE)</DisplayName>
        <AccountId>227</AccountId>
        <AccountType/>
      </UserInfo>
      <UserInfo>
        <DisplayName>Abbott, Claire (DESE)</DisplayName>
        <AccountId>184</AccountId>
        <AccountType/>
      </UserInfo>
      <UserInfo>
        <DisplayName>Clancy, Shannon (DESE)</DisplayName>
        <AccountId>226</AccountId>
        <AccountType/>
      </UserInfo>
      <UserInfo>
        <DisplayName>Woodford, Jenny L. (DESE)</DisplayName>
        <AccountId>387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E2CF47-DFD8-4EBC-B19E-5E7627141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EB29-93DA-4446-B66D-CAAFCD756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f7c92-e50c-4dc6-9b49-75f420473e45"/>
    <ds:schemaRef ds:uri="bdacf83c-6ab7-4383-8f7f-e88e300c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21A8C-17BE-40DD-BE64-8F6712500275}">
  <ds:schemaRefs>
    <ds:schemaRef ds:uri="http://schemas.microsoft.com/office/2006/metadata/properties"/>
    <ds:schemaRef ds:uri="http://schemas.microsoft.com/office/infopath/2007/PartnerControls"/>
    <ds:schemaRef ds:uri="bdacf83c-6ab7-4383-8f7f-e88e300c1d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Vision - Text Only</vt:lpstr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Vision: Text Only Version — Portuguese</dc:title>
  <dc:subject/>
  <dc:creator>DESE</dc:creator>
  <cp:keywords/>
  <dc:description/>
  <cp:lastModifiedBy>Zou, Dong (EOE)</cp:lastModifiedBy>
  <cp:revision>23</cp:revision>
  <dcterms:created xsi:type="dcterms:W3CDTF">2023-05-18T17:55:00Z</dcterms:created>
  <dcterms:modified xsi:type="dcterms:W3CDTF">2023-08-14T19:40:00Z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14 2023 12:00AM</vt:lpwstr>
  </property>
</Properties>
</file>