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A6DF" w14:textId="22231E7E" w:rsidR="00F634A0" w:rsidRDefault="00F634A0" w:rsidP="00D90C7B">
      <w:pPr>
        <w:pStyle w:val="Heading2"/>
      </w:pPr>
      <w:r>
        <w:t>Introduction</w:t>
      </w:r>
    </w:p>
    <w:p w14:paraId="4C284292" w14:textId="65C13D4B" w:rsidR="00F634A0" w:rsidRPr="00F634A0" w:rsidRDefault="00F634A0" w:rsidP="00F634A0">
      <w:pPr>
        <w:rPr>
          <w:sz w:val="20"/>
          <w:szCs w:val="20"/>
        </w:rPr>
      </w:pPr>
      <w:r w:rsidRPr="00F634A0">
        <w:rPr>
          <w:sz w:val="20"/>
          <w:szCs w:val="20"/>
        </w:rPr>
        <w:t>Our educational vision document describes the Department of Elementary and Secondary Education’s aspiration – our vision – for elementary and secondary public education and adult basic education in the Commonwealth of Massachusetts. This vision is anchored in our commitment to high-quality teaching and learning in the Commonwealth. We will continue to work with districts, schools, and educators to promote teaching and learning that is antiracist, inclusive, multilingual, and multicultural; that values and affirms each and every student and their families; and that creates equitable opportunities and experiences for all students, particularly those who have been historically underserved.</w:t>
      </w:r>
    </w:p>
    <w:p w14:paraId="1C772669" w14:textId="287E6C40" w:rsidR="00807B07" w:rsidRDefault="3919896B" w:rsidP="00D90C7B">
      <w:pPr>
        <w:pStyle w:val="Heading2"/>
      </w:pPr>
      <w:r w:rsidRPr="095B5211">
        <w:t>Our goal is that a</w:t>
      </w:r>
      <w:r w:rsidR="53B30854" w:rsidRPr="095B5211">
        <w:t>s</w:t>
      </w:r>
      <w:r w:rsidR="53B30854" w:rsidRPr="2845961D">
        <w:t xml:space="preserve"> a result of their public education in Massachusetts, students will:</w:t>
      </w:r>
    </w:p>
    <w:p w14:paraId="452053FE" w14:textId="636FC5AA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 w:rsidRPr="2845961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Attain academic knowledge and skills: </w:t>
      </w:r>
      <w:r w:rsidRPr="2845961D">
        <w:rPr>
          <w:rFonts w:ascii="Calibri" w:eastAsia="Calibri" w:hAnsi="Calibri" w:cs="Calibri"/>
          <w:color w:val="000000" w:themeColor="text1"/>
          <w:sz w:val="20"/>
          <w:szCs w:val="20"/>
        </w:rPr>
        <w:t>achieve in a comprehensive and diverse range of subjects and apply their competencies in relevant, real-world contexts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135D88C" w14:textId="51FEFD19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 w:rsidRPr="2845961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Understand and value self</w:t>
      </w:r>
      <w:r w:rsidRPr="2845961D">
        <w:rPr>
          <w:rFonts w:ascii="Calibri" w:eastAsia="Calibri" w:hAnsi="Calibri" w:cs="Calibri"/>
          <w:color w:val="000000" w:themeColor="text1"/>
          <w:sz w:val="20"/>
          <w:szCs w:val="20"/>
        </w:rPr>
        <w:t>: know their own strengths, interests, and areas of growth, be self-aware, be a self-advocate, and make responsible decisions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2845961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3A9F53C" w14:textId="3E4088F7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 w:rsidRPr="2845961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Understand and value others</w:t>
      </w:r>
      <w:r w:rsidRPr="2845961D">
        <w:rPr>
          <w:rFonts w:ascii="Calibri" w:eastAsia="Calibri" w:hAnsi="Calibri" w:cs="Calibri"/>
          <w:color w:val="000000" w:themeColor="text1"/>
          <w:sz w:val="20"/>
          <w:szCs w:val="20"/>
        </w:rPr>
        <w:t>: understand differences and multiple perspectives, empathize with others, and build connections with peers and adults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1B8F830A" w14:textId="074BB931" w:rsidR="00807B07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0"/>
          <w:szCs w:val="20"/>
        </w:rPr>
      </w:pPr>
      <w:r w:rsidRPr="2845961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Engage with the world</w:t>
      </w:r>
      <w:r w:rsidRPr="2845961D">
        <w:rPr>
          <w:rFonts w:ascii="Calibri" w:eastAsia="Calibri" w:hAnsi="Calibri" w:cs="Calibri"/>
          <w:color w:val="000000" w:themeColor="text1"/>
          <w:sz w:val="20"/>
          <w:szCs w:val="20"/>
        </w:rPr>
        <w:t>: understand and think critically about local, national, and world events and societal systems; and create positive change through civic action.</w:t>
      </w:r>
    </w:p>
    <w:p w14:paraId="0D493193" w14:textId="5A26FE4C" w:rsidR="00807B07" w:rsidRDefault="53B30854" w:rsidP="00D90C7B">
      <w:pPr>
        <w:pStyle w:val="Heading2"/>
      </w:pPr>
      <w:r w:rsidRPr="2845961D">
        <w:t>So that they can:</w:t>
      </w:r>
    </w:p>
    <w:p w14:paraId="518CAE65" w14:textId="4CD34040" w:rsidR="00807B07" w:rsidRDefault="53B30854" w:rsidP="23494CE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3494C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Be curious and creative: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find joy in learning</w:t>
      </w:r>
      <w:r w:rsidR="5FBA1914" w:rsidRPr="23494C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>pursue their interests</w:t>
      </w:r>
      <w:r w:rsidR="0FC8799C" w:rsidRPr="23494C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and 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>use innovative thinking to approach opportunities and solve challenges, including those previously unseen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9AD481B" w14:textId="5F54ACE4" w:rsidR="00807B07" w:rsidRDefault="42E7D7BC" w:rsidP="2845961D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5FFBD6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Shape their path: </w:t>
      </w:r>
      <w:r w:rsidR="18F2C5C1" w:rsidRPr="05FFBD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 well prepared </w:t>
      </w:r>
      <w:r w:rsidRPr="05FFBD67">
        <w:rPr>
          <w:rFonts w:ascii="Calibri" w:eastAsia="Calibri" w:hAnsi="Calibri" w:cs="Calibri"/>
          <w:color w:val="000000" w:themeColor="text1"/>
          <w:sz w:val="20"/>
          <w:szCs w:val="20"/>
        </w:rPr>
        <w:t>to thrive in</w:t>
      </w:r>
      <w:r w:rsidR="07F9998A" w:rsidRPr="05FFBD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5FFBD67">
        <w:rPr>
          <w:rFonts w:ascii="Calibri" w:eastAsia="Calibri" w:hAnsi="Calibri" w:cs="Calibri"/>
          <w:color w:val="000000" w:themeColor="text1"/>
          <w:sz w:val="20"/>
          <w:szCs w:val="20"/>
        </w:rPr>
        <w:t>college</w:t>
      </w:r>
      <w:r w:rsidR="38F97FC9" w:rsidRPr="05FFBD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5FFBD67">
        <w:rPr>
          <w:rFonts w:ascii="Calibri" w:eastAsia="Calibri" w:hAnsi="Calibri" w:cs="Calibri"/>
          <w:color w:val="000000" w:themeColor="text1"/>
          <w:sz w:val="20"/>
          <w:szCs w:val="20"/>
        </w:rPr>
        <w:t>and/or career</w:t>
      </w:r>
      <w:r w:rsidR="00B3376A" w:rsidRPr="05FFBD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be positioned for lifelong learning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B3376A" w:rsidRPr="05FFBD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278BB02" w14:textId="4E799845" w:rsidR="00807B07" w:rsidRDefault="53B30854" w:rsidP="23494CE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  <w:szCs w:val="20"/>
        </w:rPr>
      </w:pPr>
      <w:r w:rsidRPr="23494CE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Feel connected: 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>see themselves as valuable and involved members of their communities</w:t>
      </w:r>
      <w:r w:rsidR="1C033B28" w:rsidRPr="23494C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>and b</w:t>
      </w:r>
      <w:r w:rsidR="19F32B75" w:rsidRPr="23494CE0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23494CE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aware of their independence and interdependence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3841A5C6" w14:textId="29D3690F" w:rsidR="00807B07" w:rsidRDefault="53B30854" w:rsidP="2845961D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2845961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Be empowered: </w:t>
      </w:r>
      <w:r w:rsidRPr="2845961D">
        <w:rPr>
          <w:rFonts w:ascii="Calibri" w:eastAsia="Calibri" w:hAnsi="Calibri" w:cs="Calibri"/>
          <w:color w:val="000000" w:themeColor="text1"/>
          <w:sz w:val="20"/>
          <w:szCs w:val="20"/>
        </w:rPr>
        <w:t>play a role in advocating for</w:t>
      </w:r>
      <w:r w:rsidR="2B67DF62" w:rsidRPr="2845961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equity, justice, and liberty in their communities and beyond</w:t>
      </w:r>
      <w:r w:rsidR="00E37F8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2B67DF62" w:rsidRPr="2845961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30BC4DE" w14:textId="47060F9C" w:rsidR="00807B07" w:rsidRPr="00D90C7B" w:rsidRDefault="53B30854" w:rsidP="00D90C7B">
      <w:pPr>
        <w:pStyle w:val="Heading2"/>
      </w:pPr>
      <w:r w:rsidRPr="00D90C7B">
        <w:t>Learning Experience</w:t>
      </w:r>
    </w:p>
    <w:p w14:paraId="060ECD85" w14:textId="64E97FBC" w:rsidR="00807B07" w:rsidRDefault="58805F25" w:rsidP="1A27F4F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A27F4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 students in Massachusetts, particularly students from historically underserved groups and communities, </w:t>
      </w:r>
      <w:r w:rsidR="36A82FA3" w:rsidRPr="1A27F4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will </w:t>
      </w:r>
      <w:r w:rsidRPr="1A27F4F4">
        <w:rPr>
          <w:rFonts w:ascii="Calibri" w:eastAsia="Calibri" w:hAnsi="Calibri" w:cs="Calibri"/>
          <w:color w:val="000000" w:themeColor="text1"/>
          <w:sz w:val="20"/>
          <w:szCs w:val="20"/>
        </w:rPr>
        <w:t>have equitable opportunities to excel in all content areas across all grades. Culturally and linguistically sustaining classroom and school practices</w:t>
      </w:r>
      <w:r w:rsidR="53B30854" w:rsidRPr="37372A63">
        <w:rPr>
          <w:rStyle w:val="EndnoteReference"/>
          <w:rFonts w:ascii="Calibri" w:eastAsia="Calibri" w:hAnsi="Calibri" w:cs="Calibri"/>
          <w:color w:val="000000" w:themeColor="text1"/>
          <w:sz w:val="20"/>
          <w:szCs w:val="20"/>
        </w:rPr>
        <w:endnoteReference w:id="2"/>
      </w:r>
      <w:r w:rsidRPr="1A27F4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154DE722" w:rsidRPr="1A27F4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will </w:t>
      </w:r>
      <w:r w:rsidRPr="1A27F4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support students to thrive by creating affirming environments where students </w:t>
      </w:r>
      <w:r w:rsidR="1FC2420A" w:rsidRPr="1A27F4F4">
        <w:rPr>
          <w:rFonts w:ascii="Calibri" w:eastAsia="Calibri" w:hAnsi="Calibri" w:cs="Calibri"/>
          <w:color w:val="000000" w:themeColor="text1"/>
          <w:sz w:val="20"/>
          <w:szCs w:val="20"/>
        </w:rPr>
        <w:t>have a sense of belonging</w:t>
      </w:r>
      <w:r w:rsidRPr="6B33710D">
        <w:rPr>
          <w:rFonts w:ascii="Calibri" w:eastAsia="Calibri" w:hAnsi="Calibri" w:cs="Calibri"/>
          <w:color w:val="000000" w:themeColor="text1"/>
          <w:sz w:val="20"/>
          <w:szCs w:val="20"/>
        </w:rPr>
        <w:t>, engage in deeper learning</w:t>
      </w:r>
      <w:r w:rsidR="53B30854" w:rsidRPr="37372A63">
        <w:rPr>
          <w:rStyle w:val="EndnoteReference"/>
          <w:rFonts w:ascii="Calibri" w:eastAsia="Calibri" w:hAnsi="Calibri" w:cs="Calibri"/>
          <w:color w:val="000000" w:themeColor="text1"/>
          <w:sz w:val="20"/>
          <w:szCs w:val="20"/>
        </w:rPr>
        <w:endnoteReference w:id="3"/>
      </w:r>
      <w:r w:rsidRPr="1A27F4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and are held to high expectations with targeted support. </w:t>
      </w:r>
    </w:p>
    <w:p w14:paraId="216E6C35" w14:textId="4472BFF9" w:rsidR="00807B07" w:rsidRDefault="53B30854" w:rsidP="00D90C7B">
      <w:pPr>
        <w:pStyle w:val="Heading3"/>
      </w:pPr>
      <w:r w:rsidRPr="2845961D">
        <w:t>All students are known and valued.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620"/>
        <w:gridCol w:w="7725"/>
      </w:tblGrid>
      <w:tr w:rsidR="2845961D" w14:paraId="7CEB3059" w14:textId="77777777" w:rsidTr="095B5211">
        <w:trPr>
          <w:trHeight w:val="1125"/>
        </w:trPr>
        <w:tc>
          <w:tcPr>
            <w:tcW w:w="1620" w:type="dxa"/>
          </w:tcPr>
          <w:p w14:paraId="43E51021" w14:textId="09C4F12E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Students are known</w:t>
            </w:r>
          </w:p>
        </w:tc>
        <w:tc>
          <w:tcPr>
            <w:tcW w:w="7725" w:type="dxa"/>
          </w:tcPr>
          <w:p w14:paraId="7779BDEB" w14:textId="55B56DD1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Students and families have a sense of belonging: they are known, respected, and valued for who they are and what they bring to the school community, including their unique identities, strengths, interests, needs, languages, exceptionalities, and backgrounds. </w:t>
            </w:r>
          </w:p>
          <w:p w14:paraId="547CAE5E" w14:textId="14E9218A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attend safe and supportive schools that tend to their overall wellbeing.</w:t>
            </w:r>
          </w:p>
          <w:p w14:paraId="0905BB89" w14:textId="1FE0173E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gain awareness of how they think, learn, relate, and communicate, including in multiple languages/dialects.</w:t>
            </w:r>
          </w:p>
        </w:tc>
      </w:tr>
      <w:tr w:rsidR="2845961D" w14:paraId="77B71582" w14:textId="77777777" w:rsidTr="095B5211">
        <w:trPr>
          <w:trHeight w:val="885"/>
        </w:trPr>
        <w:tc>
          <w:tcPr>
            <w:tcW w:w="1620" w:type="dxa"/>
          </w:tcPr>
          <w:p w14:paraId="16C4B94E" w14:textId="54582404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Students are valued</w:t>
            </w:r>
          </w:p>
        </w:tc>
        <w:tc>
          <w:tcPr>
            <w:tcW w:w="7725" w:type="dxa"/>
          </w:tcPr>
          <w:p w14:paraId="016265C6" w14:textId="51232306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engage in learning that values and builds on their background knowledge, lived experiences, and cultural and linguistic assets.</w:t>
            </w:r>
          </w:p>
          <w:p w14:paraId="1E34A99E" w14:textId="6BF041E1" w:rsidR="2845961D" w:rsidRDefault="2845961D" w:rsidP="284596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are active participants and have</w:t>
            </w:r>
            <w:r w:rsidR="2F9541ED"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 v</w:t>
            </w: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oice in shaping their learning experience.</w:t>
            </w:r>
          </w:p>
        </w:tc>
      </w:tr>
    </w:tbl>
    <w:p w14:paraId="17B5670C" w14:textId="77777777" w:rsidR="000159D6" w:rsidRDefault="000159D6" w:rsidP="2845961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C8940CE" w14:textId="717B0681" w:rsidR="00807B07" w:rsidRDefault="53B30854" w:rsidP="00D90C7B">
      <w:pPr>
        <w:pStyle w:val="Heading3"/>
      </w:pPr>
      <w:r w:rsidRPr="2845961D">
        <w:lastRenderedPageBreak/>
        <w:t>Learning experiences are relevant, real-world, and interactive.</w:t>
      </w:r>
    </w:p>
    <w:tbl>
      <w:tblPr>
        <w:tblStyle w:val="TableGrid"/>
        <w:tblW w:w="9330" w:type="dxa"/>
        <w:tblLayout w:type="fixed"/>
        <w:tblLook w:val="04A0" w:firstRow="1" w:lastRow="0" w:firstColumn="1" w:lastColumn="0" w:noHBand="0" w:noVBand="1"/>
      </w:tblPr>
      <w:tblGrid>
        <w:gridCol w:w="1635"/>
        <w:gridCol w:w="7695"/>
      </w:tblGrid>
      <w:tr w:rsidR="2845961D" w14:paraId="32C14B0D" w14:textId="77777777" w:rsidTr="095B5211">
        <w:trPr>
          <w:trHeight w:val="1125"/>
        </w:trPr>
        <w:tc>
          <w:tcPr>
            <w:tcW w:w="1635" w:type="dxa"/>
          </w:tcPr>
          <w:p w14:paraId="45343A18" w14:textId="0C1054AD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Learning experiences</w:t>
            </w:r>
          </w:p>
        </w:tc>
        <w:tc>
          <w:tcPr>
            <w:tcW w:w="7695" w:type="dxa"/>
          </w:tcPr>
          <w:p w14:paraId="3EDE1DBF" w14:textId="75E16CA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learn through curriculum and instruction that aligns with Massachusetts curriculum frameworks at or above their grade level, connects to their identities, and utilizes evidence-based practices.</w:t>
            </w:r>
          </w:p>
          <w:p w14:paraId="37F14F78" w14:textId="57EF30E7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solve problems, think critically, ask questions, make meaning of complex ideas, and</w:t>
            </w:r>
            <w:r w:rsidR="13EC1DDE"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can </w:t>
            </w: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demonstrate their learning</w:t>
            </w:r>
            <w:r w:rsidR="2998E04F"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BB56D7A" w14:textId="013C73C5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learn and develop language through content-rich activities that promote authentic communication.</w:t>
            </w:r>
          </w:p>
        </w:tc>
      </w:tr>
      <w:tr w:rsidR="2845961D" w14:paraId="3EEED276" w14:textId="77777777" w:rsidTr="095B5211">
        <w:trPr>
          <w:trHeight w:val="1125"/>
        </w:trPr>
        <w:tc>
          <w:tcPr>
            <w:tcW w:w="1635" w:type="dxa"/>
          </w:tcPr>
          <w:p w14:paraId="2009541A" w14:textId="3BD8069B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Relevant </w:t>
            </w:r>
            <w:r w:rsidR="00B73E4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and </w:t>
            </w: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real-world</w:t>
            </w:r>
          </w:p>
        </w:tc>
        <w:tc>
          <w:tcPr>
            <w:tcW w:w="7695" w:type="dxa"/>
          </w:tcPr>
          <w:p w14:paraId="23344D97" w14:textId="56916832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learn by engaging with diverse perspectives and apply their learning to examine the natural world and different historical, social, and political contexts.</w:t>
            </w:r>
          </w:p>
          <w:p w14:paraId="6C94AE9E" w14:textId="2B20795A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have opportunities to make choices, connect to relevant or real-world contexts, and effect change.</w:t>
            </w:r>
          </w:p>
        </w:tc>
      </w:tr>
      <w:tr w:rsidR="2845961D" w14:paraId="6740B4D7" w14:textId="77777777" w:rsidTr="095B5211">
        <w:trPr>
          <w:trHeight w:val="1125"/>
        </w:trPr>
        <w:tc>
          <w:tcPr>
            <w:tcW w:w="1635" w:type="dxa"/>
          </w:tcPr>
          <w:p w14:paraId="4F17DBEC" w14:textId="1117DE2C" w:rsidR="2845961D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Interactive</w:t>
            </w:r>
          </w:p>
        </w:tc>
        <w:tc>
          <w:tcPr>
            <w:tcW w:w="7695" w:type="dxa"/>
          </w:tcPr>
          <w:p w14:paraId="42C1AD64" w14:textId="57DC23A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enjoy and look forward to their learning experiences.</w:t>
            </w:r>
          </w:p>
          <w:p w14:paraId="42EF7656" w14:textId="6353AD3F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have frequent opportunities to interact with their peers, make sense of complex ideas together, and develop academic language.</w:t>
            </w:r>
          </w:p>
          <w:p w14:paraId="5BECBACD" w14:textId="47771FE5" w:rsidR="2845961D" w:rsidRDefault="2845961D" w:rsidP="284596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take academic risks, learn from mistakes, incorporate feedback, and are proud to produce high quality work.</w:t>
            </w:r>
          </w:p>
        </w:tc>
      </w:tr>
    </w:tbl>
    <w:p w14:paraId="19F4B540" w14:textId="6271BE9E" w:rsidR="00807B07" w:rsidRDefault="00807B07" w:rsidP="2845961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BC6C971" w14:textId="5922AD47" w:rsidR="00807B07" w:rsidRDefault="53B30854" w:rsidP="00D90C7B">
      <w:pPr>
        <w:pStyle w:val="Heading3"/>
      </w:pPr>
      <w:r w:rsidRPr="2845961D">
        <w:t xml:space="preserve">Individualized supports enable students to excel at grade level (or beyond).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7680"/>
      </w:tblGrid>
      <w:tr w:rsidR="2845961D" w14:paraId="36006CCB" w14:textId="77777777" w:rsidTr="23494CE0">
        <w:trPr>
          <w:trHeight w:val="1125"/>
        </w:trPr>
        <w:tc>
          <w:tcPr>
            <w:tcW w:w="1650" w:type="dxa"/>
          </w:tcPr>
          <w:p w14:paraId="35F34AA3" w14:textId="3D82AEA9" w:rsidR="2845961D" w:rsidRDefault="2845961D" w:rsidP="2845961D">
            <w:pPr>
              <w:spacing w:line="257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Excel</w:t>
            </w:r>
            <w:r w:rsidR="001B6E5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D6DF02F" w:rsidRPr="095B521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at </w:t>
            </w: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grade level</w:t>
            </w:r>
            <w:r w:rsidR="3FACF926" w:rsidRPr="095B521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E68F27F" w:rsidRPr="095B521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(or</w:t>
            </w:r>
            <w:r w:rsidR="001B6E5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E68F27F" w:rsidRPr="095B521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beyond)</w:t>
            </w:r>
          </w:p>
        </w:tc>
        <w:tc>
          <w:tcPr>
            <w:tcW w:w="7680" w:type="dxa"/>
          </w:tcPr>
          <w:p w14:paraId="1AC2EEAB" w14:textId="63D005E3" w:rsidR="2845961D" w:rsidRDefault="7B8835FA" w:rsidP="31EBD1D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Students </w:t>
            </w:r>
            <w:r w:rsidR="6FABC3FD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receive</w:t>
            </w:r>
            <w:r w:rsidR="3217081D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3137248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necessary </w:t>
            </w:r>
            <w:r w:rsidR="3217081D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evidence-based supports and accommodations</w:t>
            </w:r>
            <w:r w:rsidR="20EA7BF1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to</w:t>
            </w:r>
            <w:r w:rsidR="6FABC3FD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learn</w:t>
            </w:r>
            <w:r w:rsidR="043B2241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knowledge and skills at</w:t>
            </w:r>
            <w:r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grade level (or beyond).</w:t>
            </w:r>
          </w:p>
          <w:p w14:paraId="1CBB10EE" w14:textId="1BC6AB8B" w:rsidR="2845961D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Students </w:t>
            </w:r>
            <w:r w:rsidR="232BED52" w:rsidRPr="095B521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with disabilities</w:t>
            </w: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receive</w:t>
            </w:r>
            <w:r w:rsidR="1D69E305"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carefully designed </w:t>
            </w: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instruction that accelerates their growth towards learning goals.</w:t>
            </w:r>
          </w:p>
          <w:p w14:paraId="65E14F7B" w14:textId="00F52F44" w:rsidR="2845961D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who are learning English receive explicit language instruction that enables access to grade-level content.</w:t>
            </w:r>
          </w:p>
        </w:tc>
      </w:tr>
      <w:tr w:rsidR="2845961D" w14:paraId="1B738FE9" w14:textId="77777777" w:rsidTr="23494CE0">
        <w:trPr>
          <w:trHeight w:val="1125"/>
        </w:trPr>
        <w:tc>
          <w:tcPr>
            <w:tcW w:w="1650" w:type="dxa"/>
          </w:tcPr>
          <w:p w14:paraId="68A930E5" w14:textId="080B240B" w:rsidR="2845961D" w:rsidRDefault="2845961D" w:rsidP="2845961D">
            <w:pPr>
              <w:spacing w:line="257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Individualized supports</w:t>
            </w:r>
          </w:p>
        </w:tc>
        <w:tc>
          <w:tcPr>
            <w:tcW w:w="7680" w:type="dxa"/>
          </w:tcPr>
          <w:p w14:paraId="51C06C1C" w14:textId="33DF5BFD" w:rsidR="2845961D" w:rsidRDefault="2845961D" w:rsidP="2845961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Students engage with flexible and responsive supports</w:t>
            </w:r>
            <w:r w:rsidR="58CDA086" w:rsidRPr="095B521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that are</w:t>
            </w:r>
            <w:r w:rsidRPr="284596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based on information gathered from classwork, observations, and assessment data; these supports are designed to fade away over time as students build more independent skills.</w:t>
            </w:r>
          </w:p>
          <w:p w14:paraId="4819E225" w14:textId="2A26DD15" w:rsidR="2845961D" w:rsidRDefault="7B8835FA" w:rsidP="31EBD1D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Students have multiple options for how they access content and how they demonstrate the knowledge </w:t>
            </w:r>
            <w:r w:rsidR="7589F138"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r w:rsidRPr="31EBD1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skills they have learned, including in various formats or languages.</w:t>
            </w:r>
          </w:p>
          <w:p w14:paraId="37F213DC" w14:textId="2C9CD2A0" w:rsidR="2845961D" w:rsidRDefault="06836225" w:rsidP="23494CE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3494C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Supports are tailored to students' </w:t>
            </w:r>
            <w:r w:rsidR="2B97EFA2" w:rsidRPr="23494C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academic, </w:t>
            </w:r>
            <w:r w:rsidR="2BAE500D" w:rsidRPr="23494C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physical</w:t>
            </w:r>
            <w:r w:rsidR="2B97EFA2" w:rsidRPr="23494CE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mental health, and social-emotional needs.</w:t>
            </w:r>
          </w:p>
        </w:tc>
      </w:tr>
    </w:tbl>
    <w:p w14:paraId="7E5DF599" w14:textId="3B4CE906" w:rsidR="2A6C47BB" w:rsidRDefault="2A6C47BB" w:rsidP="2A6C47BB">
      <w:pPr>
        <w:spacing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sectPr w:rsidR="2A6C47BB">
      <w:head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11E8" w14:textId="77777777" w:rsidR="002356AF" w:rsidRDefault="002356AF">
      <w:pPr>
        <w:spacing w:after="0" w:line="240" w:lineRule="auto"/>
      </w:pPr>
      <w:r>
        <w:separator/>
      </w:r>
    </w:p>
  </w:endnote>
  <w:endnote w:type="continuationSeparator" w:id="0">
    <w:p w14:paraId="314EF59F" w14:textId="77777777" w:rsidR="002356AF" w:rsidRDefault="002356AF">
      <w:pPr>
        <w:spacing w:after="0" w:line="240" w:lineRule="auto"/>
      </w:pPr>
      <w:r>
        <w:continuationSeparator/>
      </w:r>
    </w:p>
  </w:endnote>
  <w:endnote w:type="continuationNotice" w:id="1">
    <w:p w14:paraId="3207A987" w14:textId="77777777" w:rsidR="002356AF" w:rsidRDefault="002356AF">
      <w:pPr>
        <w:spacing w:after="0" w:line="240" w:lineRule="auto"/>
      </w:pPr>
    </w:p>
  </w:endnote>
  <w:endnote w:id="2">
    <w:p w14:paraId="4A705398" w14:textId="6D9C8212" w:rsidR="37372A63" w:rsidRDefault="37372A63" w:rsidP="37372A63">
      <w:pPr>
        <w:pStyle w:val="FootnoteText"/>
      </w:pPr>
      <w:r w:rsidRPr="37372A63">
        <w:rPr>
          <w:rStyle w:val="EndnoteReference"/>
        </w:rPr>
        <w:endnoteRef/>
      </w:r>
      <w:r w:rsidRPr="37372A63">
        <w:t xml:space="preserve"> For more information, please </w:t>
      </w:r>
      <w:r w:rsidR="00B73E49">
        <w:t>visit</w:t>
      </w:r>
      <w:r w:rsidRPr="37372A63">
        <w:t xml:space="preserve"> </w:t>
      </w:r>
      <w:hyperlink r:id="rId1" w:history="1">
        <w:r w:rsidR="004754A5">
          <w:rPr>
            <w:rStyle w:val="Hyperlink"/>
            <w:rFonts w:ascii="Calibri" w:eastAsia="Calibri" w:hAnsi="Calibri" w:cs="Calibri"/>
          </w:rPr>
          <w:t>https://www.doe.mass.edu/instruction/culturally-sustaining/default.html</w:t>
        </w:r>
      </w:hyperlink>
    </w:p>
  </w:endnote>
  <w:endnote w:id="3">
    <w:p w14:paraId="3BCAB976" w14:textId="1CFDC038" w:rsidR="37372A63" w:rsidRDefault="37372A63" w:rsidP="37372A63">
      <w:pPr>
        <w:pStyle w:val="EndnoteText"/>
      </w:pPr>
      <w:r w:rsidRPr="37372A63">
        <w:rPr>
          <w:rStyle w:val="EndnoteReference"/>
        </w:rPr>
        <w:endnoteRef/>
      </w:r>
      <w:r w:rsidRPr="37372A63">
        <w:t xml:space="preserve"> For more information, please </w:t>
      </w:r>
      <w:r w:rsidR="00B73E49">
        <w:t>visit</w:t>
      </w:r>
      <w:r w:rsidRPr="37372A63">
        <w:t xml:space="preserve"> </w:t>
      </w:r>
      <w:hyperlink r:id="rId2" w:history="1">
        <w:r w:rsidRPr="00B73E49">
          <w:rPr>
            <w:rStyle w:val="Hyperlink"/>
          </w:rPr>
          <w:t>https://www.doe.mass.edu/kaleidoscope/overview.html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AB8D" w14:textId="77777777" w:rsidR="002356AF" w:rsidRDefault="002356AF">
      <w:pPr>
        <w:spacing w:after="0" w:line="240" w:lineRule="auto"/>
      </w:pPr>
      <w:r>
        <w:separator/>
      </w:r>
    </w:p>
  </w:footnote>
  <w:footnote w:type="continuationSeparator" w:id="0">
    <w:p w14:paraId="7715CDB1" w14:textId="77777777" w:rsidR="002356AF" w:rsidRDefault="002356AF">
      <w:pPr>
        <w:spacing w:after="0" w:line="240" w:lineRule="auto"/>
      </w:pPr>
      <w:r>
        <w:continuationSeparator/>
      </w:r>
    </w:p>
  </w:footnote>
  <w:footnote w:type="continuationNotice" w:id="1">
    <w:p w14:paraId="62388536" w14:textId="77777777" w:rsidR="002356AF" w:rsidRDefault="002356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E41" w14:textId="6EA298E3" w:rsidR="000159D6" w:rsidRDefault="00EA2BC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01E847" wp14:editId="0143BDB0">
              <wp:extent cx="2670810" cy="160210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70810" cy="16021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F116" w14:textId="77777777" w:rsidR="00EA2BC3" w:rsidRDefault="00EA2BC3" w:rsidP="00EA2BC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15D7E">
                            <w:rPr>
                              <w:rFonts w:ascii="Calibri" w:hAnsi="Calibri" w:cs="Calibri"/>
                              <w:color w:val="000000" w:themeColor="text1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01E8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10.3pt;height:126.1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" filled="f" stroked="f">
              <v:stroke joinstyle="round"/>
              <o:lock v:ext="edit" shapetype="t"/>
              <v:textbox style="mso-fit-shape-to-text:t">
                <w:txbxContent>
                  <w:p w14:paraId="5160F116" w14:textId="77777777" w:rsidR="00EA2BC3" w:rsidRDefault="00EA2BC3" w:rsidP="00EA2BC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15D7E">
                      <w:rPr>
                        <w:rFonts w:ascii="Calibri" w:hAnsi="Calibri" w:cs="Calibri"/>
                        <w:color w:val="000000" w:themeColor="text1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E2A2"/>
    <w:multiLevelType w:val="hybridMultilevel"/>
    <w:tmpl w:val="FFFFFFFF"/>
    <w:lvl w:ilvl="0" w:tplc="ADEE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4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0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F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4B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24CF"/>
    <w:multiLevelType w:val="hybridMultilevel"/>
    <w:tmpl w:val="FFFFFFFF"/>
    <w:lvl w:ilvl="0" w:tplc="78B8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F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D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6D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9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B3DB"/>
    <w:multiLevelType w:val="hybridMultilevel"/>
    <w:tmpl w:val="FFFFFFFF"/>
    <w:lvl w:ilvl="0" w:tplc="8C74D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23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8F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C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4A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A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CEA4"/>
    <w:multiLevelType w:val="hybridMultilevel"/>
    <w:tmpl w:val="FFFFFFFF"/>
    <w:lvl w:ilvl="0" w:tplc="FA4C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64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D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E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2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F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4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27D2"/>
    <w:multiLevelType w:val="hybridMultilevel"/>
    <w:tmpl w:val="FFFFFFFF"/>
    <w:lvl w:ilvl="0" w:tplc="EB5A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83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6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84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E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C74A"/>
    <w:multiLevelType w:val="hybridMultilevel"/>
    <w:tmpl w:val="FFFFFFFF"/>
    <w:lvl w:ilvl="0" w:tplc="E89E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E21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6A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9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B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F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D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C8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6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0BC6"/>
    <w:multiLevelType w:val="hybridMultilevel"/>
    <w:tmpl w:val="FFFFFFFF"/>
    <w:lvl w:ilvl="0" w:tplc="ED0A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6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CA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C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2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2058">
    <w:abstractNumId w:val="5"/>
  </w:num>
  <w:num w:numId="2" w16cid:durableId="65809864">
    <w:abstractNumId w:val="0"/>
  </w:num>
  <w:num w:numId="3" w16cid:durableId="227809872">
    <w:abstractNumId w:val="6"/>
  </w:num>
  <w:num w:numId="4" w16cid:durableId="693962263">
    <w:abstractNumId w:val="2"/>
  </w:num>
  <w:num w:numId="5" w16cid:durableId="52195872">
    <w:abstractNumId w:val="3"/>
  </w:num>
  <w:num w:numId="6" w16cid:durableId="1729299653">
    <w:abstractNumId w:val="1"/>
  </w:num>
  <w:num w:numId="7" w16cid:durableId="815990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9809D"/>
    <w:rsid w:val="000159D6"/>
    <w:rsid w:val="000167D7"/>
    <w:rsid w:val="00022E61"/>
    <w:rsid w:val="00063B34"/>
    <w:rsid w:val="000747B6"/>
    <w:rsid w:val="000D270E"/>
    <w:rsid w:val="000E2BBB"/>
    <w:rsid w:val="000E695D"/>
    <w:rsid w:val="000F7FC4"/>
    <w:rsid w:val="00146AA0"/>
    <w:rsid w:val="001B6E5E"/>
    <w:rsid w:val="001C36F0"/>
    <w:rsid w:val="002356AF"/>
    <w:rsid w:val="00252DF0"/>
    <w:rsid w:val="00271082"/>
    <w:rsid w:val="002D0D95"/>
    <w:rsid w:val="00372C05"/>
    <w:rsid w:val="003C28DF"/>
    <w:rsid w:val="003D14A5"/>
    <w:rsid w:val="003E1D57"/>
    <w:rsid w:val="00457259"/>
    <w:rsid w:val="004754A5"/>
    <w:rsid w:val="004E2B84"/>
    <w:rsid w:val="00517F7E"/>
    <w:rsid w:val="005227E0"/>
    <w:rsid w:val="00571EE7"/>
    <w:rsid w:val="00574FFE"/>
    <w:rsid w:val="005A6DF8"/>
    <w:rsid w:val="005B20C2"/>
    <w:rsid w:val="00615D7E"/>
    <w:rsid w:val="00680B35"/>
    <w:rsid w:val="006A7975"/>
    <w:rsid w:val="006D24BF"/>
    <w:rsid w:val="00743515"/>
    <w:rsid w:val="00807B07"/>
    <w:rsid w:val="00853FF6"/>
    <w:rsid w:val="008726EE"/>
    <w:rsid w:val="0087350D"/>
    <w:rsid w:val="008A1E1D"/>
    <w:rsid w:val="008E44A4"/>
    <w:rsid w:val="008E4ECD"/>
    <w:rsid w:val="009661FE"/>
    <w:rsid w:val="00A11A21"/>
    <w:rsid w:val="00A20194"/>
    <w:rsid w:val="00AB7B5C"/>
    <w:rsid w:val="00AD3CCC"/>
    <w:rsid w:val="00AE3B42"/>
    <w:rsid w:val="00B2654D"/>
    <w:rsid w:val="00B3376A"/>
    <w:rsid w:val="00B36CED"/>
    <w:rsid w:val="00B73E49"/>
    <w:rsid w:val="00B92155"/>
    <w:rsid w:val="00BD4A4C"/>
    <w:rsid w:val="00BF717B"/>
    <w:rsid w:val="00C22241"/>
    <w:rsid w:val="00C32262"/>
    <w:rsid w:val="00CA03DD"/>
    <w:rsid w:val="00CB4FEC"/>
    <w:rsid w:val="00CF7EA8"/>
    <w:rsid w:val="00D04B37"/>
    <w:rsid w:val="00D171A9"/>
    <w:rsid w:val="00D76E6B"/>
    <w:rsid w:val="00D813B5"/>
    <w:rsid w:val="00D90C7B"/>
    <w:rsid w:val="00E20219"/>
    <w:rsid w:val="00E37F8F"/>
    <w:rsid w:val="00E428A6"/>
    <w:rsid w:val="00E450CA"/>
    <w:rsid w:val="00E93DFC"/>
    <w:rsid w:val="00EA2BC3"/>
    <w:rsid w:val="00EA40A4"/>
    <w:rsid w:val="00F0029D"/>
    <w:rsid w:val="00F34867"/>
    <w:rsid w:val="00F45E7B"/>
    <w:rsid w:val="00F634A0"/>
    <w:rsid w:val="00FE55C2"/>
    <w:rsid w:val="018B49B7"/>
    <w:rsid w:val="03B9AE70"/>
    <w:rsid w:val="043B2241"/>
    <w:rsid w:val="05FFBD67"/>
    <w:rsid w:val="0679809D"/>
    <w:rsid w:val="06836225"/>
    <w:rsid w:val="07F9998A"/>
    <w:rsid w:val="095B5211"/>
    <w:rsid w:val="0A7E1A02"/>
    <w:rsid w:val="0CFE3101"/>
    <w:rsid w:val="0EB28FA2"/>
    <w:rsid w:val="0F7422C9"/>
    <w:rsid w:val="0FC7A68D"/>
    <w:rsid w:val="0FC8799C"/>
    <w:rsid w:val="10775DA0"/>
    <w:rsid w:val="10F6BAA6"/>
    <w:rsid w:val="12953074"/>
    <w:rsid w:val="13EC1DDE"/>
    <w:rsid w:val="142BEADE"/>
    <w:rsid w:val="14C9AF10"/>
    <w:rsid w:val="154DE722"/>
    <w:rsid w:val="162242FD"/>
    <w:rsid w:val="16F3A3F0"/>
    <w:rsid w:val="181F6A90"/>
    <w:rsid w:val="18F2C5C1"/>
    <w:rsid w:val="19157F45"/>
    <w:rsid w:val="1957F742"/>
    <w:rsid w:val="19645F2E"/>
    <w:rsid w:val="19F32B75"/>
    <w:rsid w:val="1A27F4F4"/>
    <w:rsid w:val="1B0ECF65"/>
    <w:rsid w:val="1B633FCE"/>
    <w:rsid w:val="1C033B28"/>
    <w:rsid w:val="1C19A14D"/>
    <w:rsid w:val="1C37FBB3"/>
    <w:rsid w:val="1D2CEC9B"/>
    <w:rsid w:val="1D69E305"/>
    <w:rsid w:val="1DC6EEB3"/>
    <w:rsid w:val="1DE8F07C"/>
    <w:rsid w:val="1FC2420A"/>
    <w:rsid w:val="1FE5BC86"/>
    <w:rsid w:val="1FFD2064"/>
    <w:rsid w:val="2069063D"/>
    <w:rsid w:val="20EA7BF1"/>
    <w:rsid w:val="21C01215"/>
    <w:rsid w:val="2271FD55"/>
    <w:rsid w:val="232BED52"/>
    <w:rsid w:val="23494CE0"/>
    <w:rsid w:val="237230E3"/>
    <w:rsid w:val="24045B89"/>
    <w:rsid w:val="267D509E"/>
    <w:rsid w:val="2845961D"/>
    <w:rsid w:val="2939263F"/>
    <w:rsid w:val="2939C9B7"/>
    <w:rsid w:val="2998E04F"/>
    <w:rsid w:val="2A6C47BB"/>
    <w:rsid w:val="2B147CF7"/>
    <w:rsid w:val="2B5D073C"/>
    <w:rsid w:val="2B67DF62"/>
    <w:rsid w:val="2B97EFA2"/>
    <w:rsid w:val="2BAE500D"/>
    <w:rsid w:val="2D9D3FF9"/>
    <w:rsid w:val="2F9541ED"/>
    <w:rsid w:val="30538166"/>
    <w:rsid w:val="31100AF9"/>
    <w:rsid w:val="31EBD1D7"/>
    <w:rsid w:val="3217081D"/>
    <w:rsid w:val="3375976B"/>
    <w:rsid w:val="3474A843"/>
    <w:rsid w:val="34B6B56D"/>
    <w:rsid w:val="350221E3"/>
    <w:rsid w:val="359F7F9F"/>
    <w:rsid w:val="36A82FA3"/>
    <w:rsid w:val="37372A63"/>
    <w:rsid w:val="37422219"/>
    <w:rsid w:val="37FCA557"/>
    <w:rsid w:val="384417BB"/>
    <w:rsid w:val="38F97FC9"/>
    <w:rsid w:val="3919896B"/>
    <w:rsid w:val="3B1EA652"/>
    <w:rsid w:val="3C4A78DF"/>
    <w:rsid w:val="3C8093F2"/>
    <w:rsid w:val="3D658C33"/>
    <w:rsid w:val="3FACF926"/>
    <w:rsid w:val="410E00D8"/>
    <w:rsid w:val="42E7D7BC"/>
    <w:rsid w:val="44EA7266"/>
    <w:rsid w:val="4ACEEBA7"/>
    <w:rsid w:val="4D5DAA1A"/>
    <w:rsid w:val="4D6DF02F"/>
    <w:rsid w:val="4E216F9B"/>
    <w:rsid w:val="4E68F27F"/>
    <w:rsid w:val="5134DEDF"/>
    <w:rsid w:val="53B30854"/>
    <w:rsid w:val="5479F13A"/>
    <w:rsid w:val="5495E601"/>
    <w:rsid w:val="56A9C713"/>
    <w:rsid w:val="58805F25"/>
    <w:rsid w:val="58CDA086"/>
    <w:rsid w:val="597D8ABC"/>
    <w:rsid w:val="59C3C0BA"/>
    <w:rsid w:val="5A2249D8"/>
    <w:rsid w:val="5BD156B2"/>
    <w:rsid w:val="5ED02A32"/>
    <w:rsid w:val="5F7F3ABA"/>
    <w:rsid w:val="5FBA1914"/>
    <w:rsid w:val="5FE125AA"/>
    <w:rsid w:val="600AF5CD"/>
    <w:rsid w:val="616E0484"/>
    <w:rsid w:val="61B2FB73"/>
    <w:rsid w:val="6305415E"/>
    <w:rsid w:val="630C0D5A"/>
    <w:rsid w:val="63137248"/>
    <w:rsid w:val="642A6051"/>
    <w:rsid w:val="64F5089F"/>
    <w:rsid w:val="660D5B89"/>
    <w:rsid w:val="66E095EE"/>
    <w:rsid w:val="68247351"/>
    <w:rsid w:val="68C73CE3"/>
    <w:rsid w:val="6A544A58"/>
    <w:rsid w:val="6B33710D"/>
    <w:rsid w:val="6B8746CE"/>
    <w:rsid w:val="6D1E4303"/>
    <w:rsid w:val="6FABC3FD"/>
    <w:rsid w:val="704F1E00"/>
    <w:rsid w:val="71201663"/>
    <w:rsid w:val="720B0B0C"/>
    <w:rsid w:val="729F2A39"/>
    <w:rsid w:val="7589F138"/>
    <w:rsid w:val="76041FF8"/>
    <w:rsid w:val="78AA486F"/>
    <w:rsid w:val="78BD578E"/>
    <w:rsid w:val="79082B88"/>
    <w:rsid w:val="7A74D8AB"/>
    <w:rsid w:val="7B84AE8C"/>
    <w:rsid w:val="7B8835FA"/>
    <w:rsid w:val="7BABD12B"/>
    <w:rsid w:val="7D252281"/>
    <w:rsid w:val="7D36AE2D"/>
    <w:rsid w:val="7E5EBFFB"/>
    <w:rsid w:val="7F77B591"/>
    <w:rsid w:val="7FAC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D355"/>
  <w15:chartTrackingRefBased/>
  <w15:docId w15:val="{81F59EE1-E4B9-40BF-B1AA-A8D6FD7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41"/>
  </w:style>
  <w:style w:type="paragraph" w:styleId="Footer">
    <w:name w:val="footer"/>
    <w:basedOn w:val="Normal"/>
    <w:link w:val="Foot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41"/>
  </w:style>
  <w:style w:type="paragraph" w:customStyle="1" w:styleId="paragraph">
    <w:name w:val="paragraph"/>
    <w:basedOn w:val="Normal"/>
    <w:rsid w:val="00E2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0219"/>
  </w:style>
  <w:style w:type="character" w:customStyle="1" w:styleId="eop">
    <w:name w:val="eop"/>
    <w:basedOn w:val="DefaultParagraphFont"/>
    <w:rsid w:val="00E20219"/>
  </w:style>
  <w:style w:type="character" w:styleId="EndnoteReference">
    <w:name w:val="endnote reference"/>
    <w:basedOn w:val="DefaultParagraphFont"/>
    <w:uiPriority w:val="99"/>
    <w:semiHidden/>
    <w:unhideWhenUsed/>
    <w:rsid w:val="00252DF0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DF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DF0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52D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B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kaleidoscope/overview.html" TargetMode="External"/><Relationship Id="rId1" Type="http://schemas.openxmlformats.org/officeDocument/2006/relationships/hyperlink" Target="https://www.doe.mass.edu/instruction/culturally-sustaining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acf83c-6ab7-4383-8f7f-e88e300c1db3">
      <UserInfo>
        <DisplayName>Johnston, Russell (DESE)</DisplayName>
        <AccountId>20</AccountId>
        <AccountType/>
      </UserInfo>
      <UserInfo>
        <DisplayName>Foley, Kinnon (DESE)</DisplayName>
        <AccountId>60</AccountId>
        <AccountType/>
      </UserInfo>
      <UserInfo>
        <DisplayName>Bhasin, Komal (DESE)</DisplayName>
        <AccountId>21</AccountId>
        <AccountType/>
      </UserInfo>
      <UserInfo>
        <DisplayName>Ryan, Michelle (DESE)</DisplayName>
        <AccountId>31</AccountId>
        <AccountType/>
      </UserInfo>
      <UserInfo>
        <DisplayName>Tarca, Katherine (DESE)</DisplayName>
        <AccountId>23</AccountId>
        <AccountType/>
      </UserInfo>
      <UserInfo>
        <DisplayName>Robinson, Regina M. (DESE)</DisplayName>
        <AccountId>33</AccountId>
        <AccountType/>
      </UserInfo>
      <UserInfo>
        <DisplayName>Balter, Allison E. (DESE)</DisplayName>
        <AccountId>30</AccountId>
        <AccountType/>
      </UserInfo>
      <UserInfo>
        <DisplayName>Bagg, Alison (DESE)</DisplayName>
        <AccountId>22</AccountId>
        <AccountType/>
      </UserInfo>
      <UserInfo>
        <DisplayName>Bennett, Elizabeth L. (DESE)</DisplayName>
        <AccountId>51</AccountId>
        <AccountType/>
      </UserInfo>
      <UserInfo>
        <DisplayName>Hashimoto-Martell, Erin (DESE)</DisplayName>
        <AccountId>24</AccountId>
        <AccountType/>
      </UserInfo>
      <UserInfo>
        <DisplayName>Steenland, Deborah (DESE)</DisplayName>
        <AccountId>87</AccountId>
        <AccountType/>
      </UserInfo>
      <UserInfo>
        <DisplayName>Schneider, Rhoda E (DESE)</DisplayName>
        <AccountId>83</AccountId>
        <AccountType/>
      </UserInfo>
      <UserInfo>
        <DisplayName>Alvarez, Iraida (DESE)</DisplayName>
        <AccountId>86</AccountId>
        <AccountType/>
      </UserInfo>
      <UserInfo>
        <DisplayName>Sahni, Amrita D. (DESE)</DisplayName>
        <AccountId>227</AccountId>
        <AccountType/>
      </UserInfo>
      <UserInfo>
        <DisplayName>Abbott, Claire (DESE)</DisplayName>
        <AccountId>184</AccountId>
        <AccountType/>
      </UserInfo>
      <UserInfo>
        <DisplayName>Clancy, Shannon (DESE)</DisplayName>
        <AccountId>226</AccountId>
        <AccountType/>
      </UserInfo>
      <UserInfo>
        <DisplayName>Woodford, Jenny L. (DESE)</DisplayName>
        <AccountId>387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143AB6608134A92E16E4884C6C0DE" ma:contentTypeVersion="4" ma:contentTypeDescription="Create a new document." ma:contentTypeScope="" ma:versionID="18a09186de1d14b5f6ef56e88968de81">
  <xsd:schema xmlns:xsd="http://www.w3.org/2001/XMLSchema" xmlns:xs="http://www.w3.org/2001/XMLSchema" xmlns:p="http://schemas.microsoft.com/office/2006/metadata/properties" xmlns:ns2="5f2f7c92-e50c-4dc6-9b49-75f420473e45" xmlns:ns3="bdacf83c-6ab7-4383-8f7f-e88e300c1db3" targetNamespace="http://schemas.microsoft.com/office/2006/metadata/properties" ma:root="true" ma:fieldsID="b7eb902a6c789c9842eb45967f6d11c8" ns2:_="" ns3:_="">
    <xsd:import namespace="5f2f7c92-e50c-4dc6-9b49-75f420473e45"/>
    <xsd:import namespace="bdacf83c-6ab7-4383-8f7f-e88e300c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7c92-e50c-4dc6-9b49-75f42047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83c-6ab7-4383-8f7f-e88e300c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2CF47-DFD8-4EBC-B19E-5E7627141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21A8C-17BE-40DD-BE64-8F6712500275}">
  <ds:schemaRefs>
    <ds:schemaRef ds:uri="http://schemas.microsoft.com/office/2006/metadata/properties"/>
    <ds:schemaRef ds:uri="http://schemas.microsoft.com/office/infopath/2007/PartnerControls"/>
    <ds:schemaRef ds:uri="bdacf83c-6ab7-4383-8f7f-e88e300c1db3"/>
  </ds:schemaRefs>
</ds:datastoreItem>
</file>

<file path=customXml/itemProps3.xml><?xml version="1.0" encoding="utf-8"?>
<ds:datastoreItem xmlns:ds="http://schemas.openxmlformats.org/officeDocument/2006/customXml" ds:itemID="{605CEB29-93DA-4446-B66D-CAAFCD75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7c92-e50c-4dc6-9b49-75f420473e45"/>
    <ds:schemaRef ds:uri="bdacf83c-6ab7-4383-8f7f-e88e300c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Vision: Text Only Version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Vision: Text Only Version</dc:title>
  <dc:subject/>
  <dc:creator>DESE</dc:creator>
  <cp:keywords/>
  <dc:description/>
  <cp:lastModifiedBy>Zou, Dong (EOE)</cp:lastModifiedBy>
  <cp:revision>7</cp:revision>
  <dcterms:created xsi:type="dcterms:W3CDTF">2023-06-27T14:51:00Z</dcterms:created>
  <dcterms:modified xsi:type="dcterms:W3CDTF">2023-06-27T17:46:00Z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2023 12:00AM</vt:lpwstr>
  </property>
</Properties>
</file>