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758A4" w14:textId="77777777" w:rsidR="00CF61D3" w:rsidRDefault="00CF61D3" w:rsidP="00B30D94">
      <w:pPr>
        <w:spacing w:after="0"/>
        <w:jc w:val="center"/>
        <w:rPr>
          <w:b/>
          <w:bCs/>
          <w:color w:val="4472C4" w:themeColor="accent1"/>
          <w:sz w:val="26"/>
          <w:szCs w:val="26"/>
        </w:rPr>
      </w:pPr>
    </w:p>
    <w:p w14:paraId="708DA074" w14:textId="5D657C1A" w:rsidR="001C2BB9" w:rsidRPr="00CD4A98" w:rsidRDefault="00714437" w:rsidP="00CD4A98">
      <w:pPr>
        <w:pStyle w:val="Heading1"/>
      </w:pPr>
      <w:r w:rsidRPr="00CD4A98">
        <w:t>Further Guidance on E</w:t>
      </w:r>
      <w:r w:rsidR="00036D89" w:rsidRPr="00CD4A98">
        <w:t xml:space="preserve">ffectively </w:t>
      </w:r>
      <w:r w:rsidR="00D41A0B" w:rsidRPr="00CD4A98">
        <w:t xml:space="preserve">Allocating Resources to </w:t>
      </w:r>
      <w:r w:rsidR="00036D89" w:rsidRPr="00CD4A98">
        <w:t>Support</w:t>
      </w:r>
      <w:r w:rsidR="00047F45" w:rsidRPr="00CD4A98">
        <w:t xml:space="preserve"> Recovery and Acceleration</w:t>
      </w:r>
    </w:p>
    <w:p w14:paraId="1956C67E" w14:textId="77777777" w:rsidR="00410F1A" w:rsidRPr="00665E83" w:rsidRDefault="00410F1A" w:rsidP="00B30D94">
      <w:pPr>
        <w:spacing w:after="0"/>
        <w:jc w:val="center"/>
        <w:rPr>
          <w:rFonts w:ascii="Times New Roman" w:hAnsi="Times New Roman" w:cs="Times New Roman"/>
          <w:b/>
          <w:bCs/>
          <w:color w:val="4472C4" w:themeColor="accent1"/>
          <w:sz w:val="26"/>
          <w:szCs w:val="26"/>
        </w:rPr>
      </w:pPr>
    </w:p>
    <w:p w14:paraId="0A9BD5A1" w14:textId="5CD2E4F0" w:rsidR="00047F45" w:rsidRPr="00433A0A" w:rsidRDefault="00C61B68" w:rsidP="00B30D94">
      <w:pPr>
        <w:spacing w:after="0"/>
        <w:jc w:val="center"/>
        <w:rPr>
          <w:rFonts w:ascii="Times New Roman" w:hAnsi="Times New Roman" w:cs="Times New Roman"/>
          <w:b/>
          <w:bCs/>
          <w:sz w:val="24"/>
          <w:szCs w:val="24"/>
        </w:rPr>
      </w:pPr>
      <w:r w:rsidRPr="00433A0A">
        <w:rPr>
          <w:rFonts w:ascii="Times New Roman" w:hAnsi="Times New Roman" w:cs="Times New Roman"/>
          <w:b/>
          <w:bCs/>
          <w:sz w:val="24"/>
          <w:szCs w:val="24"/>
        </w:rPr>
        <w:t>June</w:t>
      </w:r>
      <w:r w:rsidR="00B30D94" w:rsidRPr="00433A0A">
        <w:rPr>
          <w:rFonts w:ascii="Times New Roman" w:hAnsi="Times New Roman" w:cs="Times New Roman"/>
          <w:b/>
          <w:bCs/>
          <w:sz w:val="24"/>
          <w:szCs w:val="24"/>
        </w:rPr>
        <w:t xml:space="preserve"> 14,</w:t>
      </w:r>
      <w:r w:rsidRPr="00433A0A">
        <w:rPr>
          <w:rFonts w:ascii="Times New Roman" w:hAnsi="Times New Roman" w:cs="Times New Roman"/>
          <w:b/>
          <w:bCs/>
          <w:sz w:val="24"/>
          <w:szCs w:val="24"/>
        </w:rPr>
        <w:t xml:space="preserve"> 2021</w:t>
      </w:r>
    </w:p>
    <w:p w14:paraId="04F9937C" w14:textId="77777777" w:rsidR="00117662" w:rsidRPr="00665E83" w:rsidRDefault="00117662" w:rsidP="00B30D94">
      <w:pPr>
        <w:spacing w:after="0"/>
        <w:rPr>
          <w:rFonts w:ascii="Times New Roman" w:hAnsi="Times New Roman" w:cs="Times New Roman"/>
          <w:b/>
          <w:bCs/>
        </w:rPr>
      </w:pPr>
    </w:p>
    <w:p w14:paraId="39E4FEEE" w14:textId="5D8509D9" w:rsidR="007F2C66" w:rsidRPr="004A3C3D" w:rsidRDefault="007F2C66" w:rsidP="004A3C3D">
      <w:pPr>
        <w:pStyle w:val="Heading2"/>
      </w:pPr>
      <w:r w:rsidRPr="004A3C3D">
        <w:t>Introduction</w:t>
      </w:r>
    </w:p>
    <w:p w14:paraId="53D7BFB1" w14:textId="77777777" w:rsidR="00B30D94" w:rsidRPr="00410F1A" w:rsidRDefault="00B30D94" w:rsidP="00B30D94">
      <w:pPr>
        <w:spacing w:after="0"/>
        <w:rPr>
          <w:rFonts w:ascii="Times New Roman" w:hAnsi="Times New Roman" w:cs="Times New Roman"/>
          <w:sz w:val="24"/>
          <w:szCs w:val="24"/>
        </w:rPr>
      </w:pPr>
    </w:p>
    <w:p w14:paraId="42FE40A3" w14:textId="4F397C9E" w:rsidR="00AA26D6" w:rsidRPr="00410F1A" w:rsidRDefault="00800530"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Districts and schools have already received guidelines on planning for the use one-time Elementary and Secondary School Emergency Relief Funds (ESSER) funds, Student Opportunity Act (SOA) funding, as well as DESE-recommended evidence-based practices for both funding sources. </w:t>
      </w:r>
      <w:r w:rsidR="00462FFB" w:rsidRPr="00410F1A">
        <w:rPr>
          <w:rFonts w:ascii="Times New Roman" w:hAnsi="Times New Roman" w:cs="Times New Roman"/>
          <w:sz w:val="24"/>
          <w:szCs w:val="24"/>
        </w:rPr>
        <w:t>Stakeholders</w:t>
      </w:r>
      <w:r w:rsidR="00714437" w:rsidRPr="00410F1A">
        <w:rPr>
          <w:rFonts w:ascii="Times New Roman" w:hAnsi="Times New Roman" w:cs="Times New Roman"/>
          <w:sz w:val="24"/>
          <w:szCs w:val="24"/>
        </w:rPr>
        <w:t xml:space="preserve"> have asked for </w:t>
      </w:r>
      <w:r w:rsidR="00462FFB" w:rsidRPr="00410F1A">
        <w:rPr>
          <w:rFonts w:ascii="Times New Roman" w:hAnsi="Times New Roman" w:cs="Times New Roman"/>
          <w:sz w:val="24"/>
          <w:szCs w:val="24"/>
        </w:rPr>
        <w:t xml:space="preserve">further </w:t>
      </w:r>
      <w:r w:rsidR="00714437" w:rsidRPr="00410F1A">
        <w:rPr>
          <w:rFonts w:ascii="Times New Roman" w:hAnsi="Times New Roman" w:cs="Times New Roman"/>
          <w:sz w:val="24"/>
          <w:szCs w:val="24"/>
        </w:rPr>
        <w:t>guidance</w:t>
      </w:r>
      <w:r w:rsidR="00462FFB" w:rsidRPr="00410F1A">
        <w:rPr>
          <w:rFonts w:ascii="Times New Roman" w:hAnsi="Times New Roman" w:cs="Times New Roman"/>
          <w:sz w:val="24"/>
          <w:szCs w:val="24"/>
        </w:rPr>
        <w:t xml:space="preserve"> </w:t>
      </w:r>
      <w:r w:rsidRPr="00410F1A">
        <w:rPr>
          <w:rFonts w:ascii="Times New Roman" w:hAnsi="Times New Roman" w:cs="Times New Roman"/>
          <w:sz w:val="24"/>
          <w:szCs w:val="24"/>
        </w:rPr>
        <w:t xml:space="preserve">that ties together </w:t>
      </w:r>
      <w:r w:rsidR="00E71F50" w:rsidRPr="00410F1A">
        <w:rPr>
          <w:rFonts w:ascii="Times New Roman" w:hAnsi="Times New Roman" w:cs="Times New Roman"/>
          <w:sz w:val="24"/>
          <w:szCs w:val="24"/>
        </w:rPr>
        <w:t xml:space="preserve">the </w:t>
      </w:r>
      <w:r w:rsidRPr="00410F1A">
        <w:rPr>
          <w:rFonts w:ascii="Times New Roman" w:hAnsi="Times New Roman" w:cs="Times New Roman"/>
          <w:sz w:val="24"/>
          <w:szCs w:val="24"/>
        </w:rPr>
        <w:t xml:space="preserve">guidelines already </w:t>
      </w:r>
      <w:r w:rsidR="00E71F50" w:rsidRPr="00410F1A">
        <w:rPr>
          <w:rFonts w:ascii="Times New Roman" w:hAnsi="Times New Roman" w:cs="Times New Roman"/>
          <w:sz w:val="24"/>
          <w:szCs w:val="24"/>
        </w:rPr>
        <w:t>provided and links this with</w:t>
      </w:r>
      <w:r w:rsidRPr="00410F1A">
        <w:rPr>
          <w:rFonts w:ascii="Times New Roman" w:hAnsi="Times New Roman" w:cs="Times New Roman"/>
          <w:sz w:val="24"/>
          <w:szCs w:val="24"/>
        </w:rPr>
        <w:t xml:space="preserve"> </w:t>
      </w:r>
      <w:r w:rsidR="00462FFB" w:rsidRPr="00410F1A">
        <w:rPr>
          <w:rFonts w:ascii="Times New Roman" w:hAnsi="Times New Roman" w:cs="Times New Roman"/>
          <w:sz w:val="24"/>
          <w:szCs w:val="24"/>
        </w:rPr>
        <w:t>effective planning practices</w:t>
      </w:r>
      <w:r w:rsidR="00B97DE8" w:rsidRPr="00410F1A">
        <w:rPr>
          <w:rFonts w:ascii="Times New Roman" w:hAnsi="Times New Roman" w:cs="Times New Roman"/>
          <w:sz w:val="24"/>
          <w:szCs w:val="24"/>
        </w:rPr>
        <w:t xml:space="preserve"> </w:t>
      </w:r>
      <w:r w:rsidR="00313649" w:rsidRPr="00410F1A">
        <w:rPr>
          <w:rFonts w:ascii="Times New Roman" w:hAnsi="Times New Roman" w:cs="Times New Roman"/>
          <w:sz w:val="24"/>
          <w:szCs w:val="24"/>
        </w:rPr>
        <w:t>to support</w:t>
      </w:r>
      <w:r w:rsidR="004E5B58" w:rsidRPr="00410F1A">
        <w:rPr>
          <w:rFonts w:ascii="Times New Roman" w:hAnsi="Times New Roman" w:cs="Times New Roman"/>
          <w:sz w:val="24"/>
          <w:szCs w:val="24"/>
        </w:rPr>
        <w:t xml:space="preserve"> recovery and acceleration</w:t>
      </w:r>
      <w:r w:rsidR="00862E37" w:rsidRPr="00410F1A">
        <w:rPr>
          <w:rFonts w:ascii="Times New Roman" w:hAnsi="Times New Roman" w:cs="Times New Roman"/>
          <w:sz w:val="24"/>
          <w:szCs w:val="24"/>
        </w:rPr>
        <w:t xml:space="preserve"> for </w:t>
      </w:r>
      <w:proofErr w:type="gramStart"/>
      <w:r w:rsidR="00862E37" w:rsidRPr="00410F1A">
        <w:rPr>
          <w:rFonts w:ascii="Times New Roman" w:hAnsi="Times New Roman" w:cs="Times New Roman"/>
          <w:sz w:val="24"/>
          <w:szCs w:val="24"/>
        </w:rPr>
        <w:t>students</w:t>
      </w:r>
      <w:proofErr w:type="gramEnd"/>
      <w:r w:rsidR="00862E37" w:rsidRPr="00410F1A">
        <w:rPr>
          <w:rFonts w:ascii="Times New Roman" w:hAnsi="Times New Roman" w:cs="Times New Roman"/>
          <w:sz w:val="24"/>
          <w:szCs w:val="24"/>
        </w:rPr>
        <w:t xml:space="preserve"> post-pandemic</w:t>
      </w:r>
      <w:r w:rsidR="004E5B58" w:rsidRPr="00410F1A">
        <w:rPr>
          <w:rFonts w:ascii="Times New Roman" w:hAnsi="Times New Roman" w:cs="Times New Roman"/>
          <w:sz w:val="24"/>
          <w:szCs w:val="24"/>
        </w:rPr>
        <w:t>.</w:t>
      </w:r>
      <w:r w:rsidR="00BC7544" w:rsidRPr="00410F1A">
        <w:rPr>
          <w:rFonts w:ascii="Times New Roman" w:hAnsi="Times New Roman" w:cs="Times New Roman"/>
          <w:sz w:val="24"/>
          <w:szCs w:val="24"/>
        </w:rPr>
        <w:t xml:space="preserve"> </w:t>
      </w:r>
      <w:r w:rsidR="00BD6A71" w:rsidRPr="00410F1A">
        <w:rPr>
          <w:rFonts w:ascii="Times New Roman" w:hAnsi="Times New Roman" w:cs="Times New Roman"/>
          <w:sz w:val="24"/>
          <w:szCs w:val="24"/>
        </w:rPr>
        <w:t xml:space="preserve">In addition to this </w:t>
      </w:r>
      <w:r w:rsidR="00E71F50" w:rsidRPr="00410F1A">
        <w:rPr>
          <w:rFonts w:ascii="Times New Roman" w:hAnsi="Times New Roman" w:cs="Times New Roman"/>
          <w:sz w:val="24"/>
          <w:szCs w:val="24"/>
        </w:rPr>
        <w:t>document</w:t>
      </w:r>
      <w:r w:rsidR="00BD6A71" w:rsidRPr="00410F1A">
        <w:rPr>
          <w:rFonts w:ascii="Times New Roman" w:hAnsi="Times New Roman" w:cs="Times New Roman"/>
          <w:sz w:val="24"/>
          <w:szCs w:val="24"/>
        </w:rPr>
        <w:t xml:space="preserve">, </w:t>
      </w:r>
      <w:r w:rsidR="00226C84" w:rsidRPr="00410F1A">
        <w:rPr>
          <w:rFonts w:ascii="Times New Roman" w:hAnsi="Times New Roman" w:cs="Times New Roman"/>
          <w:sz w:val="24"/>
          <w:szCs w:val="24"/>
        </w:rPr>
        <w:t xml:space="preserve">districts should expect further </w:t>
      </w:r>
      <w:r w:rsidR="009F596A" w:rsidRPr="00410F1A">
        <w:rPr>
          <w:rFonts w:ascii="Times New Roman" w:hAnsi="Times New Roman" w:cs="Times New Roman"/>
          <w:sz w:val="24"/>
          <w:szCs w:val="24"/>
        </w:rPr>
        <w:t>information</w:t>
      </w:r>
      <w:r w:rsidR="00226C84" w:rsidRPr="00410F1A">
        <w:rPr>
          <w:rFonts w:ascii="Times New Roman" w:hAnsi="Times New Roman" w:cs="Times New Roman"/>
          <w:sz w:val="24"/>
          <w:szCs w:val="24"/>
        </w:rPr>
        <w:t xml:space="preserve"> </w:t>
      </w:r>
      <w:r w:rsidR="0061378C" w:rsidRPr="00410F1A">
        <w:rPr>
          <w:rFonts w:ascii="Times New Roman" w:hAnsi="Times New Roman" w:cs="Times New Roman"/>
          <w:sz w:val="24"/>
          <w:szCs w:val="24"/>
        </w:rPr>
        <w:t xml:space="preserve">this fall in preparation for the amendment process for the Student Opportunity Act </w:t>
      </w:r>
      <w:r w:rsidR="002C0FF3" w:rsidRPr="00410F1A">
        <w:rPr>
          <w:rFonts w:ascii="Times New Roman" w:hAnsi="Times New Roman" w:cs="Times New Roman"/>
          <w:sz w:val="24"/>
          <w:szCs w:val="24"/>
        </w:rPr>
        <w:t>p</w:t>
      </w:r>
      <w:r w:rsidR="0061378C" w:rsidRPr="00410F1A">
        <w:rPr>
          <w:rFonts w:ascii="Times New Roman" w:hAnsi="Times New Roman" w:cs="Times New Roman"/>
          <w:sz w:val="24"/>
          <w:szCs w:val="24"/>
        </w:rPr>
        <w:t>lans</w:t>
      </w:r>
      <w:r w:rsidR="005552AC" w:rsidRPr="00410F1A">
        <w:rPr>
          <w:rFonts w:ascii="Times New Roman" w:hAnsi="Times New Roman" w:cs="Times New Roman"/>
          <w:sz w:val="24"/>
          <w:szCs w:val="24"/>
        </w:rPr>
        <w:t xml:space="preserve">, which will be due in </w:t>
      </w:r>
      <w:r w:rsidR="00145B34" w:rsidRPr="00410F1A">
        <w:rPr>
          <w:rFonts w:ascii="Times New Roman" w:hAnsi="Times New Roman" w:cs="Times New Roman"/>
          <w:sz w:val="24"/>
          <w:szCs w:val="24"/>
        </w:rPr>
        <w:t xml:space="preserve">early </w:t>
      </w:r>
      <w:r w:rsidR="005552AC" w:rsidRPr="00410F1A">
        <w:rPr>
          <w:rFonts w:ascii="Times New Roman" w:hAnsi="Times New Roman" w:cs="Times New Roman"/>
          <w:sz w:val="24"/>
          <w:szCs w:val="24"/>
        </w:rPr>
        <w:t>2022</w:t>
      </w:r>
      <w:r w:rsidR="009F596A" w:rsidRPr="00410F1A">
        <w:rPr>
          <w:rFonts w:ascii="Times New Roman" w:hAnsi="Times New Roman" w:cs="Times New Roman"/>
          <w:sz w:val="24"/>
          <w:szCs w:val="24"/>
        </w:rPr>
        <w:t>.</w:t>
      </w:r>
    </w:p>
    <w:p w14:paraId="02CC9375" w14:textId="1C208267" w:rsidR="00872499" w:rsidRPr="00410F1A" w:rsidRDefault="00872499" w:rsidP="00B30D94">
      <w:pPr>
        <w:spacing w:after="0"/>
        <w:rPr>
          <w:rFonts w:ascii="Times New Roman" w:hAnsi="Times New Roman" w:cs="Times New Roman"/>
          <w:sz w:val="24"/>
          <w:szCs w:val="24"/>
        </w:rPr>
      </w:pPr>
    </w:p>
    <w:p w14:paraId="63364AA5" w14:textId="122BAD0E" w:rsidR="001C2BB9" w:rsidRPr="004A3C3D" w:rsidRDefault="00174E8B" w:rsidP="004A3C3D">
      <w:pPr>
        <w:pStyle w:val="Heading2"/>
      </w:pPr>
      <w:r w:rsidRPr="004A3C3D">
        <w:t xml:space="preserve">Shifting from </w:t>
      </w:r>
      <w:r w:rsidR="00851F36" w:rsidRPr="004A3C3D">
        <w:t>health and safety to recovery and acceleration</w:t>
      </w:r>
    </w:p>
    <w:p w14:paraId="2E5D3CEA" w14:textId="77777777" w:rsidR="00B30D94" w:rsidRPr="00410F1A" w:rsidRDefault="00B30D94" w:rsidP="00B30D94">
      <w:pPr>
        <w:spacing w:after="0"/>
        <w:rPr>
          <w:rFonts w:ascii="Times New Roman" w:hAnsi="Times New Roman" w:cs="Times New Roman"/>
          <w:sz w:val="24"/>
          <w:szCs w:val="24"/>
        </w:rPr>
      </w:pPr>
    </w:p>
    <w:p w14:paraId="3A550B5F" w14:textId="03E46090" w:rsidR="001C2BB9" w:rsidRPr="00410F1A" w:rsidRDefault="001C2BB9" w:rsidP="00B30D94">
      <w:pPr>
        <w:spacing w:after="0"/>
        <w:rPr>
          <w:rFonts w:ascii="Times New Roman" w:hAnsi="Times New Roman" w:cs="Times New Roman"/>
          <w:sz w:val="24"/>
          <w:szCs w:val="24"/>
        </w:rPr>
      </w:pPr>
      <w:r w:rsidRPr="00410F1A">
        <w:rPr>
          <w:rFonts w:ascii="Times New Roman" w:hAnsi="Times New Roman" w:cs="Times New Roman"/>
          <w:sz w:val="24"/>
          <w:szCs w:val="24"/>
        </w:rPr>
        <w:t>Thanks to the tireless work of educators, administrators, families and other stakeholders, all students across the Commonwealth have had the opportunity to return to full-time, in-person learning this spring.</w:t>
      </w:r>
      <w:r w:rsidR="00491979" w:rsidRPr="00410F1A">
        <w:rPr>
          <w:rFonts w:ascii="Times New Roman" w:hAnsi="Times New Roman" w:cs="Times New Roman"/>
          <w:sz w:val="24"/>
          <w:szCs w:val="24"/>
        </w:rPr>
        <w:t xml:space="preserve"> </w:t>
      </w:r>
      <w:r w:rsidR="00707304" w:rsidRPr="00410F1A">
        <w:rPr>
          <w:rFonts w:ascii="Times New Roman" w:hAnsi="Times New Roman" w:cs="Times New Roman"/>
          <w:sz w:val="24"/>
          <w:szCs w:val="24"/>
        </w:rPr>
        <w:t>W</w:t>
      </w:r>
      <w:r w:rsidR="00491979" w:rsidRPr="00410F1A">
        <w:rPr>
          <w:rFonts w:ascii="Times New Roman" w:hAnsi="Times New Roman" w:cs="Times New Roman"/>
          <w:sz w:val="24"/>
          <w:szCs w:val="24"/>
        </w:rPr>
        <w:t>ith significant recent improvements in state public health metrics and</w:t>
      </w:r>
      <w:r w:rsidR="00AF1BC2" w:rsidRPr="00410F1A">
        <w:rPr>
          <w:rFonts w:ascii="Times New Roman" w:hAnsi="Times New Roman" w:cs="Times New Roman"/>
          <w:sz w:val="24"/>
          <w:szCs w:val="24"/>
        </w:rPr>
        <w:t xml:space="preserve"> a</w:t>
      </w:r>
      <w:r w:rsidR="00491979" w:rsidRPr="00410F1A">
        <w:rPr>
          <w:rFonts w:ascii="Times New Roman" w:hAnsi="Times New Roman" w:cs="Times New Roman"/>
          <w:sz w:val="24"/>
          <w:szCs w:val="24"/>
        </w:rPr>
        <w:t xml:space="preserve"> </w:t>
      </w:r>
      <w:r w:rsidR="00AF1BC2" w:rsidRPr="00410F1A">
        <w:rPr>
          <w:rFonts w:ascii="Times New Roman" w:hAnsi="Times New Roman" w:cs="Times New Roman"/>
          <w:sz w:val="24"/>
          <w:szCs w:val="24"/>
        </w:rPr>
        <w:t>robust</w:t>
      </w:r>
      <w:r w:rsidR="00491979" w:rsidRPr="00410F1A">
        <w:rPr>
          <w:rFonts w:ascii="Times New Roman" w:hAnsi="Times New Roman" w:cs="Times New Roman"/>
          <w:sz w:val="24"/>
          <w:szCs w:val="24"/>
        </w:rPr>
        <w:t xml:space="preserve"> vaccine rollout, the Commonwealth’s State of Emergency will end on June 15, 2021.</w:t>
      </w:r>
    </w:p>
    <w:p w14:paraId="0117CFC6" w14:textId="77777777" w:rsidR="00B30D94" w:rsidRPr="00410F1A" w:rsidRDefault="00B30D94" w:rsidP="00B30D94">
      <w:pPr>
        <w:spacing w:after="0"/>
        <w:rPr>
          <w:rFonts w:ascii="Times New Roman" w:hAnsi="Times New Roman" w:cs="Times New Roman"/>
          <w:sz w:val="24"/>
          <w:szCs w:val="24"/>
        </w:rPr>
      </w:pPr>
    </w:p>
    <w:p w14:paraId="20407B70" w14:textId="6B6E85E6" w:rsidR="00DF6953" w:rsidRPr="00410F1A" w:rsidRDefault="00491979"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We </w:t>
      </w:r>
      <w:r w:rsidR="00FC50E0" w:rsidRPr="00410F1A">
        <w:rPr>
          <w:rFonts w:ascii="Times New Roman" w:hAnsi="Times New Roman" w:cs="Times New Roman"/>
          <w:sz w:val="24"/>
          <w:szCs w:val="24"/>
        </w:rPr>
        <w:t xml:space="preserve">released </w:t>
      </w:r>
      <w:hyperlink r:id="rId12" w:history="1">
        <w:r w:rsidR="007F79C2" w:rsidRPr="00410F1A">
          <w:rPr>
            <w:rStyle w:val="Hyperlink"/>
            <w:rFonts w:ascii="Times New Roman" w:hAnsi="Times New Roman" w:cs="Times New Roman"/>
            <w:b/>
            <w:bCs/>
            <w:sz w:val="24"/>
            <w:szCs w:val="24"/>
          </w:rPr>
          <w:t>guidance</w:t>
        </w:r>
      </w:hyperlink>
      <w:r w:rsidR="00FC50E0" w:rsidRPr="00410F1A">
        <w:rPr>
          <w:rFonts w:ascii="Times New Roman" w:hAnsi="Times New Roman" w:cs="Times New Roman"/>
          <w:sz w:val="24"/>
          <w:szCs w:val="24"/>
        </w:rPr>
        <w:t xml:space="preserve"> </w:t>
      </w:r>
      <w:r w:rsidR="00732ABC" w:rsidRPr="00410F1A">
        <w:rPr>
          <w:rFonts w:ascii="Times New Roman" w:hAnsi="Times New Roman" w:cs="Times New Roman"/>
          <w:sz w:val="24"/>
          <w:szCs w:val="24"/>
        </w:rPr>
        <w:t xml:space="preserve">in late May </w:t>
      </w:r>
      <w:r w:rsidR="00FC50E0" w:rsidRPr="00410F1A">
        <w:rPr>
          <w:rFonts w:ascii="Times New Roman" w:hAnsi="Times New Roman" w:cs="Times New Roman"/>
          <w:sz w:val="24"/>
          <w:szCs w:val="24"/>
        </w:rPr>
        <w:t>recommending that districts and school</w:t>
      </w:r>
      <w:r w:rsidR="00047F45" w:rsidRPr="00410F1A">
        <w:rPr>
          <w:rFonts w:ascii="Times New Roman" w:hAnsi="Times New Roman" w:cs="Times New Roman"/>
          <w:sz w:val="24"/>
          <w:szCs w:val="24"/>
        </w:rPr>
        <w:t xml:space="preserve">s </w:t>
      </w:r>
      <w:r w:rsidR="00FC50E0" w:rsidRPr="00410F1A">
        <w:rPr>
          <w:rFonts w:ascii="Times New Roman" w:hAnsi="Times New Roman" w:cs="Times New Roman"/>
          <w:sz w:val="24"/>
          <w:szCs w:val="24"/>
        </w:rPr>
        <w:t xml:space="preserve">continue current COVID-19 mitigation strategies during summer programming and </w:t>
      </w:r>
      <w:r w:rsidRPr="00410F1A">
        <w:rPr>
          <w:rFonts w:ascii="Times New Roman" w:hAnsi="Times New Roman" w:cs="Times New Roman"/>
          <w:sz w:val="24"/>
          <w:szCs w:val="24"/>
        </w:rPr>
        <w:t xml:space="preserve">advising </w:t>
      </w:r>
      <w:r w:rsidR="00FC50E0" w:rsidRPr="00410F1A">
        <w:rPr>
          <w:rFonts w:ascii="Times New Roman" w:hAnsi="Times New Roman" w:cs="Times New Roman"/>
          <w:sz w:val="24"/>
          <w:szCs w:val="24"/>
        </w:rPr>
        <w:t xml:space="preserve">that all </w:t>
      </w:r>
      <w:r w:rsidR="001C2BB9" w:rsidRPr="00410F1A">
        <w:rPr>
          <w:rFonts w:ascii="Times New Roman" w:hAnsi="Times New Roman" w:cs="Times New Roman"/>
          <w:sz w:val="24"/>
          <w:szCs w:val="24"/>
        </w:rPr>
        <w:t>Department of Elementary and Secondary (DESE)</w:t>
      </w:r>
      <w:r w:rsidR="00FC50E0" w:rsidRPr="00410F1A">
        <w:rPr>
          <w:rFonts w:ascii="Times New Roman" w:hAnsi="Times New Roman" w:cs="Times New Roman"/>
          <w:sz w:val="24"/>
          <w:szCs w:val="24"/>
        </w:rPr>
        <w:t xml:space="preserve"> health and safety </w:t>
      </w:r>
      <w:r w:rsidR="001C2BB9" w:rsidRPr="00410F1A">
        <w:rPr>
          <w:rFonts w:ascii="Times New Roman" w:hAnsi="Times New Roman" w:cs="Times New Roman"/>
          <w:sz w:val="24"/>
          <w:szCs w:val="24"/>
        </w:rPr>
        <w:t xml:space="preserve">requirements will be </w:t>
      </w:r>
      <w:r w:rsidR="001C3301" w:rsidRPr="00410F1A">
        <w:rPr>
          <w:rFonts w:ascii="Times New Roman" w:hAnsi="Times New Roman" w:cs="Times New Roman"/>
          <w:sz w:val="24"/>
          <w:szCs w:val="24"/>
        </w:rPr>
        <w:t>lifted</w:t>
      </w:r>
      <w:r w:rsidR="00FC50E0" w:rsidRPr="00410F1A">
        <w:rPr>
          <w:rFonts w:ascii="Times New Roman" w:hAnsi="Times New Roman" w:cs="Times New Roman"/>
          <w:sz w:val="24"/>
          <w:szCs w:val="24"/>
        </w:rPr>
        <w:t xml:space="preserve"> for the upcoming 2021-22 school year. </w:t>
      </w:r>
      <w:r w:rsidR="00DF6953" w:rsidRPr="00410F1A">
        <w:rPr>
          <w:rFonts w:ascii="Times New Roman" w:hAnsi="Times New Roman" w:cs="Times New Roman"/>
          <w:sz w:val="24"/>
          <w:szCs w:val="24"/>
        </w:rPr>
        <w:t>We will collaborate with the Department of Public Health to issue any additional health and safety recommendations over the summer.</w:t>
      </w:r>
    </w:p>
    <w:p w14:paraId="59E76EDF" w14:textId="77777777" w:rsidR="00B30D94" w:rsidRPr="00410F1A" w:rsidRDefault="00B30D94" w:rsidP="00B30D94">
      <w:pPr>
        <w:spacing w:after="0"/>
        <w:rPr>
          <w:rFonts w:ascii="Times New Roman" w:hAnsi="Times New Roman" w:cs="Times New Roman"/>
          <w:sz w:val="24"/>
          <w:szCs w:val="24"/>
        </w:rPr>
      </w:pPr>
    </w:p>
    <w:p w14:paraId="5A65883F" w14:textId="6E245BD8" w:rsidR="00FC154A" w:rsidRPr="00410F1A" w:rsidRDefault="00FC50E0" w:rsidP="00B30D94">
      <w:pPr>
        <w:spacing w:after="0"/>
        <w:rPr>
          <w:rFonts w:ascii="Times New Roman" w:hAnsi="Times New Roman" w:cs="Times New Roman"/>
          <w:sz w:val="24"/>
          <w:szCs w:val="24"/>
        </w:rPr>
      </w:pPr>
      <w:r w:rsidRPr="00410F1A">
        <w:rPr>
          <w:rFonts w:ascii="Times New Roman" w:hAnsi="Times New Roman" w:cs="Times New Roman"/>
          <w:sz w:val="24"/>
          <w:szCs w:val="24"/>
        </w:rPr>
        <w:t>As we wrap up this unprecedented year</w:t>
      </w:r>
      <w:r w:rsidR="001C2BB9" w:rsidRPr="00410F1A">
        <w:rPr>
          <w:rFonts w:ascii="Times New Roman" w:hAnsi="Times New Roman" w:cs="Times New Roman"/>
          <w:sz w:val="24"/>
          <w:szCs w:val="24"/>
        </w:rPr>
        <w:t xml:space="preserve"> with brighter days ahead, </w:t>
      </w:r>
      <w:r w:rsidR="009A4139" w:rsidRPr="00410F1A">
        <w:rPr>
          <w:rFonts w:ascii="Times New Roman" w:hAnsi="Times New Roman" w:cs="Times New Roman"/>
          <w:sz w:val="24"/>
          <w:szCs w:val="24"/>
        </w:rPr>
        <w:t>we must close out the school year safely</w:t>
      </w:r>
      <w:r w:rsidR="00DE6833" w:rsidRPr="00410F1A">
        <w:rPr>
          <w:rFonts w:ascii="Times New Roman" w:hAnsi="Times New Roman" w:cs="Times New Roman"/>
          <w:sz w:val="24"/>
          <w:szCs w:val="24"/>
        </w:rPr>
        <w:t xml:space="preserve"> and </w:t>
      </w:r>
      <w:r w:rsidR="001F3356" w:rsidRPr="00410F1A">
        <w:rPr>
          <w:rFonts w:ascii="Times New Roman" w:hAnsi="Times New Roman" w:cs="Times New Roman"/>
          <w:sz w:val="24"/>
          <w:szCs w:val="24"/>
        </w:rPr>
        <w:t>shift</w:t>
      </w:r>
      <w:r w:rsidR="00DE66E7" w:rsidRPr="00410F1A">
        <w:rPr>
          <w:rFonts w:ascii="Times New Roman" w:hAnsi="Times New Roman" w:cs="Times New Roman"/>
          <w:sz w:val="24"/>
          <w:szCs w:val="24"/>
        </w:rPr>
        <w:t xml:space="preserve"> </w:t>
      </w:r>
      <w:r w:rsidR="00047F45" w:rsidRPr="00410F1A">
        <w:rPr>
          <w:rFonts w:ascii="Times New Roman" w:hAnsi="Times New Roman" w:cs="Times New Roman"/>
          <w:sz w:val="24"/>
          <w:szCs w:val="24"/>
        </w:rPr>
        <w:t>our</w:t>
      </w:r>
      <w:r w:rsidR="001C2BB9" w:rsidRPr="00410F1A">
        <w:rPr>
          <w:rFonts w:ascii="Times New Roman" w:hAnsi="Times New Roman" w:cs="Times New Roman"/>
          <w:sz w:val="24"/>
          <w:szCs w:val="24"/>
        </w:rPr>
        <w:t xml:space="preserve"> focus </w:t>
      </w:r>
      <w:r w:rsidR="00047F45" w:rsidRPr="00410F1A">
        <w:rPr>
          <w:rFonts w:ascii="Times New Roman" w:hAnsi="Times New Roman" w:cs="Times New Roman"/>
          <w:sz w:val="24"/>
          <w:szCs w:val="24"/>
        </w:rPr>
        <w:t>to</w:t>
      </w:r>
      <w:r w:rsidR="001C2BB9" w:rsidRPr="00410F1A">
        <w:rPr>
          <w:rFonts w:ascii="Times New Roman" w:hAnsi="Times New Roman" w:cs="Times New Roman"/>
          <w:sz w:val="24"/>
          <w:szCs w:val="24"/>
        </w:rPr>
        <w:t xml:space="preserve"> recovery and acceleration efforts for students. </w:t>
      </w:r>
      <w:r w:rsidR="00AF1BC2" w:rsidRPr="00410F1A">
        <w:rPr>
          <w:rFonts w:ascii="Times New Roman" w:hAnsi="Times New Roman" w:cs="Times New Roman"/>
          <w:sz w:val="24"/>
          <w:szCs w:val="24"/>
        </w:rPr>
        <w:t>Districts and schools have already begun to</w:t>
      </w:r>
      <w:r w:rsidR="00D81CA7" w:rsidRPr="00410F1A">
        <w:rPr>
          <w:rFonts w:ascii="Times New Roman" w:hAnsi="Times New Roman" w:cs="Times New Roman"/>
          <w:sz w:val="24"/>
          <w:szCs w:val="24"/>
        </w:rPr>
        <w:t xml:space="preserve"> intentional</w:t>
      </w:r>
      <w:r w:rsidR="003C300C" w:rsidRPr="00410F1A">
        <w:rPr>
          <w:rFonts w:ascii="Times New Roman" w:hAnsi="Times New Roman" w:cs="Times New Roman"/>
          <w:sz w:val="24"/>
          <w:szCs w:val="24"/>
        </w:rPr>
        <w:t>ly</w:t>
      </w:r>
      <w:r w:rsidR="00D81CA7" w:rsidRPr="00410F1A">
        <w:rPr>
          <w:rFonts w:ascii="Times New Roman" w:hAnsi="Times New Roman" w:cs="Times New Roman"/>
          <w:sz w:val="24"/>
          <w:szCs w:val="24"/>
        </w:rPr>
        <w:t xml:space="preserve"> </w:t>
      </w:r>
      <w:r w:rsidR="00FD617B" w:rsidRPr="00410F1A">
        <w:rPr>
          <w:rFonts w:ascii="Times New Roman" w:hAnsi="Times New Roman" w:cs="Times New Roman"/>
          <w:sz w:val="24"/>
          <w:szCs w:val="24"/>
        </w:rPr>
        <w:t xml:space="preserve">plan for impactful programming </w:t>
      </w:r>
      <w:r w:rsidR="003C300C" w:rsidRPr="00410F1A">
        <w:rPr>
          <w:rFonts w:ascii="Times New Roman" w:hAnsi="Times New Roman" w:cs="Times New Roman"/>
          <w:sz w:val="24"/>
          <w:szCs w:val="24"/>
        </w:rPr>
        <w:t xml:space="preserve">this summer and fall </w:t>
      </w:r>
      <w:r w:rsidR="0005297B" w:rsidRPr="00410F1A">
        <w:rPr>
          <w:rFonts w:ascii="Times New Roman" w:hAnsi="Times New Roman" w:cs="Times New Roman"/>
          <w:sz w:val="24"/>
          <w:szCs w:val="24"/>
        </w:rPr>
        <w:t>to support the needs of our students, including social-emotional growth and learning acceleration.</w:t>
      </w:r>
      <w:r w:rsidR="00AF1BC2" w:rsidRPr="00410F1A">
        <w:rPr>
          <w:rFonts w:ascii="Times New Roman" w:hAnsi="Times New Roman" w:cs="Times New Roman"/>
          <w:sz w:val="24"/>
          <w:szCs w:val="24"/>
        </w:rPr>
        <w:t xml:space="preserve"> </w:t>
      </w:r>
      <w:r w:rsidR="00FC154A" w:rsidRPr="00410F1A">
        <w:rPr>
          <w:rFonts w:ascii="Times New Roman" w:hAnsi="Times New Roman" w:cs="Times New Roman"/>
          <w:sz w:val="24"/>
          <w:szCs w:val="24"/>
        </w:rPr>
        <w:t>While it is clear that educational and developmental recovery from COVID may be a multi-year process for many students, it is critical that all of us have a sense of urgency about quickly and effectively engaging with and supporting those students who have been hardest hit by the pandemic, in order to fully reconnect them with school and to put them on a path to success.</w:t>
      </w:r>
    </w:p>
    <w:p w14:paraId="351BDFB0" w14:textId="3631C470" w:rsidR="0005297B" w:rsidRPr="00410F1A" w:rsidRDefault="0005297B" w:rsidP="00B30D94">
      <w:pPr>
        <w:spacing w:after="0"/>
        <w:rPr>
          <w:rFonts w:ascii="Times New Roman" w:hAnsi="Times New Roman" w:cs="Times New Roman"/>
          <w:sz w:val="24"/>
          <w:szCs w:val="24"/>
        </w:rPr>
      </w:pPr>
    </w:p>
    <w:p w14:paraId="6FA71D4F" w14:textId="77777777" w:rsidR="00117662" w:rsidRDefault="00117662">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br w:type="page"/>
      </w:r>
    </w:p>
    <w:p w14:paraId="581229AB" w14:textId="3EAC362C" w:rsidR="00780C8A" w:rsidRPr="00410F1A" w:rsidRDefault="00780C8A" w:rsidP="004A3C3D">
      <w:pPr>
        <w:pStyle w:val="Heading2"/>
      </w:pPr>
      <w:r w:rsidRPr="00410F1A">
        <w:lastRenderedPageBreak/>
        <w:t>Unprecedented</w:t>
      </w:r>
      <w:r w:rsidR="00174E8B" w:rsidRPr="00410F1A">
        <w:t xml:space="preserve"> levels of funding </w:t>
      </w:r>
      <w:r w:rsidR="00851F36" w:rsidRPr="00410F1A">
        <w:t>available to</w:t>
      </w:r>
      <w:r w:rsidR="00174E8B" w:rsidRPr="00410F1A">
        <w:t xml:space="preserve"> support </w:t>
      </w:r>
      <w:r w:rsidR="00851F36" w:rsidRPr="00410F1A">
        <w:t>student needs</w:t>
      </w:r>
      <w:r w:rsidRPr="00410F1A">
        <w:t xml:space="preserve"> </w:t>
      </w:r>
    </w:p>
    <w:p w14:paraId="18E45EDD" w14:textId="77777777" w:rsidR="00B30D94" w:rsidRPr="00410F1A" w:rsidRDefault="00B30D94" w:rsidP="00B30D94">
      <w:pPr>
        <w:spacing w:after="0"/>
        <w:rPr>
          <w:rFonts w:ascii="Times New Roman" w:hAnsi="Times New Roman" w:cs="Times New Roman"/>
          <w:sz w:val="24"/>
          <w:szCs w:val="24"/>
        </w:rPr>
      </w:pPr>
    </w:p>
    <w:p w14:paraId="0868DC1C" w14:textId="5F05CB45" w:rsidR="008E694E" w:rsidRPr="00410F1A" w:rsidRDefault="00C42AD0"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While student needs </w:t>
      </w:r>
      <w:r w:rsidR="003C300C" w:rsidRPr="00410F1A">
        <w:rPr>
          <w:rFonts w:ascii="Times New Roman" w:hAnsi="Times New Roman" w:cs="Times New Roman"/>
          <w:sz w:val="24"/>
          <w:szCs w:val="24"/>
        </w:rPr>
        <w:t>may be deeper and more complex than ever before</w:t>
      </w:r>
      <w:r w:rsidRPr="00410F1A">
        <w:rPr>
          <w:rFonts w:ascii="Times New Roman" w:hAnsi="Times New Roman" w:cs="Times New Roman"/>
          <w:sz w:val="24"/>
          <w:szCs w:val="24"/>
        </w:rPr>
        <w:t>, many districts and schools are receiving unprecedented levels of funding to support those needs</w:t>
      </w:r>
      <w:r w:rsidR="00365CAA" w:rsidRPr="00410F1A">
        <w:rPr>
          <w:rFonts w:ascii="Times New Roman" w:hAnsi="Times New Roman" w:cs="Times New Roman"/>
          <w:sz w:val="24"/>
          <w:szCs w:val="24"/>
        </w:rPr>
        <w:t xml:space="preserve"> from state and federal sources</w:t>
      </w:r>
      <w:r w:rsidRPr="00410F1A">
        <w:rPr>
          <w:rFonts w:ascii="Times New Roman" w:hAnsi="Times New Roman" w:cs="Times New Roman"/>
          <w:sz w:val="24"/>
          <w:szCs w:val="24"/>
        </w:rPr>
        <w:t xml:space="preserve">. </w:t>
      </w:r>
      <w:r w:rsidR="00365CAA" w:rsidRPr="00410F1A">
        <w:rPr>
          <w:rFonts w:ascii="Times New Roman" w:hAnsi="Times New Roman" w:cs="Times New Roman"/>
          <w:sz w:val="24"/>
          <w:szCs w:val="24"/>
        </w:rPr>
        <w:t>While the state was not in a position to</w:t>
      </w:r>
      <w:r w:rsidR="0055117F" w:rsidRPr="00410F1A">
        <w:rPr>
          <w:rFonts w:ascii="Times New Roman" w:hAnsi="Times New Roman" w:cs="Times New Roman"/>
          <w:sz w:val="24"/>
          <w:szCs w:val="24"/>
        </w:rPr>
        <w:t xml:space="preserve"> fully</w:t>
      </w:r>
      <w:r w:rsidR="00365CAA" w:rsidRPr="00410F1A">
        <w:rPr>
          <w:rFonts w:ascii="Times New Roman" w:hAnsi="Times New Roman" w:cs="Times New Roman"/>
          <w:sz w:val="24"/>
          <w:szCs w:val="24"/>
        </w:rPr>
        <w:t xml:space="preserve"> implement the </w:t>
      </w:r>
      <w:r w:rsidR="00AF1BC2" w:rsidRPr="00410F1A">
        <w:rPr>
          <w:rFonts w:ascii="Times New Roman" w:hAnsi="Times New Roman" w:cs="Times New Roman"/>
          <w:sz w:val="24"/>
          <w:szCs w:val="24"/>
        </w:rPr>
        <w:t>SOA</w:t>
      </w:r>
      <w:r w:rsidR="00365CAA" w:rsidRPr="00410F1A">
        <w:rPr>
          <w:rFonts w:ascii="Times New Roman" w:hAnsi="Times New Roman" w:cs="Times New Roman"/>
          <w:sz w:val="24"/>
          <w:szCs w:val="24"/>
        </w:rPr>
        <w:t xml:space="preserve"> beginning in FY21, </w:t>
      </w:r>
      <w:r w:rsidR="00487520" w:rsidRPr="00410F1A">
        <w:rPr>
          <w:rFonts w:ascii="Times New Roman" w:hAnsi="Times New Roman" w:cs="Times New Roman"/>
          <w:sz w:val="24"/>
          <w:szCs w:val="24"/>
        </w:rPr>
        <w:t xml:space="preserve">Chapter 70 increased by $108 million and two rounds of </w:t>
      </w:r>
      <w:r w:rsidR="00365CAA" w:rsidRPr="00410F1A">
        <w:rPr>
          <w:rFonts w:ascii="Times New Roman" w:hAnsi="Times New Roman" w:cs="Times New Roman"/>
          <w:sz w:val="24"/>
          <w:szCs w:val="24"/>
        </w:rPr>
        <w:t xml:space="preserve">federal </w:t>
      </w:r>
      <w:r w:rsidR="00487520" w:rsidRPr="00410F1A">
        <w:rPr>
          <w:rFonts w:ascii="Times New Roman" w:hAnsi="Times New Roman" w:cs="Times New Roman"/>
          <w:sz w:val="24"/>
          <w:szCs w:val="24"/>
        </w:rPr>
        <w:t xml:space="preserve">COVID </w:t>
      </w:r>
      <w:r w:rsidR="00365CAA" w:rsidRPr="00410F1A">
        <w:rPr>
          <w:rFonts w:ascii="Times New Roman" w:hAnsi="Times New Roman" w:cs="Times New Roman"/>
          <w:sz w:val="24"/>
          <w:szCs w:val="24"/>
        </w:rPr>
        <w:t xml:space="preserve">recovery funds added </w:t>
      </w:r>
      <w:r w:rsidR="00487520" w:rsidRPr="00410F1A">
        <w:rPr>
          <w:rFonts w:ascii="Times New Roman" w:hAnsi="Times New Roman" w:cs="Times New Roman"/>
          <w:sz w:val="24"/>
          <w:szCs w:val="24"/>
        </w:rPr>
        <w:t>another $1.1 billion in formula aid to school districts, most of which has not yet been drawn down</w:t>
      </w:r>
      <w:r w:rsidR="00365CAA" w:rsidRPr="00410F1A">
        <w:rPr>
          <w:rFonts w:ascii="Times New Roman" w:hAnsi="Times New Roman" w:cs="Times New Roman"/>
          <w:sz w:val="24"/>
          <w:szCs w:val="24"/>
        </w:rPr>
        <w:t xml:space="preserve">. Looking forward, Chapter 70 </w:t>
      </w:r>
      <w:r w:rsidR="00732ABC" w:rsidRPr="00410F1A">
        <w:rPr>
          <w:rFonts w:ascii="Times New Roman" w:hAnsi="Times New Roman" w:cs="Times New Roman"/>
          <w:sz w:val="24"/>
          <w:szCs w:val="24"/>
        </w:rPr>
        <w:t>will increase by $219.6M in FY22</w:t>
      </w:r>
      <w:r w:rsidR="00365CAA" w:rsidRPr="00410F1A">
        <w:rPr>
          <w:rFonts w:ascii="Times New Roman" w:hAnsi="Times New Roman" w:cs="Times New Roman"/>
          <w:sz w:val="24"/>
          <w:szCs w:val="24"/>
        </w:rPr>
        <w:t>, reflecting first year implementation of the SOA</w:t>
      </w:r>
      <w:r w:rsidR="00487520" w:rsidRPr="00410F1A">
        <w:rPr>
          <w:rFonts w:ascii="Times New Roman" w:hAnsi="Times New Roman" w:cs="Times New Roman"/>
          <w:sz w:val="24"/>
          <w:szCs w:val="24"/>
        </w:rPr>
        <w:t>, and</w:t>
      </w:r>
      <w:r w:rsidR="008E694E" w:rsidRPr="00410F1A">
        <w:rPr>
          <w:rFonts w:ascii="Times New Roman" w:hAnsi="Times New Roman" w:cs="Times New Roman"/>
          <w:sz w:val="24"/>
          <w:szCs w:val="24"/>
        </w:rPr>
        <w:t xml:space="preserve"> </w:t>
      </w:r>
      <w:r w:rsidR="00A651C4" w:rsidRPr="00410F1A">
        <w:rPr>
          <w:rFonts w:ascii="Times New Roman" w:hAnsi="Times New Roman" w:cs="Times New Roman"/>
          <w:sz w:val="24"/>
          <w:szCs w:val="24"/>
        </w:rPr>
        <w:t xml:space="preserve">all </w:t>
      </w:r>
      <w:r w:rsidRPr="00410F1A">
        <w:rPr>
          <w:rFonts w:ascii="Times New Roman" w:hAnsi="Times New Roman" w:cs="Times New Roman"/>
          <w:sz w:val="24"/>
          <w:szCs w:val="24"/>
        </w:rPr>
        <w:t xml:space="preserve">districts </w:t>
      </w:r>
      <w:r w:rsidR="007829B1" w:rsidRPr="00410F1A">
        <w:rPr>
          <w:rFonts w:ascii="Times New Roman" w:hAnsi="Times New Roman" w:cs="Times New Roman"/>
          <w:sz w:val="24"/>
          <w:szCs w:val="24"/>
        </w:rPr>
        <w:t xml:space="preserve">will </w:t>
      </w:r>
      <w:r w:rsidR="00A651C4" w:rsidRPr="00410F1A">
        <w:rPr>
          <w:rFonts w:ascii="Times New Roman" w:hAnsi="Times New Roman" w:cs="Times New Roman"/>
          <w:sz w:val="24"/>
          <w:szCs w:val="24"/>
        </w:rPr>
        <w:t xml:space="preserve">have </w:t>
      </w:r>
      <w:r w:rsidRPr="00410F1A">
        <w:rPr>
          <w:rFonts w:ascii="Times New Roman" w:hAnsi="Times New Roman" w:cs="Times New Roman"/>
          <w:sz w:val="24"/>
          <w:szCs w:val="24"/>
        </w:rPr>
        <w:t xml:space="preserve">access </w:t>
      </w:r>
      <w:r w:rsidR="00A651C4" w:rsidRPr="00410F1A">
        <w:rPr>
          <w:rFonts w:ascii="Times New Roman" w:hAnsi="Times New Roman" w:cs="Times New Roman"/>
          <w:sz w:val="24"/>
          <w:szCs w:val="24"/>
        </w:rPr>
        <w:t>to</w:t>
      </w:r>
      <w:r w:rsidR="003463EC" w:rsidRPr="00410F1A">
        <w:rPr>
          <w:rFonts w:ascii="Times New Roman" w:hAnsi="Times New Roman" w:cs="Times New Roman"/>
          <w:sz w:val="24"/>
          <w:szCs w:val="24"/>
        </w:rPr>
        <w:t xml:space="preserve"> </w:t>
      </w:r>
      <w:r w:rsidR="00487520" w:rsidRPr="00410F1A">
        <w:rPr>
          <w:rFonts w:ascii="Times New Roman" w:hAnsi="Times New Roman" w:cs="Times New Roman"/>
          <w:sz w:val="24"/>
          <w:szCs w:val="24"/>
        </w:rPr>
        <w:t xml:space="preserve">another </w:t>
      </w:r>
      <w:r w:rsidRPr="00410F1A">
        <w:rPr>
          <w:rFonts w:ascii="Times New Roman" w:hAnsi="Times New Roman" w:cs="Times New Roman"/>
          <w:sz w:val="24"/>
          <w:szCs w:val="24"/>
        </w:rPr>
        <w:t>$</w:t>
      </w:r>
      <w:r w:rsidR="00A651C4" w:rsidRPr="00410F1A">
        <w:rPr>
          <w:rFonts w:ascii="Times New Roman" w:hAnsi="Times New Roman" w:cs="Times New Roman"/>
          <w:sz w:val="24"/>
          <w:szCs w:val="24"/>
        </w:rPr>
        <w:t>1.66 billion</w:t>
      </w:r>
      <w:r w:rsidRPr="00410F1A">
        <w:rPr>
          <w:rFonts w:ascii="Times New Roman" w:hAnsi="Times New Roman" w:cs="Times New Roman"/>
          <w:sz w:val="24"/>
          <w:szCs w:val="24"/>
        </w:rPr>
        <w:t xml:space="preserve"> </w:t>
      </w:r>
      <w:r w:rsidR="001F1A21" w:rsidRPr="00410F1A">
        <w:rPr>
          <w:rFonts w:ascii="Times New Roman" w:hAnsi="Times New Roman" w:cs="Times New Roman"/>
          <w:sz w:val="24"/>
          <w:szCs w:val="24"/>
        </w:rPr>
        <w:t xml:space="preserve">of </w:t>
      </w:r>
      <w:r w:rsidR="00487520" w:rsidRPr="00410F1A">
        <w:rPr>
          <w:rFonts w:ascii="Times New Roman" w:hAnsi="Times New Roman" w:cs="Times New Roman"/>
          <w:sz w:val="24"/>
          <w:szCs w:val="24"/>
        </w:rPr>
        <w:t xml:space="preserve">federal </w:t>
      </w:r>
      <w:r w:rsidRPr="00410F1A">
        <w:rPr>
          <w:rFonts w:ascii="Times New Roman" w:hAnsi="Times New Roman" w:cs="Times New Roman"/>
          <w:sz w:val="24"/>
          <w:szCs w:val="24"/>
        </w:rPr>
        <w:t xml:space="preserve">ESSER III </w:t>
      </w:r>
      <w:r w:rsidR="00E71F50" w:rsidRPr="00410F1A">
        <w:rPr>
          <w:rFonts w:ascii="Times New Roman" w:hAnsi="Times New Roman" w:cs="Times New Roman"/>
          <w:sz w:val="24"/>
          <w:szCs w:val="24"/>
        </w:rPr>
        <w:t xml:space="preserve">formula </w:t>
      </w:r>
      <w:r w:rsidRPr="00410F1A">
        <w:rPr>
          <w:rFonts w:ascii="Times New Roman" w:hAnsi="Times New Roman" w:cs="Times New Roman"/>
          <w:sz w:val="24"/>
          <w:szCs w:val="24"/>
        </w:rPr>
        <w:t xml:space="preserve">funding.  </w:t>
      </w:r>
    </w:p>
    <w:p w14:paraId="105A7090" w14:textId="77777777" w:rsidR="00B30D94" w:rsidRPr="00410F1A" w:rsidRDefault="00B30D94" w:rsidP="004C0EC4">
      <w:pPr>
        <w:spacing w:after="0"/>
        <w:jc w:val="right"/>
        <w:rPr>
          <w:rFonts w:ascii="Times New Roman" w:hAnsi="Times New Roman" w:cs="Times New Roman"/>
          <w:sz w:val="24"/>
          <w:szCs w:val="24"/>
        </w:rPr>
      </w:pPr>
    </w:p>
    <w:p w14:paraId="636F8C34" w14:textId="0C1803E7" w:rsidR="007B3A11" w:rsidRPr="00410F1A" w:rsidRDefault="00365CAA"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Chapter 70 funding will continue to increase as a result of the SOA until the law is fully implemented, which is </w:t>
      </w:r>
      <w:r w:rsidR="00A34F78" w:rsidRPr="00410F1A">
        <w:rPr>
          <w:rFonts w:ascii="Times New Roman" w:hAnsi="Times New Roman" w:cs="Times New Roman"/>
          <w:sz w:val="24"/>
          <w:szCs w:val="24"/>
        </w:rPr>
        <w:t>anticipated</w:t>
      </w:r>
      <w:r w:rsidRPr="00410F1A">
        <w:rPr>
          <w:rFonts w:ascii="Times New Roman" w:hAnsi="Times New Roman" w:cs="Times New Roman"/>
          <w:sz w:val="24"/>
          <w:szCs w:val="24"/>
        </w:rPr>
        <w:t xml:space="preserve"> to happen b</w:t>
      </w:r>
      <w:r w:rsidR="00A34F78" w:rsidRPr="00410F1A">
        <w:rPr>
          <w:rFonts w:ascii="Times New Roman" w:hAnsi="Times New Roman" w:cs="Times New Roman"/>
          <w:sz w:val="24"/>
          <w:szCs w:val="24"/>
        </w:rPr>
        <w:t>etween</w:t>
      </w:r>
      <w:r w:rsidRPr="00410F1A">
        <w:rPr>
          <w:rFonts w:ascii="Times New Roman" w:hAnsi="Times New Roman" w:cs="Times New Roman"/>
          <w:sz w:val="24"/>
          <w:szCs w:val="24"/>
        </w:rPr>
        <w:t xml:space="preserve"> FY27</w:t>
      </w:r>
      <w:r w:rsidR="00A34F78" w:rsidRPr="00410F1A">
        <w:rPr>
          <w:rFonts w:ascii="Times New Roman" w:hAnsi="Times New Roman" w:cs="Times New Roman"/>
          <w:sz w:val="24"/>
          <w:szCs w:val="24"/>
        </w:rPr>
        <w:t xml:space="preserve"> and FY28</w:t>
      </w:r>
      <w:r w:rsidR="001B27CB" w:rsidRPr="00410F1A">
        <w:rPr>
          <w:rFonts w:ascii="Times New Roman" w:hAnsi="Times New Roman" w:cs="Times New Roman"/>
          <w:sz w:val="24"/>
          <w:szCs w:val="24"/>
        </w:rPr>
        <w:t xml:space="preserve">, adding significant recurring revenue each year for districts and schools. </w:t>
      </w:r>
      <w:r w:rsidR="000C082E" w:rsidRPr="00410F1A">
        <w:rPr>
          <w:rFonts w:ascii="Times New Roman" w:hAnsi="Times New Roman" w:cs="Times New Roman"/>
          <w:sz w:val="24"/>
          <w:szCs w:val="24"/>
        </w:rPr>
        <w:t xml:space="preserve">Furthermore, </w:t>
      </w:r>
      <w:r w:rsidR="003007C9" w:rsidRPr="00410F1A">
        <w:rPr>
          <w:rFonts w:ascii="Times New Roman" w:hAnsi="Times New Roman" w:cs="Times New Roman"/>
          <w:sz w:val="24"/>
          <w:szCs w:val="24"/>
        </w:rPr>
        <w:t xml:space="preserve">ESSER II funds may be spent until September 30, 2023 and </w:t>
      </w:r>
      <w:r w:rsidR="000C082E" w:rsidRPr="00410F1A">
        <w:rPr>
          <w:rFonts w:ascii="Times New Roman" w:hAnsi="Times New Roman" w:cs="Times New Roman"/>
          <w:sz w:val="24"/>
          <w:szCs w:val="24"/>
        </w:rPr>
        <w:t xml:space="preserve">ESSER III funds may be spent </w:t>
      </w:r>
      <w:r w:rsidR="003007C9" w:rsidRPr="00410F1A">
        <w:rPr>
          <w:rFonts w:ascii="Times New Roman" w:hAnsi="Times New Roman" w:cs="Times New Roman"/>
          <w:sz w:val="24"/>
          <w:szCs w:val="24"/>
        </w:rPr>
        <w:t>until</w:t>
      </w:r>
      <w:r w:rsidR="007829B1" w:rsidRPr="00410F1A">
        <w:rPr>
          <w:rFonts w:ascii="Times New Roman" w:hAnsi="Times New Roman" w:cs="Times New Roman"/>
          <w:sz w:val="24"/>
          <w:szCs w:val="24"/>
        </w:rPr>
        <w:t xml:space="preserve"> September 30, 2024</w:t>
      </w:r>
      <w:r w:rsidR="00B73401" w:rsidRPr="00410F1A">
        <w:rPr>
          <w:rFonts w:ascii="Times New Roman" w:hAnsi="Times New Roman" w:cs="Times New Roman"/>
          <w:sz w:val="24"/>
          <w:szCs w:val="24"/>
        </w:rPr>
        <w:t xml:space="preserve">. </w:t>
      </w:r>
    </w:p>
    <w:p w14:paraId="3C392B42" w14:textId="77777777" w:rsidR="00B30D94" w:rsidRPr="00410F1A" w:rsidRDefault="00B30D94" w:rsidP="00B30D94">
      <w:pPr>
        <w:spacing w:after="0"/>
        <w:rPr>
          <w:rFonts w:ascii="Times New Roman" w:hAnsi="Times New Roman" w:cs="Times New Roman"/>
          <w:sz w:val="24"/>
          <w:szCs w:val="24"/>
        </w:rPr>
      </w:pPr>
    </w:p>
    <w:p w14:paraId="4D99BF9C" w14:textId="36342FE1" w:rsidR="00C42AD0" w:rsidRPr="00410F1A" w:rsidRDefault="00B76918" w:rsidP="00B30D94">
      <w:pPr>
        <w:spacing w:after="0"/>
        <w:rPr>
          <w:rFonts w:ascii="Times New Roman" w:hAnsi="Times New Roman" w:cs="Times New Roman"/>
          <w:sz w:val="24"/>
          <w:szCs w:val="24"/>
        </w:rPr>
      </w:pPr>
      <w:r w:rsidRPr="00410F1A">
        <w:rPr>
          <w:rFonts w:ascii="Times New Roman" w:hAnsi="Times New Roman" w:cs="Times New Roman"/>
          <w:sz w:val="24"/>
          <w:szCs w:val="24"/>
        </w:rPr>
        <w:t>These funding infusions are especially impactful</w:t>
      </w:r>
      <w:r w:rsidR="00C42AD0" w:rsidRPr="00410F1A">
        <w:rPr>
          <w:rFonts w:ascii="Times New Roman" w:hAnsi="Times New Roman" w:cs="Times New Roman"/>
          <w:sz w:val="24"/>
          <w:szCs w:val="24"/>
        </w:rPr>
        <w:t xml:space="preserve"> for </w:t>
      </w:r>
      <w:r w:rsidR="006F19FF" w:rsidRPr="00410F1A">
        <w:rPr>
          <w:rFonts w:ascii="Times New Roman" w:hAnsi="Times New Roman" w:cs="Times New Roman"/>
          <w:sz w:val="24"/>
          <w:szCs w:val="24"/>
        </w:rPr>
        <w:t xml:space="preserve">high-poverty </w:t>
      </w:r>
      <w:r w:rsidR="00C42AD0" w:rsidRPr="00410F1A">
        <w:rPr>
          <w:rFonts w:ascii="Times New Roman" w:hAnsi="Times New Roman" w:cs="Times New Roman"/>
          <w:sz w:val="24"/>
          <w:szCs w:val="24"/>
        </w:rPr>
        <w:t>districts</w:t>
      </w:r>
      <w:r w:rsidR="0047168F" w:rsidRPr="00410F1A">
        <w:rPr>
          <w:rFonts w:ascii="Times New Roman" w:hAnsi="Times New Roman" w:cs="Times New Roman"/>
          <w:sz w:val="24"/>
          <w:szCs w:val="24"/>
        </w:rPr>
        <w:t>,</w:t>
      </w:r>
      <w:r w:rsidR="006C514B" w:rsidRPr="00410F1A">
        <w:rPr>
          <w:rFonts w:ascii="Times New Roman" w:hAnsi="Times New Roman" w:cs="Times New Roman"/>
          <w:sz w:val="24"/>
          <w:szCs w:val="24"/>
        </w:rPr>
        <w:t xml:space="preserve"> </w:t>
      </w:r>
      <w:r w:rsidR="0047168F" w:rsidRPr="00410F1A">
        <w:rPr>
          <w:rFonts w:ascii="Times New Roman" w:hAnsi="Times New Roman" w:cs="Times New Roman"/>
          <w:sz w:val="24"/>
          <w:szCs w:val="24"/>
        </w:rPr>
        <w:t>which</w:t>
      </w:r>
      <w:r w:rsidRPr="00410F1A">
        <w:rPr>
          <w:rFonts w:ascii="Times New Roman" w:hAnsi="Times New Roman" w:cs="Times New Roman"/>
          <w:sz w:val="24"/>
          <w:szCs w:val="24"/>
        </w:rPr>
        <w:t xml:space="preserve"> </w:t>
      </w:r>
      <w:r w:rsidR="00C42AD0" w:rsidRPr="00410F1A">
        <w:rPr>
          <w:rFonts w:ascii="Times New Roman" w:hAnsi="Times New Roman" w:cs="Times New Roman"/>
          <w:sz w:val="24"/>
          <w:szCs w:val="24"/>
        </w:rPr>
        <w:t xml:space="preserve">significantly benefited from the formula-driven funding allocations established by the Commonwealth for SOA and federal government for ESSER. At the same time, </w:t>
      </w:r>
      <w:r w:rsidR="004C447C" w:rsidRPr="00410F1A">
        <w:rPr>
          <w:rFonts w:ascii="Times New Roman" w:hAnsi="Times New Roman" w:cs="Times New Roman"/>
          <w:sz w:val="24"/>
          <w:szCs w:val="24"/>
        </w:rPr>
        <w:t xml:space="preserve">we </w:t>
      </w:r>
      <w:r w:rsidR="00C42AD0" w:rsidRPr="00410F1A">
        <w:rPr>
          <w:rFonts w:ascii="Times New Roman" w:hAnsi="Times New Roman" w:cs="Times New Roman"/>
          <w:sz w:val="24"/>
          <w:szCs w:val="24"/>
        </w:rPr>
        <w:t>recogniz</w:t>
      </w:r>
      <w:r w:rsidR="004C447C" w:rsidRPr="00410F1A">
        <w:rPr>
          <w:rFonts w:ascii="Times New Roman" w:hAnsi="Times New Roman" w:cs="Times New Roman"/>
          <w:sz w:val="24"/>
          <w:szCs w:val="24"/>
        </w:rPr>
        <w:t>e</w:t>
      </w:r>
      <w:r w:rsidR="00C42AD0" w:rsidRPr="00410F1A">
        <w:rPr>
          <w:rFonts w:ascii="Times New Roman" w:hAnsi="Times New Roman" w:cs="Times New Roman"/>
          <w:sz w:val="24"/>
          <w:szCs w:val="24"/>
        </w:rPr>
        <w:t xml:space="preserve"> that some districts with </w:t>
      </w:r>
      <w:r w:rsidR="00DD738F" w:rsidRPr="00410F1A">
        <w:rPr>
          <w:rFonts w:ascii="Times New Roman" w:hAnsi="Times New Roman" w:cs="Times New Roman"/>
          <w:sz w:val="24"/>
          <w:szCs w:val="24"/>
        </w:rPr>
        <w:t xml:space="preserve">more </w:t>
      </w:r>
      <w:r w:rsidR="00C42AD0" w:rsidRPr="00410F1A">
        <w:rPr>
          <w:rFonts w:ascii="Times New Roman" w:hAnsi="Times New Roman" w:cs="Times New Roman"/>
          <w:sz w:val="24"/>
          <w:szCs w:val="24"/>
        </w:rPr>
        <w:t xml:space="preserve">moderate </w:t>
      </w:r>
      <w:r w:rsidR="004C447C" w:rsidRPr="00410F1A">
        <w:rPr>
          <w:rFonts w:ascii="Times New Roman" w:hAnsi="Times New Roman" w:cs="Times New Roman"/>
          <w:sz w:val="24"/>
          <w:szCs w:val="24"/>
        </w:rPr>
        <w:t>percentages</w:t>
      </w:r>
      <w:r w:rsidR="00C42AD0" w:rsidRPr="00410F1A">
        <w:rPr>
          <w:rFonts w:ascii="Times New Roman" w:hAnsi="Times New Roman" w:cs="Times New Roman"/>
          <w:sz w:val="24"/>
          <w:szCs w:val="24"/>
        </w:rPr>
        <w:t xml:space="preserve"> of </w:t>
      </w:r>
      <w:proofErr w:type="gramStart"/>
      <w:r w:rsidR="00C42AD0" w:rsidRPr="00410F1A">
        <w:rPr>
          <w:rFonts w:ascii="Times New Roman" w:hAnsi="Times New Roman" w:cs="Times New Roman"/>
          <w:sz w:val="24"/>
          <w:szCs w:val="24"/>
        </w:rPr>
        <w:t>economically disadvantaged</w:t>
      </w:r>
      <w:proofErr w:type="gramEnd"/>
      <w:r w:rsidR="00C42AD0" w:rsidRPr="00410F1A">
        <w:rPr>
          <w:rFonts w:ascii="Times New Roman" w:hAnsi="Times New Roman" w:cs="Times New Roman"/>
          <w:sz w:val="24"/>
          <w:szCs w:val="24"/>
        </w:rPr>
        <w:t xml:space="preserve"> students still have acute needs but are receiving less SOA and ESSER funding</w:t>
      </w:r>
      <w:r w:rsidR="004C447C" w:rsidRPr="00410F1A">
        <w:rPr>
          <w:rFonts w:ascii="Times New Roman" w:hAnsi="Times New Roman" w:cs="Times New Roman"/>
          <w:sz w:val="24"/>
          <w:szCs w:val="24"/>
        </w:rPr>
        <w:t xml:space="preserve">. To </w:t>
      </w:r>
      <w:r w:rsidR="00A66CDB" w:rsidRPr="00410F1A">
        <w:rPr>
          <w:rFonts w:ascii="Times New Roman" w:hAnsi="Times New Roman" w:cs="Times New Roman"/>
          <w:sz w:val="24"/>
          <w:szCs w:val="24"/>
        </w:rPr>
        <w:t>address this</w:t>
      </w:r>
      <w:r w:rsidR="004C447C" w:rsidRPr="00410F1A">
        <w:rPr>
          <w:rFonts w:ascii="Times New Roman" w:hAnsi="Times New Roman" w:cs="Times New Roman"/>
          <w:sz w:val="24"/>
          <w:szCs w:val="24"/>
        </w:rPr>
        <w:t xml:space="preserve">, </w:t>
      </w:r>
      <w:r w:rsidR="00C42AD0" w:rsidRPr="00410F1A">
        <w:rPr>
          <w:rFonts w:ascii="Times New Roman" w:hAnsi="Times New Roman" w:cs="Times New Roman"/>
          <w:sz w:val="24"/>
          <w:szCs w:val="24"/>
        </w:rPr>
        <w:t xml:space="preserve">DESE </w:t>
      </w:r>
      <w:r w:rsidR="004C447C" w:rsidRPr="00410F1A">
        <w:rPr>
          <w:rFonts w:ascii="Times New Roman" w:hAnsi="Times New Roman" w:cs="Times New Roman"/>
          <w:sz w:val="24"/>
          <w:szCs w:val="24"/>
        </w:rPr>
        <w:t>allocated</w:t>
      </w:r>
      <w:r w:rsidR="00C42AD0" w:rsidRPr="00410F1A">
        <w:rPr>
          <w:rFonts w:ascii="Times New Roman" w:hAnsi="Times New Roman" w:cs="Times New Roman"/>
          <w:sz w:val="24"/>
          <w:szCs w:val="24"/>
        </w:rPr>
        <w:t xml:space="preserve"> </w:t>
      </w:r>
      <w:r w:rsidR="007829B1" w:rsidRPr="00410F1A">
        <w:rPr>
          <w:rFonts w:ascii="Times New Roman" w:hAnsi="Times New Roman" w:cs="Times New Roman"/>
          <w:sz w:val="24"/>
          <w:szCs w:val="24"/>
        </w:rPr>
        <w:t xml:space="preserve">$7 million </w:t>
      </w:r>
      <w:r w:rsidR="00C42AD0" w:rsidRPr="00410F1A">
        <w:rPr>
          <w:rFonts w:ascii="Times New Roman" w:hAnsi="Times New Roman" w:cs="Times New Roman"/>
          <w:sz w:val="24"/>
          <w:szCs w:val="24"/>
        </w:rPr>
        <w:t xml:space="preserve">of the state set aside portion of its funding to </w:t>
      </w:r>
      <w:r w:rsidR="004C447C" w:rsidRPr="00410F1A">
        <w:rPr>
          <w:rFonts w:ascii="Times New Roman" w:hAnsi="Times New Roman" w:cs="Times New Roman"/>
          <w:sz w:val="24"/>
          <w:szCs w:val="24"/>
        </w:rPr>
        <w:t xml:space="preserve">provide extra funds to </w:t>
      </w:r>
      <w:r w:rsidR="00A66CDB" w:rsidRPr="00410F1A">
        <w:rPr>
          <w:rFonts w:ascii="Times New Roman" w:hAnsi="Times New Roman" w:cs="Times New Roman"/>
          <w:sz w:val="24"/>
          <w:szCs w:val="24"/>
        </w:rPr>
        <w:t xml:space="preserve">support </w:t>
      </w:r>
      <w:r w:rsidR="00C42AD0" w:rsidRPr="00410F1A">
        <w:rPr>
          <w:rFonts w:ascii="Times New Roman" w:hAnsi="Times New Roman" w:cs="Times New Roman"/>
          <w:sz w:val="24"/>
          <w:szCs w:val="24"/>
        </w:rPr>
        <w:t xml:space="preserve">those districts. </w:t>
      </w:r>
    </w:p>
    <w:p w14:paraId="59C00CBC" w14:textId="706D2133" w:rsidR="00872499" w:rsidRPr="00410F1A" w:rsidRDefault="00872499" w:rsidP="00B30D94">
      <w:pPr>
        <w:spacing w:after="0"/>
        <w:rPr>
          <w:rFonts w:ascii="Times New Roman" w:hAnsi="Times New Roman" w:cs="Times New Roman"/>
          <w:sz w:val="24"/>
          <w:szCs w:val="24"/>
        </w:rPr>
      </w:pPr>
    </w:p>
    <w:p w14:paraId="1FE0D0A8" w14:textId="1A808DB7" w:rsidR="00A468EB" w:rsidRPr="00410F1A" w:rsidRDefault="001B1E7E" w:rsidP="004A3C3D">
      <w:pPr>
        <w:pStyle w:val="Heading2"/>
      </w:pPr>
      <w:r w:rsidRPr="00410F1A">
        <w:t>Programmatic initiatives</w:t>
      </w:r>
      <w:r w:rsidR="00A468EB" w:rsidRPr="00410F1A">
        <w:t xml:space="preserve"> to</w:t>
      </w:r>
      <w:r w:rsidR="00FE0F88" w:rsidRPr="00410F1A">
        <w:t xml:space="preserve"> consider for </w:t>
      </w:r>
      <w:r w:rsidR="00F3560A" w:rsidRPr="00410F1A">
        <w:t>r</w:t>
      </w:r>
      <w:r w:rsidR="00A468EB" w:rsidRPr="00410F1A">
        <w:t xml:space="preserve">ecovery and </w:t>
      </w:r>
      <w:r w:rsidR="00F3560A" w:rsidRPr="00410F1A">
        <w:t>ac</w:t>
      </w:r>
      <w:r w:rsidR="00A468EB" w:rsidRPr="00410F1A">
        <w:t xml:space="preserve">celeration </w:t>
      </w:r>
    </w:p>
    <w:p w14:paraId="0B4FC0AD" w14:textId="0D9F5503" w:rsidR="004C0EC4" w:rsidRPr="00410F1A" w:rsidRDefault="004C0EC4" w:rsidP="00B30D94">
      <w:pPr>
        <w:spacing w:after="0"/>
        <w:rPr>
          <w:rFonts w:ascii="Times New Roman" w:hAnsi="Times New Roman" w:cs="Times New Roman"/>
          <w:sz w:val="24"/>
          <w:szCs w:val="24"/>
        </w:rPr>
      </w:pPr>
    </w:p>
    <w:p w14:paraId="3AEFB5B7" w14:textId="77777777" w:rsidR="004C0EC4" w:rsidRPr="00410F1A" w:rsidRDefault="004C0EC4" w:rsidP="004C0EC4">
      <w:pPr>
        <w:rPr>
          <w:rFonts w:ascii="Times New Roman" w:hAnsi="Times New Roman" w:cs="Times New Roman"/>
          <w:sz w:val="24"/>
          <w:szCs w:val="24"/>
        </w:rPr>
      </w:pPr>
      <w:r w:rsidRPr="00410F1A">
        <w:rPr>
          <w:rFonts w:ascii="Times New Roman" w:hAnsi="Times New Roman" w:cs="Times New Roman"/>
          <w:sz w:val="24"/>
          <w:szCs w:val="24"/>
        </w:rPr>
        <w:t xml:space="preserve">The Department has already released significant guidance and resources to support districts to begin programmatic planning for recovery and acceleration, including the </w:t>
      </w:r>
      <w:hyperlink r:id="rId13" w:history="1">
        <w:r w:rsidRPr="00410F1A">
          <w:rPr>
            <w:rFonts w:ascii="Times New Roman" w:hAnsi="Times New Roman" w:cs="Times New Roman"/>
            <w:b/>
            <w:bCs/>
            <w:color w:val="0563C1" w:themeColor="hyperlink"/>
            <w:sz w:val="24"/>
            <w:szCs w:val="24"/>
            <w:u w:val="single"/>
          </w:rPr>
          <w:t>Acceleration Roadmaps</w:t>
        </w:r>
      </w:hyperlink>
      <w:r w:rsidRPr="00410F1A">
        <w:rPr>
          <w:rFonts w:ascii="Times New Roman" w:hAnsi="Times New Roman" w:cs="Times New Roman"/>
          <w:sz w:val="24"/>
          <w:szCs w:val="24"/>
        </w:rPr>
        <w:t xml:space="preserve"> for educators and administrators, and information about </w:t>
      </w:r>
      <w:hyperlink r:id="rId14" w:history="1">
        <w:r w:rsidRPr="00410F1A">
          <w:rPr>
            <w:rFonts w:ascii="Times New Roman" w:hAnsi="Times New Roman" w:cs="Times New Roman"/>
            <w:b/>
            <w:bCs/>
            <w:color w:val="0563C1" w:themeColor="hyperlink"/>
            <w:sz w:val="24"/>
            <w:szCs w:val="24"/>
            <w:u w:val="single"/>
          </w:rPr>
          <w:t>Summer Acceleration Academies</w:t>
        </w:r>
      </w:hyperlink>
      <w:r w:rsidRPr="00410F1A">
        <w:rPr>
          <w:rFonts w:ascii="Times New Roman" w:hAnsi="Times New Roman" w:cs="Times New Roman"/>
          <w:b/>
          <w:bCs/>
          <w:sz w:val="24"/>
          <w:szCs w:val="24"/>
        </w:rPr>
        <w:t xml:space="preserve"> </w:t>
      </w:r>
      <w:r w:rsidRPr="00410F1A">
        <w:rPr>
          <w:rFonts w:ascii="Times New Roman" w:hAnsi="Times New Roman" w:cs="Times New Roman"/>
          <w:sz w:val="24"/>
          <w:szCs w:val="24"/>
        </w:rPr>
        <w:t xml:space="preserve">and </w:t>
      </w:r>
      <w:hyperlink r:id="rId15" w:history="1">
        <w:r w:rsidRPr="00410F1A">
          <w:rPr>
            <w:rFonts w:ascii="Times New Roman" w:hAnsi="Times New Roman" w:cs="Times New Roman"/>
            <w:b/>
            <w:bCs/>
            <w:color w:val="0563C1" w:themeColor="hyperlink"/>
            <w:sz w:val="24"/>
            <w:szCs w:val="24"/>
            <w:u w:val="single"/>
          </w:rPr>
          <w:t>other summer programming opportunities</w:t>
        </w:r>
      </w:hyperlink>
      <w:r w:rsidRPr="00410F1A">
        <w:rPr>
          <w:rFonts w:ascii="Times New Roman" w:hAnsi="Times New Roman" w:cs="Times New Roman"/>
          <w:sz w:val="24"/>
          <w:szCs w:val="24"/>
        </w:rPr>
        <w:t>.</w:t>
      </w:r>
    </w:p>
    <w:p w14:paraId="191B1050" w14:textId="77777777" w:rsidR="004C0EC4" w:rsidRPr="00410F1A" w:rsidRDefault="004C0EC4" w:rsidP="004C0EC4">
      <w:pPr>
        <w:rPr>
          <w:rFonts w:ascii="Times New Roman" w:hAnsi="Times New Roman" w:cs="Times New Roman"/>
          <w:sz w:val="24"/>
          <w:szCs w:val="24"/>
        </w:rPr>
      </w:pPr>
      <w:r w:rsidRPr="00410F1A">
        <w:rPr>
          <w:rFonts w:ascii="Times New Roman" w:hAnsi="Times New Roman" w:cs="Times New Roman"/>
          <w:sz w:val="24"/>
          <w:szCs w:val="24"/>
        </w:rPr>
        <w:t xml:space="preserve">In addition, we strongly urge districts and schools to revisit the Department’s </w:t>
      </w:r>
      <w:hyperlink r:id="rId16" w:history="1">
        <w:r w:rsidRPr="00410F1A">
          <w:rPr>
            <w:rFonts w:ascii="Times New Roman" w:hAnsi="Times New Roman" w:cs="Times New Roman"/>
            <w:b/>
            <w:bCs/>
            <w:color w:val="0563C1" w:themeColor="hyperlink"/>
            <w:sz w:val="24"/>
            <w:szCs w:val="24"/>
            <w:u w:val="single"/>
          </w:rPr>
          <w:t>SOA guidance</w:t>
        </w:r>
      </w:hyperlink>
      <w:r w:rsidRPr="00410F1A">
        <w:rPr>
          <w:rFonts w:ascii="Times New Roman" w:hAnsi="Times New Roman" w:cs="Times New Roman"/>
          <w:sz w:val="24"/>
          <w:szCs w:val="24"/>
        </w:rPr>
        <w:t xml:space="preserve"> and </w:t>
      </w:r>
      <w:hyperlink r:id="rId17" w:history="1">
        <w:r w:rsidRPr="00410F1A">
          <w:rPr>
            <w:rFonts w:ascii="Times New Roman" w:hAnsi="Times New Roman" w:cs="Times New Roman"/>
            <w:b/>
            <w:bCs/>
            <w:color w:val="0563C1" w:themeColor="hyperlink"/>
            <w:sz w:val="24"/>
            <w:szCs w:val="24"/>
            <w:u w:val="single"/>
          </w:rPr>
          <w:t>SOA evidence-based program examples</w:t>
        </w:r>
      </w:hyperlink>
      <w:r w:rsidRPr="00410F1A">
        <w:rPr>
          <w:rFonts w:ascii="Times New Roman" w:hAnsi="Times New Roman" w:cs="Times New Roman"/>
          <w:b/>
          <w:bCs/>
          <w:sz w:val="24"/>
          <w:szCs w:val="24"/>
        </w:rPr>
        <w:t xml:space="preserve"> </w:t>
      </w:r>
      <w:r w:rsidRPr="00410F1A">
        <w:rPr>
          <w:rFonts w:ascii="Times New Roman" w:hAnsi="Times New Roman" w:cs="Times New Roman"/>
          <w:i/>
          <w:iCs/>
          <w:sz w:val="24"/>
          <w:szCs w:val="24"/>
        </w:rPr>
        <w:t>(download)</w:t>
      </w:r>
      <w:r w:rsidRPr="00410F1A">
        <w:rPr>
          <w:rFonts w:ascii="Times New Roman" w:hAnsi="Times New Roman" w:cs="Times New Roman"/>
          <w:sz w:val="24"/>
          <w:szCs w:val="24"/>
        </w:rPr>
        <w:t xml:space="preserve"> released to support districts in developing their SOA plans prior to the pandemic. The SOA planning process required that all districts implement evidence-based strategies for addressing disparities among student subgroups including </w:t>
      </w:r>
      <w:proofErr w:type="gramStart"/>
      <w:r w:rsidRPr="00410F1A">
        <w:rPr>
          <w:rFonts w:ascii="Times New Roman" w:hAnsi="Times New Roman" w:cs="Times New Roman"/>
          <w:sz w:val="24"/>
          <w:szCs w:val="24"/>
        </w:rPr>
        <w:t>economically disadvantaged</w:t>
      </w:r>
      <w:proofErr w:type="gramEnd"/>
      <w:r w:rsidRPr="00410F1A">
        <w:rPr>
          <w:rFonts w:ascii="Times New Roman" w:hAnsi="Times New Roman" w:cs="Times New Roman"/>
          <w:sz w:val="24"/>
          <w:szCs w:val="24"/>
        </w:rPr>
        <w:t xml:space="preserve"> students, students of color, English learners, and students with disabilities. While in many cases local SOA planning processes were disrupted by the pandemic, districts should revisit their original plans and consider other evidence-based practices from the SOA list to support students in the months and years to come. </w:t>
      </w:r>
    </w:p>
    <w:p w14:paraId="6990C0AA" w14:textId="174EC744" w:rsidR="00B30D94" w:rsidRPr="00410F1A" w:rsidRDefault="004C0EC4" w:rsidP="004C0EC4">
      <w:pPr>
        <w:rPr>
          <w:rFonts w:ascii="Times New Roman" w:hAnsi="Times New Roman" w:cs="Times New Roman"/>
          <w:sz w:val="24"/>
          <w:szCs w:val="24"/>
        </w:rPr>
      </w:pPr>
      <w:r w:rsidRPr="00410F1A">
        <w:rPr>
          <w:rFonts w:ascii="Times New Roman" w:hAnsi="Times New Roman" w:cs="Times New Roman"/>
          <w:sz w:val="24"/>
          <w:szCs w:val="24"/>
        </w:rPr>
        <w:t xml:space="preserve">Finally, the recent </w:t>
      </w:r>
      <w:hyperlink r:id="rId18" w:history="1">
        <w:r w:rsidRPr="00410F1A">
          <w:rPr>
            <w:rFonts w:ascii="Times New Roman" w:hAnsi="Times New Roman" w:cs="Times New Roman"/>
            <w:b/>
            <w:bCs/>
            <w:color w:val="0563C1" w:themeColor="hyperlink"/>
            <w:sz w:val="24"/>
            <w:szCs w:val="24"/>
            <w:u w:val="single"/>
          </w:rPr>
          <w:t>ESSER III grant application</w:t>
        </w:r>
      </w:hyperlink>
      <w:r w:rsidRPr="00410F1A">
        <w:rPr>
          <w:rFonts w:ascii="Times New Roman" w:hAnsi="Times New Roman" w:cs="Times New Roman"/>
          <w:sz w:val="24"/>
          <w:szCs w:val="24"/>
        </w:rPr>
        <w:t xml:space="preserve"> specified additional evidence-based strategies for districts and schools to consider to further intensify support in the upcoming school year. These include expanded school day initiatives, evidence-based high-dosage tutoring programs, and additional targeted supports for English learners and students with disabilities. </w:t>
      </w:r>
    </w:p>
    <w:p w14:paraId="12DF518D" w14:textId="0074DB90" w:rsidR="00B30D94" w:rsidRPr="00410F1A" w:rsidRDefault="00AF1BC2" w:rsidP="00B30D94">
      <w:pPr>
        <w:spacing w:after="0"/>
        <w:rPr>
          <w:rFonts w:ascii="Times New Roman" w:hAnsi="Times New Roman" w:cs="Times New Roman"/>
          <w:b/>
          <w:bCs/>
          <w:sz w:val="24"/>
          <w:szCs w:val="24"/>
        </w:rPr>
      </w:pPr>
      <w:r w:rsidRPr="00410F1A">
        <w:rPr>
          <w:rFonts w:ascii="Times New Roman" w:hAnsi="Times New Roman" w:cs="Times New Roman"/>
          <w:b/>
          <w:bCs/>
          <w:sz w:val="24"/>
          <w:szCs w:val="24"/>
        </w:rPr>
        <w:lastRenderedPageBreak/>
        <w:t>We encourage districts to review a</w:t>
      </w:r>
      <w:r w:rsidR="00B30D94" w:rsidRPr="00410F1A">
        <w:rPr>
          <w:rFonts w:ascii="Times New Roman" w:hAnsi="Times New Roman" w:cs="Times New Roman"/>
          <w:b/>
          <w:bCs/>
          <w:sz w:val="24"/>
          <w:szCs w:val="24"/>
        </w:rPr>
        <w:t xml:space="preserve"> list of </w:t>
      </w:r>
      <w:r w:rsidRPr="00410F1A">
        <w:rPr>
          <w:rFonts w:ascii="Times New Roman" w:hAnsi="Times New Roman" w:cs="Times New Roman"/>
          <w:b/>
          <w:bCs/>
          <w:sz w:val="24"/>
          <w:szCs w:val="24"/>
        </w:rPr>
        <w:t>the</w:t>
      </w:r>
      <w:r w:rsidR="00B30D94" w:rsidRPr="00410F1A">
        <w:rPr>
          <w:rFonts w:ascii="Times New Roman" w:hAnsi="Times New Roman" w:cs="Times New Roman"/>
          <w:b/>
          <w:bCs/>
          <w:sz w:val="24"/>
          <w:szCs w:val="24"/>
        </w:rPr>
        <w:t xml:space="preserve"> evidence-based strategies</w:t>
      </w:r>
      <w:r w:rsidRPr="00410F1A">
        <w:rPr>
          <w:rFonts w:ascii="Times New Roman" w:hAnsi="Times New Roman" w:cs="Times New Roman"/>
          <w:b/>
          <w:bCs/>
          <w:sz w:val="24"/>
          <w:szCs w:val="24"/>
        </w:rPr>
        <w:t xml:space="preserve"> outlined in the</w:t>
      </w:r>
      <w:r w:rsidR="00B30D94" w:rsidRPr="00410F1A">
        <w:rPr>
          <w:rFonts w:ascii="Times New Roman" w:hAnsi="Times New Roman" w:cs="Times New Roman"/>
          <w:b/>
          <w:bCs/>
          <w:sz w:val="24"/>
          <w:szCs w:val="24"/>
        </w:rPr>
        <w:t xml:space="preserve"> ESSER III application and SOA guidance in the Appendix of this document. </w:t>
      </w:r>
    </w:p>
    <w:p w14:paraId="385E9758" w14:textId="1D9C6318" w:rsidR="00A468EB" w:rsidRPr="00410F1A" w:rsidRDefault="00A468EB" w:rsidP="00B30D94">
      <w:pPr>
        <w:spacing w:after="0"/>
        <w:rPr>
          <w:rFonts w:ascii="Times New Roman" w:hAnsi="Times New Roman" w:cs="Times New Roman"/>
          <w:sz w:val="24"/>
          <w:szCs w:val="24"/>
        </w:rPr>
      </w:pPr>
    </w:p>
    <w:p w14:paraId="567521BC" w14:textId="619B285D" w:rsidR="00353B6A" w:rsidRPr="00410F1A" w:rsidRDefault="00353B6A" w:rsidP="004A3C3D">
      <w:pPr>
        <w:pStyle w:val="Heading2"/>
      </w:pPr>
      <w:r w:rsidRPr="00410F1A">
        <w:t xml:space="preserve">Thoughtful planning </w:t>
      </w:r>
      <w:r w:rsidR="00AA65FF" w:rsidRPr="00410F1A">
        <w:t xml:space="preserve">should </w:t>
      </w:r>
      <w:r w:rsidR="00951B46" w:rsidRPr="00410F1A">
        <w:t>address</w:t>
      </w:r>
      <w:r w:rsidR="0013511C" w:rsidRPr="00410F1A">
        <w:t xml:space="preserve"> short, medium, and long-term actions</w:t>
      </w:r>
      <w:r w:rsidR="00F706DB" w:rsidRPr="00410F1A">
        <w:t xml:space="preserve"> and engage stakeholders throughout </w:t>
      </w:r>
    </w:p>
    <w:p w14:paraId="2B49A96A" w14:textId="77777777" w:rsidR="00B30D94" w:rsidRPr="00410F1A" w:rsidRDefault="00B30D94" w:rsidP="00B30D94">
      <w:pPr>
        <w:spacing w:after="0"/>
        <w:rPr>
          <w:rFonts w:ascii="Times New Roman" w:hAnsi="Times New Roman" w:cs="Times New Roman"/>
          <w:sz w:val="24"/>
          <w:szCs w:val="24"/>
        </w:rPr>
      </w:pPr>
    </w:p>
    <w:p w14:paraId="128A403A" w14:textId="1C991EA8" w:rsidR="00851F36" w:rsidRPr="00410F1A" w:rsidRDefault="002B43AD"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Districts and schools should be focused on matching </w:t>
      </w:r>
      <w:r w:rsidR="00AF1BC2" w:rsidRPr="00410F1A">
        <w:rPr>
          <w:rFonts w:ascii="Times New Roman" w:hAnsi="Times New Roman" w:cs="Times New Roman"/>
          <w:sz w:val="24"/>
          <w:szCs w:val="24"/>
        </w:rPr>
        <w:t>their</w:t>
      </w:r>
      <w:r w:rsidRPr="00410F1A">
        <w:rPr>
          <w:rFonts w:ascii="Times New Roman" w:hAnsi="Times New Roman" w:cs="Times New Roman"/>
          <w:sz w:val="24"/>
          <w:szCs w:val="24"/>
        </w:rPr>
        <w:t xml:space="preserve"> funding </w:t>
      </w:r>
      <w:r w:rsidR="00232721" w:rsidRPr="00410F1A">
        <w:rPr>
          <w:rFonts w:ascii="Times New Roman" w:hAnsi="Times New Roman" w:cs="Times New Roman"/>
          <w:sz w:val="24"/>
          <w:szCs w:val="24"/>
        </w:rPr>
        <w:t xml:space="preserve">to </w:t>
      </w:r>
      <w:r w:rsidR="0005297B" w:rsidRPr="00410F1A">
        <w:rPr>
          <w:rFonts w:ascii="Times New Roman" w:hAnsi="Times New Roman" w:cs="Times New Roman"/>
          <w:sz w:val="24"/>
          <w:szCs w:val="24"/>
        </w:rPr>
        <w:t>new or enhanced</w:t>
      </w:r>
      <w:r w:rsidR="00232721" w:rsidRPr="00410F1A">
        <w:rPr>
          <w:rFonts w:ascii="Times New Roman" w:hAnsi="Times New Roman" w:cs="Times New Roman"/>
          <w:sz w:val="24"/>
          <w:szCs w:val="24"/>
        </w:rPr>
        <w:t xml:space="preserve"> programmatic supports for students</w:t>
      </w:r>
      <w:r w:rsidR="00E11D64" w:rsidRPr="00410F1A">
        <w:rPr>
          <w:rFonts w:ascii="Times New Roman" w:hAnsi="Times New Roman" w:cs="Times New Roman"/>
          <w:sz w:val="24"/>
          <w:szCs w:val="24"/>
        </w:rPr>
        <w:t xml:space="preserve">, </w:t>
      </w:r>
      <w:r w:rsidR="00232721" w:rsidRPr="00410F1A">
        <w:rPr>
          <w:rFonts w:ascii="Times New Roman" w:hAnsi="Times New Roman" w:cs="Times New Roman"/>
          <w:sz w:val="24"/>
          <w:szCs w:val="24"/>
        </w:rPr>
        <w:t xml:space="preserve">with an eye towards sustainability of key programs over time. </w:t>
      </w:r>
      <w:r w:rsidR="009D68AD" w:rsidRPr="00410F1A">
        <w:rPr>
          <w:rFonts w:ascii="Times New Roman" w:hAnsi="Times New Roman" w:cs="Times New Roman"/>
          <w:sz w:val="24"/>
          <w:szCs w:val="24"/>
        </w:rPr>
        <w:t>The current funding climate is remarkable both due to the</w:t>
      </w:r>
      <w:r w:rsidR="003E148A" w:rsidRPr="00410F1A">
        <w:rPr>
          <w:rFonts w:ascii="Times New Roman" w:hAnsi="Times New Roman" w:cs="Times New Roman"/>
          <w:sz w:val="24"/>
          <w:szCs w:val="24"/>
        </w:rPr>
        <w:t xml:space="preserve"> </w:t>
      </w:r>
      <w:r w:rsidR="003E148A" w:rsidRPr="00410F1A">
        <w:rPr>
          <w:rFonts w:ascii="Times New Roman" w:hAnsi="Times New Roman" w:cs="Times New Roman"/>
          <w:i/>
          <w:iCs/>
          <w:sz w:val="24"/>
          <w:szCs w:val="24"/>
        </w:rPr>
        <w:t>magnitude of funding</w:t>
      </w:r>
      <w:r w:rsidR="003E148A" w:rsidRPr="00410F1A">
        <w:rPr>
          <w:rFonts w:ascii="Times New Roman" w:hAnsi="Times New Roman" w:cs="Times New Roman"/>
          <w:sz w:val="24"/>
          <w:szCs w:val="24"/>
        </w:rPr>
        <w:t xml:space="preserve"> </w:t>
      </w:r>
      <w:r w:rsidR="0005297B" w:rsidRPr="00410F1A">
        <w:rPr>
          <w:rFonts w:ascii="Times New Roman" w:hAnsi="Times New Roman" w:cs="Times New Roman"/>
          <w:sz w:val="24"/>
          <w:szCs w:val="24"/>
        </w:rPr>
        <w:t>becoming available</w:t>
      </w:r>
      <w:r w:rsidR="003E148A" w:rsidRPr="00410F1A">
        <w:rPr>
          <w:rFonts w:ascii="Times New Roman" w:hAnsi="Times New Roman" w:cs="Times New Roman"/>
          <w:sz w:val="24"/>
          <w:szCs w:val="24"/>
        </w:rPr>
        <w:t xml:space="preserve"> and the </w:t>
      </w:r>
      <w:r w:rsidR="003E148A" w:rsidRPr="00410F1A">
        <w:rPr>
          <w:rFonts w:ascii="Times New Roman" w:hAnsi="Times New Roman" w:cs="Times New Roman"/>
          <w:i/>
          <w:iCs/>
          <w:sz w:val="24"/>
          <w:szCs w:val="24"/>
        </w:rPr>
        <w:t>extended time horizons</w:t>
      </w:r>
      <w:r w:rsidR="003E148A" w:rsidRPr="00410F1A">
        <w:rPr>
          <w:rFonts w:ascii="Times New Roman" w:hAnsi="Times New Roman" w:cs="Times New Roman"/>
          <w:sz w:val="24"/>
          <w:szCs w:val="24"/>
        </w:rPr>
        <w:t xml:space="preserve"> for spending</w:t>
      </w:r>
      <w:r w:rsidR="009D68AD" w:rsidRPr="00410F1A">
        <w:rPr>
          <w:rFonts w:ascii="Times New Roman" w:hAnsi="Times New Roman" w:cs="Times New Roman"/>
          <w:sz w:val="24"/>
          <w:szCs w:val="24"/>
        </w:rPr>
        <w:t>. These two features</w:t>
      </w:r>
      <w:r w:rsidR="003E148A" w:rsidRPr="00410F1A">
        <w:rPr>
          <w:rFonts w:ascii="Times New Roman" w:hAnsi="Times New Roman" w:cs="Times New Roman"/>
          <w:sz w:val="24"/>
          <w:szCs w:val="24"/>
        </w:rPr>
        <w:t xml:space="preserve"> present a significant opportunity for districts to both address immediate</w:t>
      </w:r>
      <w:r w:rsidR="00E63BD8" w:rsidRPr="00410F1A">
        <w:rPr>
          <w:rFonts w:ascii="Times New Roman" w:hAnsi="Times New Roman" w:cs="Times New Roman"/>
          <w:sz w:val="24"/>
          <w:szCs w:val="24"/>
        </w:rPr>
        <w:t xml:space="preserve"> student</w:t>
      </w:r>
      <w:r w:rsidR="003E148A" w:rsidRPr="00410F1A">
        <w:rPr>
          <w:rFonts w:ascii="Times New Roman" w:hAnsi="Times New Roman" w:cs="Times New Roman"/>
          <w:sz w:val="24"/>
          <w:szCs w:val="24"/>
        </w:rPr>
        <w:t xml:space="preserve"> needs and create thoughtful, multi-year plans for effective use of one-time funds and recurring revenues.</w:t>
      </w:r>
      <w:r w:rsidR="006676E3" w:rsidRPr="00410F1A">
        <w:rPr>
          <w:rFonts w:ascii="Times New Roman" w:hAnsi="Times New Roman" w:cs="Times New Roman"/>
          <w:sz w:val="24"/>
          <w:szCs w:val="24"/>
        </w:rPr>
        <w:t xml:space="preserve"> </w:t>
      </w:r>
    </w:p>
    <w:p w14:paraId="2E40E2AD" w14:textId="77777777" w:rsidR="00B30D94" w:rsidRPr="00410F1A" w:rsidRDefault="00B30D94" w:rsidP="00B30D94">
      <w:pPr>
        <w:spacing w:after="0"/>
        <w:rPr>
          <w:rFonts w:ascii="Times New Roman" w:hAnsi="Times New Roman" w:cs="Times New Roman"/>
          <w:sz w:val="24"/>
          <w:szCs w:val="24"/>
        </w:rPr>
      </w:pPr>
    </w:p>
    <w:p w14:paraId="2ED404E6" w14:textId="43F522B2" w:rsidR="0082167C" w:rsidRPr="00410F1A" w:rsidRDefault="0082167C"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In collaboration with local stakeholders, including families, students, community-based organizations, </w:t>
      </w:r>
      <w:r w:rsidR="00D077EE" w:rsidRPr="00410F1A">
        <w:rPr>
          <w:rFonts w:ascii="Times New Roman" w:hAnsi="Times New Roman" w:cs="Times New Roman"/>
          <w:sz w:val="24"/>
          <w:szCs w:val="24"/>
        </w:rPr>
        <w:t xml:space="preserve">and </w:t>
      </w:r>
      <w:r w:rsidRPr="00410F1A">
        <w:rPr>
          <w:rFonts w:ascii="Times New Roman" w:hAnsi="Times New Roman" w:cs="Times New Roman"/>
          <w:sz w:val="24"/>
          <w:szCs w:val="24"/>
        </w:rPr>
        <w:t xml:space="preserve">non-profits, </w:t>
      </w:r>
      <w:r w:rsidR="00CD20B2" w:rsidRPr="00410F1A">
        <w:rPr>
          <w:rFonts w:ascii="Times New Roman" w:hAnsi="Times New Roman" w:cs="Times New Roman"/>
          <w:sz w:val="24"/>
          <w:szCs w:val="24"/>
        </w:rPr>
        <w:t xml:space="preserve">districts and school </w:t>
      </w:r>
      <w:r w:rsidR="00A608D4" w:rsidRPr="00410F1A">
        <w:rPr>
          <w:rFonts w:ascii="Times New Roman" w:hAnsi="Times New Roman" w:cs="Times New Roman"/>
          <w:sz w:val="24"/>
          <w:szCs w:val="24"/>
        </w:rPr>
        <w:t>should</w:t>
      </w:r>
      <w:r w:rsidR="00CD20B2" w:rsidRPr="00410F1A">
        <w:rPr>
          <w:rFonts w:ascii="Times New Roman" w:hAnsi="Times New Roman" w:cs="Times New Roman"/>
          <w:sz w:val="24"/>
          <w:szCs w:val="24"/>
        </w:rPr>
        <w:t xml:space="preserve"> </w:t>
      </w:r>
      <w:r w:rsidR="00A608D4" w:rsidRPr="00410F1A">
        <w:rPr>
          <w:rFonts w:ascii="Times New Roman" w:hAnsi="Times New Roman" w:cs="Times New Roman"/>
          <w:sz w:val="24"/>
          <w:szCs w:val="24"/>
        </w:rPr>
        <w:t xml:space="preserve">create plans to </w:t>
      </w:r>
      <w:r w:rsidR="00CD20B2" w:rsidRPr="00410F1A">
        <w:rPr>
          <w:rFonts w:ascii="Times New Roman" w:hAnsi="Times New Roman" w:cs="Times New Roman"/>
          <w:sz w:val="24"/>
          <w:szCs w:val="24"/>
        </w:rPr>
        <w:t xml:space="preserve">robustly address </w:t>
      </w:r>
      <w:r w:rsidR="0005297B" w:rsidRPr="00410F1A">
        <w:rPr>
          <w:rFonts w:ascii="Times New Roman" w:hAnsi="Times New Roman" w:cs="Times New Roman"/>
          <w:sz w:val="24"/>
          <w:szCs w:val="24"/>
        </w:rPr>
        <w:t xml:space="preserve">needs such as </w:t>
      </w:r>
      <w:r w:rsidR="00CD20B2" w:rsidRPr="00410F1A">
        <w:rPr>
          <w:rFonts w:ascii="Times New Roman" w:hAnsi="Times New Roman" w:cs="Times New Roman"/>
          <w:sz w:val="24"/>
          <w:szCs w:val="24"/>
        </w:rPr>
        <w:t xml:space="preserve">unfinished learning and </w:t>
      </w:r>
      <w:r w:rsidR="00AB1B3D" w:rsidRPr="00410F1A">
        <w:rPr>
          <w:rFonts w:ascii="Times New Roman" w:hAnsi="Times New Roman" w:cs="Times New Roman"/>
          <w:sz w:val="24"/>
          <w:szCs w:val="24"/>
        </w:rPr>
        <w:t>social-emotional supports</w:t>
      </w:r>
      <w:r w:rsidR="00D20A26" w:rsidRPr="00410F1A">
        <w:rPr>
          <w:rFonts w:ascii="Times New Roman" w:hAnsi="Times New Roman" w:cs="Times New Roman"/>
          <w:sz w:val="24"/>
          <w:szCs w:val="24"/>
        </w:rPr>
        <w:t xml:space="preserve"> across short, medium, and long-term horizons.</w:t>
      </w:r>
      <w:r w:rsidR="00D077EE" w:rsidRPr="00410F1A">
        <w:rPr>
          <w:rFonts w:ascii="Times New Roman" w:hAnsi="Times New Roman" w:cs="Times New Roman"/>
          <w:sz w:val="24"/>
          <w:szCs w:val="24"/>
        </w:rPr>
        <w:t xml:space="preserve"> </w:t>
      </w:r>
      <w:r w:rsidRPr="00410F1A">
        <w:rPr>
          <w:rFonts w:ascii="Times New Roman" w:hAnsi="Times New Roman" w:cs="Times New Roman"/>
          <w:sz w:val="24"/>
          <w:szCs w:val="24"/>
        </w:rPr>
        <w:t xml:space="preserve">This </w:t>
      </w:r>
      <w:r w:rsidR="00D20A26" w:rsidRPr="00410F1A">
        <w:rPr>
          <w:rFonts w:ascii="Times New Roman" w:hAnsi="Times New Roman" w:cs="Times New Roman"/>
          <w:sz w:val="24"/>
          <w:szCs w:val="24"/>
        </w:rPr>
        <w:t>includes</w:t>
      </w:r>
      <w:r w:rsidRPr="00410F1A">
        <w:rPr>
          <w:rFonts w:ascii="Times New Roman" w:hAnsi="Times New Roman" w:cs="Times New Roman"/>
          <w:sz w:val="24"/>
          <w:szCs w:val="24"/>
        </w:rPr>
        <w:t xml:space="preserve"> </w:t>
      </w:r>
      <w:r w:rsidR="00D20A26" w:rsidRPr="00410F1A">
        <w:rPr>
          <w:rFonts w:ascii="Times New Roman" w:hAnsi="Times New Roman" w:cs="Times New Roman"/>
          <w:sz w:val="24"/>
          <w:szCs w:val="24"/>
        </w:rPr>
        <w:t xml:space="preserve">immediate and ongoing </w:t>
      </w:r>
      <w:r w:rsidRPr="00410F1A">
        <w:rPr>
          <w:rFonts w:ascii="Times New Roman" w:hAnsi="Times New Roman" w:cs="Times New Roman"/>
          <w:sz w:val="24"/>
          <w:szCs w:val="24"/>
        </w:rPr>
        <w:t xml:space="preserve">outreach to students and families, robust summer program opportunities, </w:t>
      </w:r>
      <w:r w:rsidR="00E34C6A" w:rsidRPr="00410F1A">
        <w:rPr>
          <w:rFonts w:ascii="Times New Roman" w:hAnsi="Times New Roman" w:cs="Times New Roman"/>
          <w:sz w:val="24"/>
          <w:szCs w:val="24"/>
        </w:rPr>
        <w:t xml:space="preserve">in-depth analysis of data on student learning progress (including </w:t>
      </w:r>
      <w:r w:rsidR="006A2478" w:rsidRPr="00410F1A">
        <w:rPr>
          <w:rFonts w:ascii="Times New Roman" w:hAnsi="Times New Roman" w:cs="Times New Roman"/>
          <w:sz w:val="24"/>
          <w:szCs w:val="24"/>
        </w:rPr>
        <w:t>initial</w:t>
      </w:r>
      <w:r w:rsidR="00E34C6A" w:rsidRPr="00410F1A">
        <w:rPr>
          <w:rFonts w:ascii="Times New Roman" w:hAnsi="Times New Roman" w:cs="Times New Roman"/>
          <w:sz w:val="24"/>
          <w:szCs w:val="24"/>
        </w:rPr>
        <w:t xml:space="preserve"> MCAS results)</w:t>
      </w:r>
      <w:r w:rsidR="003463EC" w:rsidRPr="00410F1A">
        <w:rPr>
          <w:rFonts w:ascii="Times New Roman" w:hAnsi="Times New Roman" w:cs="Times New Roman"/>
          <w:sz w:val="24"/>
          <w:szCs w:val="24"/>
        </w:rPr>
        <w:t xml:space="preserve">, </w:t>
      </w:r>
      <w:r w:rsidRPr="00410F1A">
        <w:rPr>
          <w:rFonts w:ascii="Times New Roman" w:hAnsi="Times New Roman" w:cs="Times New Roman"/>
          <w:sz w:val="24"/>
          <w:szCs w:val="24"/>
        </w:rPr>
        <w:t xml:space="preserve">plans for next school year including both in-school and out-of-school time, and the thoughtful extension of key support initiatives to become a permanent feature of schooling post-pandemic.  </w:t>
      </w:r>
    </w:p>
    <w:p w14:paraId="0FBD0DFE" w14:textId="77777777" w:rsidR="00B30D94" w:rsidRPr="00410F1A" w:rsidRDefault="00B30D94" w:rsidP="00B30D94">
      <w:pPr>
        <w:spacing w:after="0"/>
        <w:rPr>
          <w:rFonts w:ascii="Times New Roman" w:hAnsi="Times New Roman" w:cs="Times New Roman"/>
          <w:sz w:val="24"/>
          <w:szCs w:val="24"/>
        </w:rPr>
      </w:pPr>
    </w:p>
    <w:p w14:paraId="47BE517D" w14:textId="0A44E2CA" w:rsidR="000B36B9" w:rsidRPr="00410F1A" w:rsidRDefault="000B36B9"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We encourage districts and schools </w:t>
      </w:r>
      <w:r w:rsidR="0013511C" w:rsidRPr="00410F1A">
        <w:rPr>
          <w:rFonts w:ascii="Times New Roman" w:hAnsi="Times New Roman" w:cs="Times New Roman"/>
          <w:sz w:val="24"/>
          <w:szCs w:val="24"/>
        </w:rPr>
        <w:t xml:space="preserve">to take the following </w:t>
      </w:r>
      <w:r w:rsidR="003B5603" w:rsidRPr="00410F1A">
        <w:rPr>
          <w:rFonts w:ascii="Times New Roman" w:hAnsi="Times New Roman" w:cs="Times New Roman"/>
          <w:sz w:val="24"/>
          <w:szCs w:val="24"/>
        </w:rPr>
        <w:t xml:space="preserve">actions </w:t>
      </w:r>
      <w:r w:rsidR="00226729" w:rsidRPr="00410F1A">
        <w:rPr>
          <w:rFonts w:ascii="Times New Roman" w:hAnsi="Times New Roman" w:cs="Times New Roman"/>
          <w:sz w:val="24"/>
          <w:szCs w:val="24"/>
        </w:rPr>
        <w:t>as part of an effective strategy for resource allocation and planning:</w:t>
      </w:r>
      <w:r w:rsidR="00183464" w:rsidRPr="00410F1A">
        <w:rPr>
          <w:rFonts w:ascii="Times New Roman" w:hAnsi="Times New Roman" w:cs="Times New Roman"/>
          <w:sz w:val="24"/>
          <w:szCs w:val="24"/>
        </w:rPr>
        <w:t xml:space="preserve"> </w:t>
      </w:r>
      <w:r w:rsidR="003B5603" w:rsidRPr="00410F1A">
        <w:rPr>
          <w:rFonts w:ascii="Times New Roman" w:hAnsi="Times New Roman" w:cs="Times New Roman"/>
          <w:sz w:val="24"/>
          <w:szCs w:val="24"/>
        </w:rPr>
        <w:t xml:space="preserve"> </w:t>
      </w:r>
      <w:r w:rsidR="0013511C" w:rsidRPr="00410F1A">
        <w:rPr>
          <w:rFonts w:ascii="Times New Roman" w:hAnsi="Times New Roman" w:cs="Times New Roman"/>
          <w:sz w:val="24"/>
          <w:szCs w:val="24"/>
        </w:rPr>
        <w:t xml:space="preserve"> </w:t>
      </w:r>
    </w:p>
    <w:p w14:paraId="2677E4B8" w14:textId="77777777" w:rsidR="00B30D94" w:rsidRPr="00410F1A" w:rsidRDefault="00B30D94" w:rsidP="00B30D94">
      <w:pPr>
        <w:spacing w:after="0"/>
        <w:rPr>
          <w:rFonts w:ascii="Times New Roman" w:hAnsi="Times New Roman" w:cs="Times New Roman"/>
          <w:sz w:val="24"/>
          <w:szCs w:val="24"/>
          <w:u w:val="single"/>
        </w:rPr>
      </w:pPr>
    </w:p>
    <w:p w14:paraId="1BB83242" w14:textId="62CE7C00" w:rsidR="008C7C74" w:rsidRPr="00410F1A" w:rsidRDefault="00FA104E" w:rsidP="00B30D94">
      <w:pPr>
        <w:spacing w:after="0"/>
        <w:rPr>
          <w:rFonts w:ascii="Times New Roman" w:hAnsi="Times New Roman" w:cs="Times New Roman"/>
          <w:b/>
          <w:bCs/>
          <w:color w:val="4472C4" w:themeColor="accent1"/>
          <w:sz w:val="24"/>
          <w:szCs w:val="24"/>
          <w:u w:val="single"/>
        </w:rPr>
      </w:pPr>
      <w:r w:rsidRPr="00410F1A">
        <w:rPr>
          <w:rFonts w:ascii="Times New Roman" w:hAnsi="Times New Roman" w:cs="Times New Roman"/>
          <w:b/>
          <w:bCs/>
          <w:color w:val="4472C4" w:themeColor="accent1"/>
          <w:sz w:val="24"/>
          <w:szCs w:val="24"/>
          <w:u w:val="single"/>
        </w:rPr>
        <w:t>Immediate /</w:t>
      </w:r>
      <w:r w:rsidR="00DF3478" w:rsidRPr="00410F1A">
        <w:rPr>
          <w:rFonts w:ascii="Times New Roman" w:hAnsi="Times New Roman" w:cs="Times New Roman"/>
          <w:b/>
          <w:bCs/>
          <w:color w:val="4472C4" w:themeColor="accent1"/>
          <w:sz w:val="24"/>
          <w:szCs w:val="24"/>
          <w:u w:val="single"/>
        </w:rPr>
        <w:t xml:space="preserve"> o</w:t>
      </w:r>
      <w:r w:rsidR="00CB5247" w:rsidRPr="00410F1A">
        <w:rPr>
          <w:rFonts w:ascii="Times New Roman" w:hAnsi="Times New Roman" w:cs="Times New Roman"/>
          <w:b/>
          <w:bCs/>
          <w:color w:val="4472C4" w:themeColor="accent1"/>
          <w:sz w:val="24"/>
          <w:szCs w:val="24"/>
          <w:u w:val="single"/>
        </w:rPr>
        <w:t>ngoing</w:t>
      </w:r>
      <w:r w:rsidR="008070DF" w:rsidRPr="00410F1A">
        <w:rPr>
          <w:rFonts w:ascii="Times New Roman" w:hAnsi="Times New Roman" w:cs="Times New Roman"/>
          <w:b/>
          <w:bCs/>
          <w:color w:val="4472C4" w:themeColor="accent1"/>
          <w:sz w:val="24"/>
          <w:szCs w:val="24"/>
          <w:u w:val="single"/>
        </w:rPr>
        <w:t xml:space="preserve">: </w:t>
      </w:r>
    </w:p>
    <w:p w14:paraId="1934B2E7" w14:textId="30E7903B" w:rsidR="00DD6E90" w:rsidRPr="00410F1A" w:rsidRDefault="001F15A1" w:rsidP="00B30D94">
      <w:pPr>
        <w:pStyle w:val="ListParagraph"/>
        <w:numPr>
          <w:ilvl w:val="0"/>
          <w:numId w:val="2"/>
        </w:numPr>
        <w:spacing w:after="0"/>
        <w:rPr>
          <w:rFonts w:ascii="Times New Roman" w:hAnsi="Times New Roman" w:cs="Times New Roman"/>
          <w:sz w:val="24"/>
          <w:szCs w:val="24"/>
        </w:rPr>
      </w:pPr>
      <w:r w:rsidRPr="00410F1A">
        <w:rPr>
          <w:rFonts w:ascii="Times New Roman" w:hAnsi="Times New Roman" w:cs="Times New Roman"/>
          <w:b/>
          <w:bCs/>
          <w:sz w:val="24"/>
          <w:szCs w:val="24"/>
        </w:rPr>
        <w:t>Establish</w:t>
      </w:r>
      <w:r w:rsidR="00407C57" w:rsidRPr="00410F1A">
        <w:rPr>
          <w:rFonts w:ascii="Times New Roman" w:hAnsi="Times New Roman" w:cs="Times New Roman"/>
          <w:b/>
          <w:bCs/>
          <w:sz w:val="24"/>
          <w:szCs w:val="24"/>
        </w:rPr>
        <w:t xml:space="preserve"> routine touchpoints and informal communication channels </w:t>
      </w:r>
      <w:r w:rsidR="00AF1BC2" w:rsidRPr="00410F1A">
        <w:rPr>
          <w:rFonts w:ascii="Times New Roman" w:hAnsi="Times New Roman" w:cs="Times New Roman"/>
          <w:b/>
          <w:bCs/>
          <w:sz w:val="24"/>
          <w:szCs w:val="24"/>
        </w:rPr>
        <w:t xml:space="preserve">for two-way engagement </w:t>
      </w:r>
      <w:r w:rsidR="00407C57" w:rsidRPr="00410F1A">
        <w:rPr>
          <w:rFonts w:ascii="Times New Roman" w:hAnsi="Times New Roman" w:cs="Times New Roman"/>
          <w:b/>
          <w:bCs/>
          <w:sz w:val="24"/>
          <w:szCs w:val="24"/>
        </w:rPr>
        <w:t xml:space="preserve">with stakeholders, if not already </w:t>
      </w:r>
      <w:r w:rsidRPr="00410F1A">
        <w:rPr>
          <w:rFonts w:ascii="Times New Roman" w:hAnsi="Times New Roman" w:cs="Times New Roman"/>
          <w:b/>
          <w:bCs/>
          <w:sz w:val="24"/>
          <w:szCs w:val="24"/>
        </w:rPr>
        <w:t>in place</w:t>
      </w:r>
      <w:r w:rsidR="007A3EF5" w:rsidRPr="00410F1A">
        <w:rPr>
          <w:rFonts w:ascii="Times New Roman" w:hAnsi="Times New Roman" w:cs="Times New Roman"/>
          <w:b/>
          <w:bCs/>
          <w:sz w:val="24"/>
          <w:szCs w:val="24"/>
        </w:rPr>
        <w:t xml:space="preserve">, regarding </w:t>
      </w:r>
      <w:r w:rsidR="00AF1BC2" w:rsidRPr="00410F1A">
        <w:rPr>
          <w:rFonts w:ascii="Times New Roman" w:hAnsi="Times New Roman" w:cs="Times New Roman"/>
          <w:b/>
          <w:bCs/>
          <w:sz w:val="24"/>
          <w:szCs w:val="24"/>
        </w:rPr>
        <w:t>student needs and possible</w:t>
      </w:r>
      <w:r w:rsidR="00C87A06" w:rsidRPr="00410F1A">
        <w:rPr>
          <w:rFonts w:ascii="Times New Roman" w:hAnsi="Times New Roman" w:cs="Times New Roman"/>
          <w:b/>
          <w:bCs/>
          <w:sz w:val="24"/>
          <w:szCs w:val="24"/>
        </w:rPr>
        <w:t xml:space="preserve"> supports</w:t>
      </w:r>
      <w:r w:rsidR="00407C57" w:rsidRPr="00410F1A">
        <w:rPr>
          <w:rFonts w:ascii="Times New Roman" w:hAnsi="Times New Roman" w:cs="Times New Roman"/>
          <w:sz w:val="24"/>
          <w:szCs w:val="24"/>
        </w:rPr>
        <w:t xml:space="preserve">. </w:t>
      </w:r>
      <w:r w:rsidR="003D2B58" w:rsidRPr="00410F1A">
        <w:rPr>
          <w:rFonts w:ascii="Times New Roman" w:hAnsi="Times New Roman" w:cs="Times New Roman"/>
          <w:sz w:val="24"/>
          <w:szCs w:val="24"/>
        </w:rPr>
        <w:t xml:space="preserve">This should include </w:t>
      </w:r>
      <w:r w:rsidR="004449B6" w:rsidRPr="00410F1A">
        <w:rPr>
          <w:rFonts w:ascii="Times New Roman" w:hAnsi="Times New Roman" w:cs="Times New Roman"/>
          <w:sz w:val="24"/>
          <w:szCs w:val="24"/>
        </w:rPr>
        <w:t xml:space="preserve">families, </w:t>
      </w:r>
      <w:r w:rsidR="003D2B58" w:rsidRPr="00410F1A">
        <w:rPr>
          <w:rFonts w:ascii="Times New Roman" w:hAnsi="Times New Roman" w:cs="Times New Roman"/>
          <w:sz w:val="24"/>
          <w:szCs w:val="24"/>
        </w:rPr>
        <w:t xml:space="preserve">school committee and budget subcommittees, </w:t>
      </w:r>
      <w:r w:rsidR="004449B6" w:rsidRPr="00410F1A">
        <w:rPr>
          <w:rFonts w:ascii="Times New Roman" w:hAnsi="Times New Roman" w:cs="Times New Roman"/>
          <w:sz w:val="24"/>
          <w:szCs w:val="24"/>
        </w:rPr>
        <w:t xml:space="preserve">municipal officials, </w:t>
      </w:r>
      <w:r w:rsidR="003D2B58" w:rsidRPr="00410F1A">
        <w:rPr>
          <w:rFonts w:ascii="Times New Roman" w:hAnsi="Times New Roman" w:cs="Times New Roman"/>
          <w:sz w:val="24"/>
          <w:szCs w:val="24"/>
        </w:rPr>
        <w:t xml:space="preserve">community-based organizations, </w:t>
      </w:r>
      <w:r w:rsidR="004449B6" w:rsidRPr="00410F1A">
        <w:rPr>
          <w:rFonts w:ascii="Times New Roman" w:hAnsi="Times New Roman" w:cs="Times New Roman"/>
          <w:sz w:val="24"/>
          <w:szCs w:val="24"/>
        </w:rPr>
        <w:t xml:space="preserve">teachers unions, and other key stakeholders. </w:t>
      </w:r>
      <w:r w:rsidR="009B483A" w:rsidRPr="00410F1A">
        <w:rPr>
          <w:rFonts w:ascii="Times New Roman" w:hAnsi="Times New Roman" w:cs="Times New Roman"/>
          <w:sz w:val="24"/>
          <w:szCs w:val="24"/>
        </w:rPr>
        <w:t>Given the magnitude of funds available</w:t>
      </w:r>
      <w:r w:rsidR="004449B6" w:rsidRPr="00410F1A">
        <w:rPr>
          <w:rFonts w:ascii="Times New Roman" w:hAnsi="Times New Roman" w:cs="Times New Roman"/>
          <w:sz w:val="24"/>
          <w:szCs w:val="24"/>
        </w:rPr>
        <w:t xml:space="preserve"> and potential for impact</w:t>
      </w:r>
      <w:r w:rsidR="009B483A" w:rsidRPr="00410F1A">
        <w:rPr>
          <w:rFonts w:ascii="Times New Roman" w:hAnsi="Times New Roman" w:cs="Times New Roman"/>
          <w:sz w:val="24"/>
          <w:szCs w:val="24"/>
        </w:rPr>
        <w:t xml:space="preserve">, consultation should not be </w:t>
      </w:r>
      <w:r w:rsidR="00DD6E90" w:rsidRPr="00410F1A">
        <w:rPr>
          <w:rFonts w:ascii="Times New Roman" w:hAnsi="Times New Roman" w:cs="Times New Roman"/>
          <w:sz w:val="24"/>
          <w:szCs w:val="24"/>
        </w:rPr>
        <w:t xml:space="preserve">one-time, but should be ongoing. </w:t>
      </w:r>
      <w:r w:rsidR="0005297B" w:rsidRPr="00410F1A">
        <w:rPr>
          <w:rFonts w:ascii="Times New Roman" w:hAnsi="Times New Roman" w:cs="Times New Roman"/>
          <w:sz w:val="24"/>
          <w:szCs w:val="24"/>
        </w:rPr>
        <w:t xml:space="preserve">Note that stakeholder engagement is also a requirement as part of ESSER III planning. </w:t>
      </w:r>
    </w:p>
    <w:p w14:paraId="734E96BB" w14:textId="58C8005F" w:rsidR="003C300C" w:rsidRPr="00410F1A" w:rsidRDefault="003C300C" w:rsidP="00B30D94">
      <w:pPr>
        <w:pStyle w:val="ListParagraph"/>
        <w:numPr>
          <w:ilvl w:val="1"/>
          <w:numId w:val="2"/>
        </w:numPr>
        <w:spacing w:after="0"/>
        <w:rPr>
          <w:rFonts w:ascii="Times New Roman" w:hAnsi="Times New Roman" w:cs="Times New Roman"/>
          <w:sz w:val="24"/>
          <w:szCs w:val="24"/>
        </w:rPr>
      </w:pPr>
      <w:r w:rsidRPr="00410F1A">
        <w:rPr>
          <w:rFonts w:ascii="Times New Roman" w:hAnsi="Times New Roman" w:cs="Times New Roman"/>
          <w:sz w:val="24"/>
          <w:szCs w:val="24"/>
        </w:rPr>
        <w:t>Stakeholder discussions should include consideration of the immediate and longer-term needs coming out of the pandemic, strategies to address those needs, and how districts will account for spending and monitor impact towards goals.</w:t>
      </w:r>
    </w:p>
    <w:p w14:paraId="0BC31C59" w14:textId="27767A2C" w:rsidR="00B30D94" w:rsidRPr="00410F1A" w:rsidRDefault="00B30D94" w:rsidP="00B30D94">
      <w:pPr>
        <w:pStyle w:val="ListParagraph"/>
        <w:numPr>
          <w:ilvl w:val="1"/>
          <w:numId w:val="2"/>
        </w:numPr>
        <w:spacing w:after="0"/>
        <w:rPr>
          <w:rFonts w:ascii="Times New Roman" w:hAnsi="Times New Roman" w:cs="Times New Roman"/>
          <w:sz w:val="24"/>
          <w:szCs w:val="24"/>
        </w:rPr>
      </w:pPr>
      <w:r w:rsidRPr="00410F1A">
        <w:rPr>
          <w:rFonts w:ascii="Times New Roman" w:hAnsi="Times New Roman" w:cs="Times New Roman"/>
          <w:sz w:val="24"/>
          <w:szCs w:val="24"/>
        </w:rPr>
        <w:t xml:space="preserve">Family engagement </w:t>
      </w:r>
      <w:r w:rsidR="00AF1BC2" w:rsidRPr="00410F1A">
        <w:rPr>
          <w:rFonts w:ascii="Times New Roman" w:hAnsi="Times New Roman" w:cs="Times New Roman"/>
          <w:sz w:val="24"/>
          <w:szCs w:val="24"/>
        </w:rPr>
        <w:t xml:space="preserve">in particular </w:t>
      </w:r>
      <w:r w:rsidRPr="00410F1A">
        <w:rPr>
          <w:rFonts w:ascii="Times New Roman" w:hAnsi="Times New Roman" w:cs="Times New Roman"/>
          <w:sz w:val="24"/>
          <w:szCs w:val="24"/>
        </w:rPr>
        <w:t xml:space="preserve">should prioritize two-way communication, with translation and interpretation services available. </w:t>
      </w:r>
    </w:p>
    <w:p w14:paraId="43BE275F" w14:textId="4C23DEDF" w:rsidR="00626CC7" w:rsidRPr="00410F1A" w:rsidRDefault="00626CC7" w:rsidP="00B30D94">
      <w:pPr>
        <w:pStyle w:val="ListParagraph"/>
        <w:numPr>
          <w:ilvl w:val="0"/>
          <w:numId w:val="2"/>
        </w:numPr>
        <w:spacing w:after="0"/>
        <w:rPr>
          <w:rFonts w:ascii="Times New Roman" w:hAnsi="Times New Roman" w:cs="Times New Roman"/>
          <w:sz w:val="24"/>
          <w:szCs w:val="24"/>
        </w:rPr>
      </w:pPr>
      <w:r w:rsidRPr="00410F1A">
        <w:rPr>
          <w:rFonts w:ascii="Times New Roman" w:hAnsi="Times New Roman" w:cs="Times New Roman"/>
          <w:b/>
          <w:bCs/>
          <w:sz w:val="24"/>
          <w:szCs w:val="24"/>
        </w:rPr>
        <w:t>Directly engage families</w:t>
      </w:r>
      <w:r w:rsidR="003463EC" w:rsidRPr="00410F1A">
        <w:rPr>
          <w:rFonts w:ascii="Times New Roman" w:hAnsi="Times New Roman" w:cs="Times New Roman"/>
          <w:b/>
          <w:bCs/>
          <w:sz w:val="24"/>
          <w:szCs w:val="24"/>
        </w:rPr>
        <w:t xml:space="preserve">, </w:t>
      </w:r>
      <w:r w:rsidRPr="00410F1A">
        <w:rPr>
          <w:rFonts w:ascii="Times New Roman" w:hAnsi="Times New Roman" w:cs="Times New Roman"/>
          <w:b/>
          <w:bCs/>
          <w:sz w:val="24"/>
          <w:szCs w:val="24"/>
        </w:rPr>
        <w:t>students</w:t>
      </w:r>
      <w:r w:rsidR="00F4206A" w:rsidRPr="00410F1A">
        <w:rPr>
          <w:rFonts w:ascii="Times New Roman" w:hAnsi="Times New Roman" w:cs="Times New Roman"/>
          <w:b/>
          <w:bCs/>
          <w:sz w:val="24"/>
          <w:szCs w:val="24"/>
        </w:rPr>
        <w:t>, and communities</w:t>
      </w:r>
      <w:r w:rsidRPr="00410F1A">
        <w:rPr>
          <w:rFonts w:ascii="Times New Roman" w:hAnsi="Times New Roman" w:cs="Times New Roman"/>
          <w:b/>
          <w:bCs/>
          <w:sz w:val="24"/>
          <w:szCs w:val="24"/>
        </w:rPr>
        <w:t xml:space="preserve"> who have been most disconnected</w:t>
      </w:r>
      <w:r w:rsidR="00FD7851" w:rsidRPr="00410F1A">
        <w:rPr>
          <w:rFonts w:ascii="Times New Roman" w:hAnsi="Times New Roman" w:cs="Times New Roman"/>
          <w:b/>
          <w:bCs/>
          <w:sz w:val="24"/>
          <w:szCs w:val="24"/>
        </w:rPr>
        <w:t xml:space="preserve"> or disengaged</w:t>
      </w:r>
      <w:r w:rsidRPr="00410F1A">
        <w:rPr>
          <w:rFonts w:ascii="Times New Roman" w:hAnsi="Times New Roman" w:cs="Times New Roman"/>
          <w:b/>
          <w:bCs/>
          <w:sz w:val="24"/>
          <w:szCs w:val="24"/>
        </w:rPr>
        <w:t xml:space="preserve"> from school this year</w:t>
      </w:r>
      <w:r w:rsidR="006129E9" w:rsidRPr="00410F1A">
        <w:rPr>
          <w:rFonts w:ascii="Times New Roman" w:hAnsi="Times New Roman" w:cs="Times New Roman"/>
          <w:b/>
          <w:bCs/>
          <w:sz w:val="24"/>
          <w:szCs w:val="24"/>
        </w:rPr>
        <w:t>.</w:t>
      </w:r>
      <w:r w:rsidR="006129E9" w:rsidRPr="00410F1A">
        <w:rPr>
          <w:rFonts w:ascii="Times New Roman" w:hAnsi="Times New Roman" w:cs="Times New Roman"/>
          <w:sz w:val="24"/>
          <w:szCs w:val="24"/>
        </w:rPr>
        <w:t xml:space="preserve"> Understand their specific challenges coming out of the school year,</w:t>
      </w:r>
      <w:r w:rsidR="00027B14" w:rsidRPr="00410F1A">
        <w:rPr>
          <w:rFonts w:ascii="Times New Roman" w:hAnsi="Times New Roman" w:cs="Times New Roman"/>
          <w:sz w:val="24"/>
          <w:szCs w:val="24"/>
        </w:rPr>
        <w:t xml:space="preserve"> encourage participation in summer programming</w:t>
      </w:r>
      <w:r w:rsidR="006129E9" w:rsidRPr="00410F1A">
        <w:rPr>
          <w:rFonts w:ascii="Times New Roman" w:hAnsi="Times New Roman" w:cs="Times New Roman"/>
          <w:sz w:val="24"/>
          <w:szCs w:val="24"/>
        </w:rPr>
        <w:t xml:space="preserve">, </w:t>
      </w:r>
      <w:r w:rsidR="00F4206A" w:rsidRPr="00410F1A">
        <w:rPr>
          <w:rFonts w:ascii="Times New Roman" w:hAnsi="Times New Roman" w:cs="Times New Roman"/>
          <w:sz w:val="24"/>
          <w:szCs w:val="24"/>
        </w:rPr>
        <w:t>schedule and provide accessible compensatory special education services</w:t>
      </w:r>
      <w:r w:rsidR="00E71F50" w:rsidRPr="00410F1A">
        <w:rPr>
          <w:rFonts w:ascii="Times New Roman" w:hAnsi="Times New Roman" w:cs="Times New Roman"/>
          <w:sz w:val="24"/>
          <w:szCs w:val="24"/>
        </w:rPr>
        <w:t xml:space="preserve"> as necessary</w:t>
      </w:r>
      <w:r w:rsidR="00F4206A" w:rsidRPr="00410F1A">
        <w:rPr>
          <w:rFonts w:ascii="Times New Roman" w:hAnsi="Times New Roman" w:cs="Times New Roman"/>
          <w:sz w:val="24"/>
          <w:szCs w:val="24"/>
        </w:rPr>
        <w:t xml:space="preserve">, </w:t>
      </w:r>
      <w:r w:rsidR="006129E9" w:rsidRPr="00410F1A">
        <w:rPr>
          <w:rFonts w:ascii="Times New Roman" w:hAnsi="Times New Roman" w:cs="Times New Roman"/>
          <w:sz w:val="24"/>
          <w:szCs w:val="24"/>
        </w:rPr>
        <w:t xml:space="preserve">and </w:t>
      </w:r>
      <w:r w:rsidR="0093032C" w:rsidRPr="00410F1A">
        <w:rPr>
          <w:rFonts w:ascii="Times New Roman" w:hAnsi="Times New Roman" w:cs="Times New Roman"/>
          <w:sz w:val="24"/>
          <w:szCs w:val="24"/>
        </w:rPr>
        <w:t xml:space="preserve">begin working towards </w:t>
      </w:r>
      <w:r w:rsidR="0093032C" w:rsidRPr="00410F1A">
        <w:rPr>
          <w:rFonts w:ascii="Times New Roman" w:hAnsi="Times New Roman" w:cs="Times New Roman"/>
          <w:sz w:val="24"/>
          <w:szCs w:val="24"/>
        </w:rPr>
        <w:lastRenderedPageBreak/>
        <w:t xml:space="preserve">a successful fall re-entry, especially for students who have opted to </w:t>
      </w:r>
      <w:r w:rsidR="0005297B" w:rsidRPr="00410F1A">
        <w:rPr>
          <w:rFonts w:ascii="Times New Roman" w:hAnsi="Times New Roman" w:cs="Times New Roman"/>
          <w:sz w:val="24"/>
          <w:szCs w:val="24"/>
        </w:rPr>
        <w:t>remain learning remotely</w:t>
      </w:r>
      <w:r w:rsidR="0093032C" w:rsidRPr="00410F1A">
        <w:rPr>
          <w:rFonts w:ascii="Times New Roman" w:hAnsi="Times New Roman" w:cs="Times New Roman"/>
          <w:sz w:val="24"/>
          <w:szCs w:val="24"/>
        </w:rPr>
        <w:t xml:space="preserve"> for the full </w:t>
      </w:r>
      <w:r w:rsidR="0005297B" w:rsidRPr="00410F1A">
        <w:rPr>
          <w:rFonts w:ascii="Times New Roman" w:hAnsi="Times New Roman" w:cs="Times New Roman"/>
          <w:sz w:val="24"/>
          <w:szCs w:val="24"/>
        </w:rPr>
        <w:t xml:space="preserve">2020-21 </w:t>
      </w:r>
      <w:r w:rsidR="0093032C" w:rsidRPr="00410F1A">
        <w:rPr>
          <w:rFonts w:ascii="Times New Roman" w:hAnsi="Times New Roman" w:cs="Times New Roman"/>
          <w:sz w:val="24"/>
          <w:szCs w:val="24"/>
        </w:rPr>
        <w:t>school year</w:t>
      </w:r>
      <w:r w:rsidR="006E5A56" w:rsidRPr="00410F1A">
        <w:rPr>
          <w:rFonts w:ascii="Times New Roman" w:hAnsi="Times New Roman" w:cs="Times New Roman"/>
          <w:sz w:val="24"/>
          <w:szCs w:val="24"/>
        </w:rPr>
        <w:t xml:space="preserve">. </w:t>
      </w:r>
    </w:p>
    <w:p w14:paraId="110D074F" w14:textId="69A9B096" w:rsidR="001F15A1" w:rsidRPr="00410F1A" w:rsidRDefault="001F15A1" w:rsidP="00B30D94">
      <w:pPr>
        <w:pStyle w:val="ListParagraph"/>
        <w:numPr>
          <w:ilvl w:val="0"/>
          <w:numId w:val="2"/>
        </w:numPr>
        <w:spacing w:after="0"/>
        <w:rPr>
          <w:rFonts w:ascii="Times New Roman" w:hAnsi="Times New Roman" w:cs="Times New Roman"/>
          <w:sz w:val="24"/>
          <w:szCs w:val="24"/>
        </w:rPr>
      </w:pPr>
      <w:r w:rsidRPr="00410F1A">
        <w:rPr>
          <w:rFonts w:ascii="Times New Roman" w:hAnsi="Times New Roman" w:cs="Times New Roman"/>
          <w:b/>
          <w:bCs/>
          <w:sz w:val="24"/>
          <w:szCs w:val="24"/>
        </w:rPr>
        <w:t>Create a high-level multi-year revenue projection of all funds, including recurring and one-time revenues.</w:t>
      </w:r>
      <w:r w:rsidRPr="00410F1A">
        <w:rPr>
          <w:rFonts w:ascii="Times New Roman" w:hAnsi="Times New Roman" w:cs="Times New Roman"/>
          <w:sz w:val="24"/>
          <w:szCs w:val="24"/>
        </w:rPr>
        <w:t xml:space="preserve"> Consider multiple scenarios of how to allocate one-time ESSER funding across these years, </w:t>
      </w:r>
      <w:r w:rsidR="00A45644" w:rsidRPr="00410F1A">
        <w:rPr>
          <w:rFonts w:ascii="Times New Roman" w:hAnsi="Times New Roman" w:cs="Times New Roman"/>
          <w:sz w:val="24"/>
          <w:szCs w:val="24"/>
        </w:rPr>
        <w:t xml:space="preserve">while </w:t>
      </w:r>
      <w:r w:rsidR="00530145" w:rsidRPr="00410F1A">
        <w:rPr>
          <w:rFonts w:ascii="Times New Roman" w:hAnsi="Times New Roman" w:cs="Times New Roman"/>
          <w:sz w:val="24"/>
          <w:szCs w:val="24"/>
        </w:rPr>
        <w:t>prioritizing</w:t>
      </w:r>
      <w:r w:rsidRPr="00410F1A">
        <w:rPr>
          <w:rFonts w:ascii="Times New Roman" w:hAnsi="Times New Roman" w:cs="Times New Roman"/>
          <w:sz w:val="24"/>
          <w:szCs w:val="24"/>
        </w:rPr>
        <w:t xml:space="preserve"> funding to </w:t>
      </w:r>
      <w:r w:rsidR="00F4206A" w:rsidRPr="00410F1A">
        <w:rPr>
          <w:rFonts w:ascii="Times New Roman" w:hAnsi="Times New Roman" w:cs="Times New Roman"/>
          <w:sz w:val="24"/>
          <w:szCs w:val="24"/>
        </w:rPr>
        <w:t xml:space="preserve">pro-actively and intensively </w:t>
      </w:r>
      <w:r w:rsidRPr="00410F1A">
        <w:rPr>
          <w:rFonts w:ascii="Times New Roman" w:hAnsi="Times New Roman" w:cs="Times New Roman"/>
          <w:sz w:val="24"/>
          <w:szCs w:val="24"/>
        </w:rPr>
        <w:t>support immediate needs</w:t>
      </w:r>
      <w:r w:rsidR="00530145" w:rsidRPr="00410F1A">
        <w:rPr>
          <w:rFonts w:ascii="Times New Roman" w:hAnsi="Times New Roman" w:cs="Times New Roman"/>
          <w:sz w:val="24"/>
          <w:szCs w:val="24"/>
        </w:rPr>
        <w:t xml:space="preserve"> of students whose learning</w:t>
      </w:r>
      <w:r w:rsidR="00F4206A" w:rsidRPr="00410F1A">
        <w:rPr>
          <w:rFonts w:ascii="Times New Roman" w:hAnsi="Times New Roman" w:cs="Times New Roman"/>
          <w:sz w:val="24"/>
          <w:szCs w:val="24"/>
        </w:rPr>
        <w:t>,</w:t>
      </w:r>
      <w:r w:rsidR="00530145" w:rsidRPr="00410F1A">
        <w:rPr>
          <w:rFonts w:ascii="Times New Roman" w:hAnsi="Times New Roman" w:cs="Times New Roman"/>
          <w:sz w:val="24"/>
          <w:szCs w:val="24"/>
        </w:rPr>
        <w:t xml:space="preserve"> development</w:t>
      </w:r>
      <w:r w:rsidR="00F4206A" w:rsidRPr="00410F1A">
        <w:rPr>
          <w:rFonts w:ascii="Times New Roman" w:hAnsi="Times New Roman" w:cs="Times New Roman"/>
          <w:sz w:val="24"/>
          <w:szCs w:val="24"/>
        </w:rPr>
        <w:t>, and health</w:t>
      </w:r>
      <w:r w:rsidR="00530145" w:rsidRPr="00410F1A">
        <w:rPr>
          <w:rFonts w:ascii="Times New Roman" w:hAnsi="Times New Roman" w:cs="Times New Roman"/>
          <w:sz w:val="24"/>
          <w:szCs w:val="24"/>
        </w:rPr>
        <w:t xml:space="preserve"> were most affected by COVID</w:t>
      </w:r>
      <w:r w:rsidRPr="00410F1A">
        <w:rPr>
          <w:rFonts w:ascii="Times New Roman" w:hAnsi="Times New Roman" w:cs="Times New Roman"/>
          <w:sz w:val="24"/>
          <w:szCs w:val="24"/>
        </w:rPr>
        <w:t xml:space="preserve"> (summer and </w:t>
      </w:r>
      <w:r w:rsidR="00C471E7" w:rsidRPr="00410F1A">
        <w:rPr>
          <w:rFonts w:ascii="Times New Roman" w:hAnsi="Times New Roman" w:cs="Times New Roman"/>
          <w:sz w:val="24"/>
          <w:szCs w:val="24"/>
        </w:rPr>
        <w:t xml:space="preserve">key initiatives for </w:t>
      </w:r>
      <w:r w:rsidRPr="00410F1A">
        <w:rPr>
          <w:rFonts w:ascii="Times New Roman" w:hAnsi="Times New Roman" w:cs="Times New Roman"/>
          <w:sz w:val="24"/>
          <w:szCs w:val="24"/>
        </w:rPr>
        <w:t>school year 21-22).</w:t>
      </w:r>
    </w:p>
    <w:p w14:paraId="52675A90" w14:textId="2DE8690C" w:rsidR="006129E9" w:rsidRPr="00410F1A" w:rsidRDefault="006129E9" w:rsidP="00B30D94">
      <w:pPr>
        <w:pStyle w:val="ListParagraph"/>
        <w:numPr>
          <w:ilvl w:val="0"/>
          <w:numId w:val="2"/>
        </w:numPr>
        <w:spacing w:after="0"/>
        <w:rPr>
          <w:rFonts w:ascii="Times New Roman" w:hAnsi="Times New Roman" w:cs="Times New Roman"/>
          <w:sz w:val="24"/>
          <w:szCs w:val="24"/>
        </w:rPr>
      </w:pPr>
      <w:r w:rsidRPr="00410F1A">
        <w:rPr>
          <w:rFonts w:ascii="Times New Roman" w:hAnsi="Times New Roman" w:cs="Times New Roman"/>
          <w:b/>
          <w:bCs/>
          <w:sz w:val="24"/>
          <w:szCs w:val="24"/>
        </w:rPr>
        <w:t xml:space="preserve">Finalize </w:t>
      </w:r>
      <w:r w:rsidR="0024309A" w:rsidRPr="00410F1A">
        <w:rPr>
          <w:rFonts w:ascii="Times New Roman" w:hAnsi="Times New Roman" w:cs="Times New Roman"/>
          <w:b/>
          <w:bCs/>
          <w:sz w:val="24"/>
          <w:szCs w:val="24"/>
        </w:rPr>
        <w:t xml:space="preserve">planning and budget for </w:t>
      </w:r>
      <w:r w:rsidRPr="00410F1A">
        <w:rPr>
          <w:rFonts w:ascii="Times New Roman" w:hAnsi="Times New Roman" w:cs="Times New Roman"/>
          <w:b/>
          <w:bCs/>
          <w:sz w:val="24"/>
          <w:szCs w:val="24"/>
        </w:rPr>
        <w:t>summer program</w:t>
      </w:r>
      <w:r w:rsidR="0024309A" w:rsidRPr="00410F1A">
        <w:rPr>
          <w:rFonts w:ascii="Times New Roman" w:hAnsi="Times New Roman" w:cs="Times New Roman"/>
          <w:b/>
          <w:bCs/>
          <w:sz w:val="24"/>
          <w:szCs w:val="24"/>
        </w:rPr>
        <w:t>s</w:t>
      </w:r>
      <w:r w:rsidR="006A6AF8" w:rsidRPr="00410F1A">
        <w:rPr>
          <w:rFonts w:ascii="Times New Roman" w:hAnsi="Times New Roman" w:cs="Times New Roman"/>
          <w:sz w:val="24"/>
          <w:szCs w:val="24"/>
        </w:rPr>
        <w:t>. We especially encourage Acceleration Academies</w:t>
      </w:r>
      <w:r w:rsidR="00662A85" w:rsidRPr="00410F1A">
        <w:rPr>
          <w:rFonts w:ascii="Times New Roman" w:hAnsi="Times New Roman" w:cs="Times New Roman"/>
          <w:sz w:val="24"/>
          <w:szCs w:val="24"/>
        </w:rPr>
        <w:t xml:space="preserve"> (see grant application </w:t>
      </w:r>
      <w:hyperlink r:id="rId19" w:history="1">
        <w:r w:rsidR="00662A85" w:rsidRPr="00410F1A">
          <w:rPr>
            <w:rStyle w:val="Hyperlink"/>
            <w:rFonts w:ascii="Times New Roman" w:hAnsi="Times New Roman" w:cs="Times New Roman"/>
            <w:sz w:val="24"/>
            <w:szCs w:val="24"/>
          </w:rPr>
          <w:t>here</w:t>
        </w:r>
      </w:hyperlink>
      <w:r w:rsidR="00662A85" w:rsidRPr="00410F1A">
        <w:rPr>
          <w:rFonts w:ascii="Times New Roman" w:hAnsi="Times New Roman" w:cs="Times New Roman"/>
          <w:sz w:val="24"/>
          <w:szCs w:val="24"/>
        </w:rPr>
        <w:t>, which closes 6/18)</w:t>
      </w:r>
      <w:r w:rsidR="006A6AF8" w:rsidRPr="00410F1A">
        <w:rPr>
          <w:rFonts w:ascii="Times New Roman" w:hAnsi="Times New Roman" w:cs="Times New Roman"/>
          <w:sz w:val="24"/>
          <w:szCs w:val="24"/>
        </w:rPr>
        <w:t xml:space="preserve"> for unfinished learning</w:t>
      </w:r>
      <w:r w:rsidR="003463EC" w:rsidRPr="00410F1A">
        <w:rPr>
          <w:rFonts w:ascii="Times New Roman" w:hAnsi="Times New Roman" w:cs="Times New Roman"/>
          <w:sz w:val="24"/>
          <w:szCs w:val="24"/>
        </w:rPr>
        <w:t xml:space="preserve"> </w:t>
      </w:r>
      <w:r w:rsidR="0027592C" w:rsidRPr="00410F1A">
        <w:rPr>
          <w:rFonts w:ascii="Times New Roman" w:hAnsi="Times New Roman" w:cs="Times New Roman"/>
          <w:sz w:val="24"/>
          <w:szCs w:val="24"/>
        </w:rPr>
        <w:t xml:space="preserve">and </w:t>
      </w:r>
      <w:r w:rsidR="003463EC" w:rsidRPr="00410F1A">
        <w:rPr>
          <w:rFonts w:ascii="Times New Roman" w:hAnsi="Times New Roman" w:cs="Times New Roman"/>
          <w:sz w:val="24"/>
          <w:szCs w:val="24"/>
        </w:rPr>
        <w:t xml:space="preserve">expanded </w:t>
      </w:r>
      <w:r w:rsidR="0027592C" w:rsidRPr="00410F1A">
        <w:rPr>
          <w:rFonts w:ascii="Times New Roman" w:hAnsi="Times New Roman" w:cs="Times New Roman"/>
          <w:sz w:val="24"/>
          <w:szCs w:val="24"/>
        </w:rPr>
        <w:t xml:space="preserve">summer programs featuring academic, enrichment, </w:t>
      </w:r>
      <w:r w:rsidR="00632D8A" w:rsidRPr="00410F1A">
        <w:rPr>
          <w:rFonts w:ascii="Times New Roman" w:hAnsi="Times New Roman" w:cs="Times New Roman"/>
          <w:sz w:val="24"/>
          <w:szCs w:val="24"/>
        </w:rPr>
        <w:t xml:space="preserve">recreational and creative activities, mental health supports, </w:t>
      </w:r>
      <w:r w:rsidR="0027592C" w:rsidRPr="00410F1A">
        <w:rPr>
          <w:rFonts w:ascii="Times New Roman" w:hAnsi="Times New Roman" w:cs="Times New Roman"/>
          <w:sz w:val="24"/>
          <w:szCs w:val="24"/>
        </w:rPr>
        <w:t xml:space="preserve">and social-emotional learning. </w:t>
      </w:r>
      <w:r w:rsidR="00FC2043" w:rsidRPr="00410F1A">
        <w:rPr>
          <w:rFonts w:ascii="Times New Roman" w:hAnsi="Times New Roman" w:cs="Times New Roman"/>
          <w:sz w:val="24"/>
          <w:szCs w:val="24"/>
        </w:rPr>
        <w:t>Summer programs can also be a</w:t>
      </w:r>
      <w:r w:rsidR="006E5A56" w:rsidRPr="00410F1A">
        <w:rPr>
          <w:rFonts w:ascii="Times New Roman" w:hAnsi="Times New Roman" w:cs="Times New Roman"/>
          <w:sz w:val="24"/>
          <w:szCs w:val="24"/>
        </w:rPr>
        <w:t xml:space="preserve"> great</w:t>
      </w:r>
      <w:r w:rsidR="00FC2043" w:rsidRPr="00410F1A">
        <w:rPr>
          <w:rFonts w:ascii="Times New Roman" w:hAnsi="Times New Roman" w:cs="Times New Roman"/>
          <w:sz w:val="24"/>
          <w:szCs w:val="24"/>
        </w:rPr>
        <w:t xml:space="preserve"> opportunity for students who have been fully remote all year to become re-acquainted with in-person school in a smaller and more intimate setting. </w:t>
      </w:r>
    </w:p>
    <w:p w14:paraId="46F08953" w14:textId="77777777" w:rsidR="00B30D94" w:rsidRPr="00410F1A" w:rsidRDefault="00B30D94" w:rsidP="00B30D94">
      <w:pPr>
        <w:pStyle w:val="ListParagraph"/>
        <w:spacing w:after="0"/>
        <w:rPr>
          <w:rFonts w:ascii="Times New Roman" w:hAnsi="Times New Roman" w:cs="Times New Roman"/>
          <w:sz w:val="24"/>
          <w:szCs w:val="24"/>
        </w:rPr>
      </w:pPr>
    </w:p>
    <w:p w14:paraId="4B3DE668" w14:textId="6BAFA74F" w:rsidR="00CB4BF7" w:rsidRPr="00410F1A" w:rsidRDefault="009A6D1E" w:rsidP="00B30D94">
      <w:pPr>
        <w:spacing w:after="0"/>
        <w:rPr>
          <w:rFonts w:ascii="Times New Roman" w:hAnsi="Times New Roman" w:cs="Times New Roman"/>
          <w:b/>
          <w:bCs/>
          <w:color w:val="4472C4" w:themeColor="accent1"/>
          <w:sz w:val="24"/>
          <w:szCs w:val="24"/>
          <w:u w:val="single"/>
        </w:rPr>
      </w:pPr>
      <w:r w:rsidRPr="00410F1A">
        <w:rPr>
          <w:rFonts w:ascii="Times New Roman" w:hAnsi="Times New Roman" w:cs="Times New Roman"/>
          <w:b/>
          <w:bCs/>
          <w:color w:val="4472C4" w:themeColor="accent1"/>
          <w:sz w:val="24"/>
          <w:szCs w:val="24"/>
          <w:u w:val="single"/>
        </w:rPr>
        <w:t>Over the summer</w:t>
      </w:r>
      <w:r w:rsidR="00CB4BF7" w:rsidRPr="00410F1A">
        <w:rPr>
          <w:rFonts w:ascii="Times New Roman" w:hAnsi="Times New Roman" w:cs="Times New Roman"/>
          <w:b/>
          <w:bCs/>
          <w:color w:val="4472C4" w:themeColor="accent1"/>
          <w:sz w:val="24"/>
          <w:szCs w:val="24"/>
          <w:u w:val="single"/>
        </w:rPr>
        <w:t>:</w:t>
      </w:r>
    </w:p>
    <w:p w14:paraId="3740B524" w14:textId="41B1E353" w:rsidR="00C772DE" w:rsidRPr="00410F1A" w:rsidRDefault="00C772DE"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 xml:space="preserve">Take stock </w:t>
      </w:r>
      <w:r w:rsidR="00400BE6" w:rsidRPr="00410F1A">
        <w:rPr>
          <w:rFonts w:ascii="Times New Roman" w:hAnsi="Times New Roman" w:cs="Times New Roman"/>
          <w:b/>
          <w:bCs/>
          <w:sz w:val="24"/>
          <w:szCs w:val="24"/>
        </w:rPr>
        <w:t xml:space="preserve">of </w:t>
      </w:r>
      <w:r w:rsidR="00F71F53" w:rsidRPr="00410F1A">
        <w:rPr>
          <w:rFonts w:ascii="Times New Roman" w:hAnsi="Times New Roman" w:cs="Times New Roman"/>
          <w:b/>
          <w:bCs/>
          <w:sz w:val="24"/>
          <w:szCs w:val="24"/>
        </w:rPr>
        <w:t xml:space="preserve">any </w:t>
      </w:r>
      <w:r w:rsidR="004F266F" w:rsidRPr="00410F1A">
        <w:rPr>
          <w:rFonts w:ascii="Times New Roman" w:hAnsi="Times New Roman" w:cs="Times New Roman"/>
          <w:b/>
          <w:bCs/>
          <w:sz w:val="24"/>
          <w:szCs w:val="24"/>
        </w:rPr>
        <w:t xml:space="preserve">updates to </w:t>
      </w:r>
      <w:r w:rsidR="00DC4834" w:rsidRPr="00410F1A">
        <w:rPr>
          <w:rFonts w:ascii="Times New Roman" w:hAnsi="Times New Roman" w:cs="Times New Roman"/>
          <w:b/>
          <w:bCs/>
          <w:sz w:val="24"/>
          <w:szCs w:val="24"/>
        </w:rPr>
        <w:t>your financial position</w:t>
      </w:r>
      <w:r w:rsidR="007655D6" w:rsidRPr="00410F1A">
        <w:rPr>
          <w:rFonts w:ascii="Times New Roman" w:hAnsi="Times New Roman" w:cs="Times New Roman"/>
          <w:sz w:val="24"/>
          <w:szCs w:val="24"/>
        </w:rPr>
        <w:t xml:space="preserve">, including </w:t>
      </w:r>
      <w:r w:rsidR="009E765E" w:rsidRPr="00410F1A">
        <w:rPr>
          <w:rFonts w:ascii="Times New Roman" w:hAnsi="Times New Roman" w:cs="Times New Roman"/>
          <w:sz w:val="24"/>
          <w:szCs w:val="24"/>
        </w:rPr>
        <w:t xml:space="preserve">the </w:t>
      </w:r>
      <w:r w:rsidR="0020757F" w:rsidRPr="00410F1A">
        <w:rPr>
          <w:rFonts w:ascii="Times New Roman" w:hAnsi="Times New Roman" w:cs="Times New Roman"/>
          <w:sz w:val="24"/>
          <w:szCs w:val="24"/>
        </w:rPr>
        <w:t xml:space="preserve">final </w:t>
      </w:r>
      <w:r w:rsidR="004F266F" w:rsidRPr="00410F1A">
        <w:rPr>
          <w:rFonts w:ascii="Times New Roman" w:hAnsi="Times New Roman" w:cs="Times New Roman"/>
          <w:sz w:val="24"/>
          <w:szCs w:val="24"/>
        </w:rPr>
        <w:t>Chapter 70</w:t>
      </w:r>
      <w:r w:rsidR="009E765E" w:rsidRPr="00410F1A">
        <w:rPr>
          <w:rFonts w:ascii="Times New Roman" w:hAnsi="Times New Roman" w:cs="Times New Roman"/>
          <w:sz w:val="24"/>
          <w:szCs w:val="24"/>
        </w:rPr>
        <w:t xml:space="preserve"> </w:t>
      </w:r>
      <w:r w:rsidR="0020757F" w:rsidRPr="00410F1A">
        <w:rPr>
          <w:rFonts w:ascii="Times New Roman" w:hAnsi="Times New Roman" w:cs="Times New Roman"/>
          <w:sz w:val="24"/>
          <w:szCs w:val="24"/>
        </w:rPr>
        <w:t xml:space="preserve">allocations </w:t>
      </w:r>
      <w:r w:rsidR="009C4B57" w:rsidRPr="00410F1A">
        <w:rPr>
          <w:rFonts w:ascii="Times New Roman" w:hAnsi="Times New Roman" w:cs="Times New Roman"/>
          <w:sz w:val="24"/>
          <w:szCs w:val="24"/>
        </w:rPr>
        <w:t>coming out of</w:t>
      </w:r>
      <w:r w:rsidR="004F266F" w:rsidRPr="00410F1A">
        <w:rPr>
          <w:rFonts w:ascii="Times New Roman" w:hAnsi="Times New Roman" w:cs="Times New Roman"/>
          <w:sz w:val="24"/>
          <w:szCs w:val="24"/>
        </w:rPr>
        <w:t xml:space="preserve"> the </w:t>
      </w:r>
      <w:r w:rsidR="00400BE6" w:rsidRPr="00410F1A">
        <w:rPr>
          <w:rFonts w:ascii="Times New Roman" w:hAnsi="Times New Roman" w:cs="Times New Roman"/>
          <w:sz w:val="24"/>
          <w:szCs w:val="24"/>
        </w:rPr>
        <w:t xml:space="preserve">FY22 </w:t>
      </w:r>
      <w:r w:rsidR="004F266F" w:rsidRPr="00410F1A">
        <w:rPr>
          <w:rFonts w:ascii="Times New Roman" w:hAnsi="Times New Roman" w:cs="Times New Roman"/>
          <w:sz w:val="24"/>
          <w:szCs w:val="24"/>
        </w:rPr>
        <w:t xml:space="preserve">state budget </w:t>
      </w:r>
      <w:r w:rsidR="00A45644" w:rsidRPr="00410F1A">
        <w:rPr>
          <w:rFonts w:ascii="Times New Roman" w:hAnsi="Times New Roman" w:cs="Times New Roman"/>
          <w:sz w:val="24"/>
          <w:szCs w:val="24"/>
        </w:rPr>
        <w:t xml:space="preserve">process </w:t>
      </w:r>
      <w:r w:rsidR="004F266F" w:rsidRPr="00410F1A">
        <w:rPr>
          <w:rFonts w:ascii="Times New Roman" w:hAnsi="Times New Roman" w:cs="Times New Roman"/>
          <w:sz w:val="24"/>
          <w:szCs w:val="24"/>
        </w:rPr>
        <w:t>a</w:t>
      </w:r>
      <w:r w:rsidR="007E128F" w:rsidRPr="00410F1A">
        <w:rPr>
          <w:rFonts w:ascii="Times New Roman" w:hAnsi="Times New Roman" w:cs="Times New Roman"/>
          <w:sz w:val="24"/>
          <w:szCs w:val="24"/>
        </w:rPr>
        <w:t>nd the portion of</w:t>
      </w:r>
      <w:r w:rsidR="00400BE6" w:rsidRPr="00410F1A">
        <w:rPr>
          <w:rFonts w:ascii="Times New Roman" w:hAnsi="Times New Roman" w:cs="Times New Roman"/>
          <w:sz w:val="24"/>
          <w:szCs w:val="24"/>
        </w:rPr>
        <w:t xml:space="preserve"> ESSER I and II funds</w:t>
      </w:r>
      <w:r w:rsidR="00165A92" w:rsidRPr="00410F1A">
        <w:rPr>
          <w:rFonts w:ascii="Times New Roman" w:hAnsi="Times New Roman" w:cs="Times New Roman"/>
          <w:sz w:val="24"/>
          <w:szCs w:val="24"/>
        </w:rPr>
        <w:t xml:space="preserve"> spent to date</w:t>
      </w:r>
      <w:r w:rsidR="00400BE6" w:rsidRPr="00410F1A">
        <w:rPr>
          <w:rFonts w:ascii="Times New Roman" w:hAnsi="Times New Roman" w:cs="Times New Roman"/>
          <w:sz w:val="24"/>
          <w:szCs w:val="24"/>
        </w:rPr>
        <w:t xml:space="preserve">. </w:t>
      </w:r>
      <w:r w:rsidR="00C32B4F" w:rsidRPr="00410F1A">
        <w:rPr>
          <w:rFonts w:ascii="Times New Roman" w:hAnsi="Times New Roman" w:cs="Times New Roman"/>
          <w:sz w:val="24"/>
          <w:szCs w:val="24"/>
        </w:rPr>
        <w:t xml:space="preserve">Revisit and deepen your multi-year projection to gain a clearer picture of </w:t>
      </w:r>
      <w:r w:rsidR="00A65765" w:rsidRPr="00410F1A">
        <w:rPr>
          <w:rFonts w:ascii="Times New Roman" w:hAnsi="Times New Roman" w:cs="Times New Roman"/>
          <w:sz w:val="24"/>
          <w:szCs w:val="24"/>
        </w:rPr>
        <w:t>funds available now and in the coming years</w:t>
      </w:r>
      <w:r w:rsidR="0055117F" w:rsidRPr="00410F1A">
        <w:rPr>
          <w:rFonts w:ascii="Times New Roman" w:hAnsi="Times New Roman" w:cs="Times New Roman"/>
          <w:sz w:val="24"/>
          <w:szCs w:val="24"/>
        </w:rPr>
        <w:t>, and consider using new federal dollars to accelerate initiatives that would otherwise have been phased in gradually with increasing SOA funds</w:t>
      </w:r>
      <w:r w:rsidR="00A65765" w:rsidRPr="00410F1A">
        <w:rPr>
          <w:rFonts w:ascii="Times New Roman" w:hAnsi="Times New Roman" w:cs="Times New Roman"/>
          <w:sz w:val="24"/>
          <w:szCs w:val="24"/>
        </w:rPr>
        <w:t>.</w:t>
      </w:r>
    </w:p>
    <w:p w14:paraId="606ACB7B" w14:textId="7C0D0FD6" w:rsidR="0068236D" w:rsidRPr="00410F1A" w:rsidRDefault="0068236D"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Prioritize new resources for targeted interventions and supports for students who have fallen behind their peers during the past school year</w:t>
      </w:r>
      <w:r w:rsidRPr="00410F1A">
        <w:rPr>
          <w:rFonts w:ascii="Times New Roman" w:hAnsi="Times New Roman" w:cs="Times New Roman"/>
          <w:sz w:val="24"/>
          <w:szCs w:val="24"/>
        </w:rPr>
        <w:t xml:space="preserve">, to ensure they get the attention they need to get back on track as soon as possible, especially those students with disabilities and English Learners.  </w:t>
      </w:r>
    </w:p>
    <w:p w14:paraId="21326603" w14:textId="422550FE" w:rsidR="00D21502" w:rsidRPr="00410F1A" w:rsidRDefault="00AF1BC2"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Plan for e</w:t>
      </w:r>
      <w:r w:rsidR="00B30D94" w:rsidRPr="00410F1A">
        <w:rPr>
          <w:rFonts w:ascii="Times New Roman" w:hAnsi="Times New Roman" w:cs="Times New Roman"/>
          <w:b/>
          <w:bCs/>
          <w:sz w:val="24"/>
          <w:szCs w:val="24"/>
        </w:rPr>
        <w:t>xpand</w:t>
      </w:r>
      <w:r w:rsidRPr="00410F1A">
        <w:rPr>
          <w:rFonts w:ascii="Times New Roman" w:hAnsi="Times New Roman" w:cs="Times New Roman"/>
          <w:b/>
          <w:bCs/>
          <w:sz w:val="24"/>
          <w:szCs w:val="24"/>
        </w:rPr>
        <w:t xml:space="preserve">ed </w:t>
      </w:r>
      <w:r w:rsidR="00D21502" w:rsidRPr="00410F1A">
        <w:rPr>
          <w:rFonts w:ascii="Times New Roman" w:hAnsi="Times New Roman" w:cs="Times New Roman"/>
          <w:b/>
          <w:bCs/>
          <w:sz w:val="24"/>
          <w:szCs w:val="24"/>
        </w:rPr>
        <w:t>access to mental health supports</w:t>
      </w:r>
      <w:r w:rsidR="00D21502" w:rsidRPr="00410F1A">
        <w:rPr>
          <w:rFonts w:ascii="Times New Roman" w:hAnsi="Times New Roman" w:cs="Times New Roman"/>
          <w:sz w:val="24"/>
          <w:szCs w:val="24"/>
        </w:rPr>
        <w:t>, such as adding counselors or social workers or by partnering with community-based organizations and non-profits to offer increased access to mental health supports.</w:t>
      </w:r>
      <w:r w:rsidR="00D21502" w:rsidRPr="00410F1A">
        <w:rPr>
          <w:rFonts w:ascii="Times New Roman" w:hAnsi="Times New Roman" w:cs="Times New Roman"/>
          <w:b/>
          <w:bCs/>
          <w:sz w:val="24"/>
          <w:szCs w:val="24"/>
        </w:rPr>
        <w:t xml:space="preserve"> </w:t>
      </w:r>
    </w:p>
    <w:p w14:paraId="028351F7" w14:textId="68DEF5C3" w:rsidR="00E34C6A" w:rsidRPr="00410F1A" w:rsidRDefault="00E34C6A"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 xml:space="preserve">Analyze data on student learning </w:t>
      </w:r>
      <w:r w:rsidR="00D03E2F" w:rsidRPr="00410F1A">
        <w:rPr>
          <w:rFonts w:ascii="Times New Roman" w:hAnsi="Times New Roman" w:cs="Times New Roman"/>
          <w:b/>
          <w:bCs/>
          <w:sz w:val="24"/>
          <w:szCs w:val="24"/>
        </w:rPr>
        <w:t>using</w:t>
      </w:r>
      <w:r w:rsidRPr="00410F1A">
        <w:rPr>
          <w:rFonts w:ascii="Times New Roman" w:hAnsi="Times New Roman" w:cs="Times New Roman"/>
          <w:b/>
          <w:bCs/>
          <w:sz w:val="24"/>
          <w:szCs w:val="24"/>
        </w:rPr>
        <w:t xml:space="preserve"> internal and external assessments</w:t>
      </w:r>
      <w:r w:rsidRPr="00410F1A">
        <w:rPr>
          <w:rFonts w:ascii="Times New Roman" w:hAnsi="Times New Roman" w:cs="Times New Roman"/>
          <w:sz w:val="24"/>
          <w:szCs w:val="24"/>
        </w:rPr>
        <w:t xml:space="preserve"> to identify subject</w:t>
      </w:r>
      <w:r w:rsidR="00D03E2F" w:rsidRPr="00410F1A">
        <w:rPr>
          <w:rFonts w:ascii="Times New Roman" w:hAnsi="Times New Roman" w:cs="Times New Roman"/>
          <w:sz w:val="24"/>
          <w:szCs w:val="24"/>
        </w:rPr>
        <w:t>,</w:t>
      </w:r>
      <w:r w:rsidRPr="00410F1A">
        <w:rPr>
          <w:rFonts w:ascii="Times New Roman" w:hAnsi="Times New Roman" w:cs="Times New Roman"/>
          <w:sz w:val="24"/>
          <w:szCs w:val="24"/>
        </w:rPr>
        <w:t xml:space="preserve"> grade-level</w:t>
      </w:r>
      <w:r w:rsidR="00D03E2F" w:rsidRPr="00410F1A">
        <w:rPr>
          <w:rFonts w:ascii="Times New Roman" w:hAnsi="Times New Roman" w:cs="Times New Roman"/>
          <w:sz w:val="24"/>
          <w:szCs w:val="24"/>
        </w:rPr>
        <w:t>, and classroom</w:t>
      </w:r>
      <w:r w:rsidRPr="00410F1A">
        <w:rPr>
          <w:rFonts w:ascii="Times New Roman" w:hAnsi="Times New Roman" w:cs="Times New Roman"/>
          <w:sz w:val="24"/>
          <w:szCs w:val="24"/>
        </w:rPr>
        <w:t xml:space="preserve"> </w:t>
      </w:r>
      <w:r w:rsidR="009952B5" w:rsidRPr="00410F1A">
        <w:rPr>
          <w:rFonts w:ascii="Times New Roman" w:hAnsi="Times New Roman" w:cs="Times New Roman"/>
          <w:sz w:val="24"/>
          <w:szCs w:val="24"/>
        </w:rPr>
        <w:t>priorities</w:t>
      </w:r>
      <w:r w:rsidRPr="00410F1A">
        <w:rPr>
          <w:rFonts w:ascii="Times New Roman" w:hAnsi="Times New Roman" w:cs="Times New Roman"/>
          <w:sz w:val="24"/>
          <w:szCs w:val="24"/>
        </w:rPr>
        <w:t xml:space="preserve"> and to </w:t>
      </w:r>
      <w:r w:rsidR="009952B5" w:rsidRPr="00410F1A">
        <w:rPr>
          <w:rFonts w:ascii="Times New Roman" w:hAnsi="Times New Roman" w:cs="Times New Roman"/>
          <w:sz w:val="24"/>
          <w:szCs w:val="24"/>
        </w:rPr>
        <w:t>clarify</w:t>
      </w:r>
      <w:r w:rsidR="00D03E2F" w:rsidRPr="00410F1A">
        <w:rPr>
          <w:rFonts w:ascii="Times New Roman" w:hAnsi="Times New Roman" w:cs="Times New Roman"/>
          <w:sz w:val="24"/>
          <w:szCs w:val="24"/>
        </w:rPr>
        <w:t xml:space="preserve"> the needs of individual students, especially those children who have fallen furthest behind during the past school year.</w:t>
      </w:r>
    </w:p>
    <w:p w14:paraId="0D5F6F02" w14:textId="75501046" w:rsidR="00D21502" w:rsidRPr="00410F1A" w:rsidRDefault="0068236D"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Determine</w:t>
      </w:r>
      <w:r w:rsidR="00D21502" w:rsidRPr="00410F1A">
        <w:rPr>
          <w:rFonts w:ascii="Times New Roman" w:hAnsi="Times New Roman" w:cs="Times New Roman"/>
          <w:b/>
          <w:bCs/>
          <w:sz w:val="24"/>
          <w:szCs w:val="24"/>
        </w:rPr>
        <w:t xml:space="preserve"> supports needed to strengthen instructional practices outlined in the Acceleration Roadmaps</w:t>
      </w:r>
      <w:r w:rsidR="00D21502" w:rsidRPr="00410F1A">
        <w:rPr>
          <w:rFonts w:ascii="Times New Roman" w:hAnsi="Times New Roman" w:cs="Times New Roman"/>
          <w:sz w:val="24"/>
          <w:szCs w:val="24"/>
        </w:rPr>
        <w:t xml:space="preserve">, including professional development and coaching supports, curricular materials, diagnostic assessments, and additional staffing to support </w:t>
      </w:r>
      <w:r w:rsidR="00B30D94" w:rsidRPr="00410F1A">
        <w:rPr>
          <w:rFonts w:ascii="Times New Roman" w:hAnsi="Times New Roman" w:cs="Times New Roman"/>
          <w:sz w:val="24"/>
          <w:szCs w:val="24"/>
        </w:rPr>
        <w:t xml:space="preserve">targeted interventions or </w:t>
      </w:r>
      <w:r w:rsidR="00D21502" w:rsidRPr="00410F1A">
        <w:rPr>
          <w:rFonts w:ascii="Times New Roman" w:hAnsi="Times New Roman" w:cs="Times New Roman"/>
          <w:sz w:val="24"/>
          <w:szCs w:val="24"/>
        </w:rPr>
        <w:t>common planning time. Finalize scheduling and purchasing to support this work.</w:t>
      </w:r>
    </w:p>
    <w:p w14:paraId="7A828755" w14:textId="596FF24E" w:rsidR="00081625" w:rsidRPr="00410F1A" w:rsidRDefault="00DF3478" w:rsidP="00B30D94">
      <w:pPr>
        <w:pStyle w:val="ListParagraph"/>
        <w:numPr>
          <w:ilvl w:val="0"/>
          <w:numId w:val="4"/>
        </w:numPr>
        <w:spacing w:after="0"/>
        <w:rPr>
          <w:rFonts w:ascii="Times New Roman" w:hAnsi="Times New Roman" w:cs="Times New Roman"/>
          <w:b/>
          <w:bCs/>
          <w:sz w:val="24"/>
          <w:szCs w:val="24"/>
        </w:rPr>
      </w:pPr>
      <w:r w:rsidRPr="00410F1A">
        <w:rPr>
          <w:rFonts w:ascii="Times New Roman" w:hAnsi="Times New Roman" w:cs="Times New Roman"/>
          <w:b/>
          <w:bCs/>
          <w:sz w:val="24"/>
          <w:szCs w:val="24"/>
        </w:rPr>
        <w:t xml:space="preserve">Finalize </w:t>
      </w:r>
      <w:r w:rsidR="00D21502" w:rsidRPr="00410F1A">
        <w:rPr>
          <w:rFonts w:ascii="Times New Roman" w:hAnsi="Times New Roman" w:cs="Times New Roman"/>
          <w:b/>
          <w:bCs/>
          <w:sz w:val="24"/>
          <w:szCs w:val="24"/>
        </w:rPr>
        <w:t>other new</w:t>
      </w:r>
      <w:r w:rsidRPr="00410F1A">
        <w:rPr>
          <w:rFonts w:ascii="Times New Roman" w:hAnsi="Times New Roman" w:cs="Times New Roman"/>
          <w:b/>
          <w:bCs/>
          <w:sz w:val="24"/>
          <w:szCs w:val="24"/>
        </w:rPr>
        <w:t xml:space="preserve"> initiatives </w:t>
      </w:r>
      <w:r w:rsidR="0054095A" w:rsidRPr="00410F1A">
        <w:rPr>
          <w:rFonts w:ascii="Times New Roman" w:hAnsi="Times New Roman" w:cs="Times New Roman"/>
          <w:b/>
          <w:bCs/>
          <w:sz w:val="24"/>
          <w:szCs w:val="24"/>
        </w:rPr>
        <w:t>to support unfinished learning</w:t>
      </w:r>
      <w:r w:rsidRPr="00410F1A">
        <w:rPr>
          <w:rFonts w:ascii="Times New Roman" w:hAnsi="Times New Roman" w:cs="Times New Roman"/>
          <w:b/>
          <w:bCs/>
          <w:sz w:val="24"/>
          <w:szCs w:val="24"/>
        </w:rPr>
        <w:t xml:space="preserve"> as part of the 21-22 school year</w:t>
      </w:r>
      <w:r w:rsidR="00DA4A8C" w:rsidRPr="00410F1A">
        <w:rPr>
          <w:rFonts w:ascii="Times New Roman" w:hAnsi="Times New Roman" w:cs="Times New Roman"/>
          <w:b/>
          <w:bCs/>
          <w:sz w:val="24"/>
          <w:szCs w:val="24"/>
        </w:rPr>
        <w:t>,</w:t>
      </w:r>
      <w:r w:rsidR="00E927ED" w:rsidRPr="00410F1A">
        <w:rPr>
          <w:rFonts w:ascii="Times New Roman" w:hAnsi="Times New Roman" w:cs="Times New Roman"/>
          <w:b/>
          <w:bCs/>
          <w:sz w:val="24"/>
          <w:szCs w:val="24"/>
        </w:rPr>
        <w:t xml:space="preserve"> such as expanded school days</w:t>
      </w:r>
      <w:r w:rsidR="00055C95" w:rsidRPr="00410F1A">
        <w:rPr>
          <w:rFonts w:ascii="Times New Roman" w:hAnsi="Times New Roman" w:cs="Times New Roman"/>
          <w:b/>
          <w:bCs/>
          <w:sz w:val="24"/>
          <w:szCs w:val="24"/>
        </w:rPr>
        <w:t xml:space="preserve">, </w:t>
      </w:r>
      <w:r w:rsidR="00B30D94" w:rsidRPr="00410F1A">
        <w:rPr>
          <w:rFonts w:ascii="Times New Roman" w:hAnsi="Times New Roman" w:cs="Times New Roman"/>
          <w:b/>
          <w:bCs/>
          <w:sz w:val="24"/>
          <w:szCs w:val="24"/>
        </w:rPr>
        <w:t xml:space="preserve">out-of-school time programs, </w:t>
      </w:r>
      <w:r w:rsidR="00E927ED" w:rsidRPr="00410F1A">
        <w:rPr>
          <w:rFonts w:ascii="Times New Roman" w:hAnsi="Times New Roman" w:cs="Times New Roman"/>
          <w:b/>
          <w:bCs/>
          <w:sz w:val="24"/>
          <w:szCs w:val="24"/>
        </w:rPr>
        <w:t>tutoring programs</w:t>
      </w:r>
      <w:r w:rsidR="00055C95" w:rsidRPr="00410F1A">
        <w:rPr>
          <w:rFonts w:ascii="Times New Roman" w:hAnsi="Times New Roman" w:cs="Times New Roman"/>
          <w:b/>
          <w:bCs/>
          <w:sz w:val="24"/>
          <w:szCs w:val="24"/>
        </w:rPr>
        <w:t xml:space="preserve">, and other </w:t>
      </w:r>
      <w:r w:rsidR="00081625" w:rsidRPr="00410F1A">
        <w:rPr>
          <w:rFonts w:ascii="Times New Roman" w:hAnsi="Times New Roman" w:cs="Times New Roman"/>
          <w:b/>
          <w:bCs/>
          <w:sz w:val="24"/>
          <w:szCs w:val="24"/>
        </w:rPr>
        <w:t xml:space="preserve">enhanced </w:t>
      </w:r>
      <w:r w:rsidR="00055C95" w:rsidRPr="00410F1A">
        <w:rPr>
          <w:rFonts w:ascii="Times New Roman" w:hAnsi="Times New Roman" w:cs="Times New Roman"/>
          <w:b/>
          <w:bCs/>
          <w:sz w:val="24"/>
          <w:szCs w:val="24"/>
        </w:rPr>
        <w:t>supports</w:t>
      </w:r>
      <w:r w:rsidR="007A46AF" w:rsidRPr="00410F1A">
        <w:rPr>
          <w:rFonts w:ascii="Times New Roman" w:hAnsi="Times New Roman" w:cs="Times New Roman"/>
          <w:b/>
          <w:bCs/>
          <w:sz w:val="24"/>
          <w:szCs w:val="24"/>
        </w:rPr>
        <w:t>.</w:t>
      </w:r>
    </w:p>
    <w:p w14:paraId="3730AE8A" w14:textId="4E0A42B8" w:rsidR="00240ECA" w:rsidRPr="00410F1A" w:rsidRDefault="003609DE" w:rsidP="00B30D94">
      <w:pPr>
        <w:pStyle w:val="ListParagraph"/>
        <w:numPr>
          <w:ilvl w:val="1"/>
          <w:numId w:val="4"/>
        </w:numPr>
        <w:spacing w:after="0"/>
        <w:rPr>
          <w:rFonts w:ascii="Times New Roman" w:hAnsi="Times New Roman" w:cs="Times New Roman"/>
          <w:sz w:val="24"/>
          <w:szCs w:val="24"/>
        </w:rPr>
      </w:pPr>
      <w:r w:rsidRPr="00410F1A">
        <w:rPr>
          <w:rFonts w:ascii="Times New Roman" w:hAnsi="Times New Roman" w:cs="Times New Roman"/>
          <w:sz w:val="24"/>
          <w:szCs w:val="24"/>
        </w:rPr>
        <w:t xml:space="preserve">If full implementation of these programs is not feasible </w:t>
      </w:r>
      <w:r w:rsidR="00055C95" w:rsidRPr="00410F1A">
        <w:rPr>
          <w:rFonts w:ascii="Times New Roman" w:hAnsi="Times New Roman" w:cs="Times New Roman"/>
          <w:sz w:val="24"/>
          <w:szCs w:val="24"/>
        </w:rPr>
        <w:t>for the start of the school year, consider opportunities to begin</w:t>
      </w:r>
      <w:r w:rsidR="00C5058F" w:rsidRPr="00410F1A">
        <w:rPr>
          <w:rFonts w:ascii="Times New Roman" w:hAnsi="Times New Roman" w:cs="Times New Roman"/>
          <w:sz w:val="24"/>
          <w:szCs w:val="24"/>
        </w:rPr>
        <w:t xml:space="preserve"> initiatives on a smaller scale or pilot basis</w:t>
      </w:r>
      <w:r w:rsidR="00A905BD" w:rsidRPr="00410F1A">
        <w:rPr>
          <w:rFonts w:ascii="Times New Roman" w:hAnsi="Times New Roman" w:cs="Times New Roman"/>
          <w:sz w:val="24"/>
          <w:szCs w:val="24"/>
        </w:rPr>
        <w:t xml:space="preserve"> with the ability to scale up over time.</w:t>
      </w:r>
      <w:r w:rsidR="00BA08BF" w:rsidRPr="00410F1A">
        <w:rPr>
          <w:rFonts w:ascii="Times New Roman" w:hAnsi="Times New Roman" w:cs="Times New Roman"/>
          <w:b/>
          <w:bCs/>
          <w:sz w:val="24"/>
          <w:szCs w:val="24"/>
        </w:rPr>
        <w:t xml:space="preserve"> </w:t>
      </w:r>
      <w:r w:rsidR="00081625" w:rsidRPr="00410F1A">
        <w:rPr>
          <w:rFonts w:ascii="Times New Roman" w:hAnsi="Times New Roman" w:cs="Times New Roman"/>
          <w:sz w:val="24"/>
          <w:szCs w:val="24"/>
        </w:rPr>
        <w:t xml:space="preserve">This could include </w:t>
      </w:r>
      <w:r w:rsidR="00A74EF6" w:rsidRPr="00410F1A">
        <w:rPr>
          <w:rFonts w:ascii="Times New Roman" w:hAnsi="Times New Roman" w:cs="Times New Roman"/>
          <w:sz w:val="24"/>
          <w:szCs w:val="24"/>
        </w:rPr>
        <w:t>focusing initially</w:t>
      </w:r>
      <w:r w:rsidR="00081625" w:rsidRPr="00410F1A">
        <w:rPr>
          <w:rFonts w:ascii="Times New Roman" w:hAnsi="Times New Roman" w:cs="Times New Roman"/>
          <w:sz w:val="24"/>
          <w:szCs w:val="24"/>
        </w:rPr>
        <w:t xml:space="preserve"> on</w:t>
      </w:r>
      <w:r w:rsidR="00A74EF6" w:rsidRPr="00410F1A">
        <w:rPr>
          <w:rFonts w:ascii="Times New Roman" w:hAnsi="Times New Roman" w:cs="Times New Roman"/>
          <w:sz w:val="24"/>
          <w:szCs w:val="24"/>
        </w:rPr>
        <w:t xml:space="preserve"> specific </w:t>
      </w:r>
      <w:r w:rsidR="0027581B" w:rsidRPr="00410F1A">
        <w:rPr>
          <w:rFonts w:ascii="Times New Roman" w:hAnsi="Times New Roman" w:cs="Times New Roman"/>
          <w:sz w:val="24"/>
          <w:szCs w:val="24"/>
        </w:rPr>
        <w:lastRenderedPageBreak/>
        <w:t>student groups most in need</w:t>
      </w:r>
      <w:r w:rsidR="00A74EF6" w:rsidRPr="00410F1A">
        <w:rPr>
          <w:rFonts w:ascii="Times New Roman" w:hAnsi="Times New Roman" w:cs="Times New Roman"/>
          <w:sz w:val="24"/>
          <w:szCs w:val="24"/>
        </w:rPr>
        <w:t>, such as</w:t>
      </w:r>
      <w:r w:rsidR="00081625" w:rsidRPr="00410F1A">
        <w:rPr>
          <w:rFonts w:ascii="Times New Roman" w:hAnsi="Times New Roman" w:cs="Times New Roman"/>
          <w:sz w:val="24"/>
          <w:szCs w:val="24"/>
        </w:rPr>
        <w:t xml:space="preserve"> English learners</w:t>
      </w:r>
      <w:r w:rsidR="00A74EF6" w:rsidRPr="00410F1A">
        <w:rPr>
          <w:rFonts w:ascii="Times New Roman" w:hAnsi="Times New Roman" w:cs="Times New Roman"/>
          <w:sz w:val="24"/>
          <w:szCs w:val="24"/>
        </w:rPr>
        <w:t xml:space="preserve">, </w:t>
      </w:r>
      <w:r w:rsidR="00081625" w:rsidRPr="00410F1A">
        <w:rPr>
          <w:rFonts w:ascii="Times New Roman" w:hAnsi="Times New Roman" w:cs="Times New Roman"/>
          <w:sz w:val="24"/>
          <w:szCs w:val="24"/>
        </w:rPr>
        <w:t xml:space="preserve">students with disabilities, and students that have been </w:t>
      </w:r>
      <w:r w:rsidR="0027581B" w:rsidRPr="00410F1A">
        <w:rPr>
          <w:rFonts w:ascii="Times New Roman" w:hAnsi="Times New Roman" w:cs="Times New Roman"/>
          <w:sz w:val="24"/>
          <w:szCs w:val="24"/>
        </w:rPr>
        <w:t xml:space="preserve">substantially </w:t>
      </w:r>
      <w:r w:rsidR="00081625" w:rsidRPr="00410F1A">
        <w:rPr>
          <w:rFonts w:ascii="Times New Roman" w:hAnsi="Times New Roman" w:cs="Times New Roman"/>
          <w:sz w:val="24"/>
          <w:szCs w:val="24"/>
        </w:rPr>
        <w:t>disengaged from school.</w:t>
      </w:r>
      <w:r w:rsidR="007A46AF" w:rsidRPr="00410F1A">
        <w:rPr>
          <w:rFonts w:ascii="Times New Roman" w:hAnsi="Times New Roman" w:cs="Times New Roman"/>
          <w:sz w:val="24"/>
          <w:szCs w:val="24"/>
        </w:rPr>
        <w:t xml:space="preserve"> </w:t>
      </w:r>
      <w:r w:rsidR="00DB45D7" w:rsidRPr="00410F1A">
        <w:rPr>
          <w:rFonts w:ascii="Times New Roman" w:hAnsi="Times New Roman" w:cs="Times New Roman"/>
          <w:sz w:val="24"/>
          <w:szCs w:val="24"/>
        </w:rPr>
        <w:t>Finalize collective bargaining discussions (if needed)</w:t>
      </w:r>
      <w:r w:rsidR="007A46AF" w:rsidRPr="00410F1A">
        <w:rPr>
          <w:rFonts w:ascii="Times New Roman" w:hAnsi="Times New Roman" w:cs="Times New Roman"/>
          <w:sz w:val="24"/>
          <w:szCs w:val="24"/>
        </w:rPr>
        <w:t xml:space="preserve">, staffing, stipend opportunities, </w:t>
      </w:r>
      <w:r w:rsidR="00115DD2" w:rsidRPr="00410F1A">
        <w:rPr>
          <w:rFonts w:ascii="Times New Roman" w:hAnsi="Times New Roman" w:cs="Times New Roman"/>
          <w:sz w:val="24"/>
          <w:szCs w:val="24"/>
        </w:rPr>
        <w:t xml:space="preserve">and scheduling to </w:t>
      </w:r>
      <w:r w:rsidR="007A46AF" w:rsidRPr="00410F1A">
        <w:rPr>
          <w:rFonts w:ascii="Times New Roman" w:hAnsi="Times New Roman" w:cs="Times New Roman"/>
          <w:sz w:val="24"/>
          <w:szCs w:val="24"/>
        </w:rPr>
        <w:t>enable</w:t>
      </w:r>
      <w:r w:rsidR="00115DD2" w:rsidRPr="00410F1A">
        <w:rPr>
          <w:rFonts w:ascii="Times New Roman" w:hAnsi="Times New Roman" w:cs="Times New Roman"/>
          <w:sz w:val="24"/>
          <w:szCs w:val="24"/>
        </w:rPr>
        <w:t xml:space="preserve"> these </w:t>
      </w:r>
      <w:r w:rsidR="007A46AF" w:rsidRPr="00410F1A">
        <w:rPr>
          <w:rFonts w:ascii="Times New Roman" w:hAnsi="Times New Roman" w:cs="Times New Roman"/>
          <w:sz w:val="24"/>
          <w:szCs w:val="24"/>
        </w:rPr>
        <w:t>supports</w:t>
      </w:r>
      <w:r w:rsidR="00115DD2" w:rsidRPr="00410F1A">
        <w:rPr>
          <w:rFonts w:ascii="Times New Roman" w:hAnsi="Times New Roman" w:cs="Times New Roman"/>
          <w:sz w:val="24"/>
          <w:szCs w:val="24"/>
        </w:rPr>
        <w:t>.</w:t>
      </w:r>
    </w:p>
    <w:p w14:paraId="7AAE6BA0" w14:textId="39CF6DD1" w:rsidR="00B30D94" w:rsidRPr="00410F1A" w:rsidRDefault="00B30D94" w:rsidP="00B30D94">
      <w:pPr>
        <w:pStyle w:val="ListParagraph"/>
        <w:numPr>
          <w:ilvl w:val="0"/>
          <w:numId w:val="4"/>
        </w:numPr>
        <w:spacing w:after="0"/>
        <w:rPr>
          <w:rFonts w:ascii="Times New Roman" w:hAnsi="Times New Roman" w:cs="Times New Roman"/>
          <w:sz w:val="24"/>
          <w:szCs w:val="24"/>
        </w:rPr>
      </w:pPr>
      <w:r w:rsidRPr="00410F1A">
        <w:rPr>
          <w:rFonts w:ascii="Times New Roman" w:hAnsi="Times New Roman" w:cs="Times New Roman"/>
          <w:b/>
          <w:bCs/>
          <w:sz w:val="24"/>
          <w:szCs w:val="24"/>
        </w:rPr>
        <w:t>Consider how best to track progress and collect data</w:t>
      </w:r>
      <w:r w:rsidRPr="00410F1A">
        <w:rPr>
          <w:rFonts w:ascii="Times New Roman" w:hAnsi="Times New Roman" w:cs="Times New Roman"/>
          <w:sz w:val="24"/>
          <w:szCs w:val="24"/>
        </w:rPr>
        <w:t xml:space="preserve">: Begin to formulate input, output, and outcome metrics and prepare to collect data on enhanced programs and supports, including the impact of whole school initiatives and targeted interventions for specific student groups.  </w:t>
      </w:r>
    </w:p>
    <w:p w14:paraId="30A3D5B1" w14:textId="77777777" w:rsidR="00B30D94" w:rsidRPr="00410F1A" w:rsidRDefault="00B30D94" w:rsidP="00B30D94">
      <w:pPr>
        <w:spacing w:after="0"/>
        <w:rPr>
          <w:rFonts w:ascii="Times New Roman" w:hAnsi="Times New Roman" w:cs="Times New Roman"/>
          <w:sz w:val="24"/>
          <w:szCs w:val="24"/>
          <w:u w:val="single"/>
        </w:rPr>
      </w:pPr>
    </w:p>
    <w:p w14:paraId="05646AA2" w14:textId="14D0FDC3" w:rsidR="00CB4BF7" w:rsidRPr="00410F1A" w:rsidRDefault="009A6D1E" w:rsidP="00B30D94">
      <w:pPr>
        <w:spacing w:after="0"/>
        <w:rPr>
          <w:rFonts w:ascii="Times New Roman" w:hAnsi="Times New Roman" w:cs="Times New Roman"/>
          <w:b/>
          <w:bCs/>
          <w:color w:val="4472C4" w:themeColor="accent1"/>
          <w:sz w:val="24"/>
          <w:szCs w:val="24"/>
          <w:u w:val="single"/>
        </w:rPr>
      </w:pPr>
      <w:r w:rsidRPr="00410F1A">
        <w:rPr>
          <w:rFonts w:ascii="Times New Roman" w:hAnsi="Times New Roman" w:cs="Times New Roman"/>
          <w:b/>
          <w:bCs/>
          <w:color w:val="4472C4" w:themeColor="accent1"/>
          <w:sz w:val="24"/>
          <w:szCs w:val="24"/>
          <w:u w:val="single"/>
        </w:rPr>
        <w:t>Into the fall</w:t>
      </w:r>
      <w:r w:rsidR="00CB4BF7" w:rsidRPr="00410F1A">
        <w:rPr>
          <w:rFonts w:ascii="Times New Roman" w:hAnsi="Times New Roman" w:cs="Times New Roman"/>
          <w:b/>
          <w:bCs/>
          <w:color w:val="4472C4" w:themeColor="accent1"/>
          <w:sz w:val="24"/>
          <w:szCs w:val="24"/>
          <w:u w:val="single"/>
        </w:rPr>
        <w:t xml:space="preserve">: </w:t>
      </w:r>
    </w:p>
    <w:p w14:paraId="1C00431B" w14:textId="4812C32E" w:rsidR="003C1DA5" w:rsidRPr="00410F1A" w:rsidRDefault="00522E68" w:rsidP="00B30D94">
      <w:pPr>
        <w:pStyle w:val="ListParagraph"/>
        <w:numPr>
          <w:ilvl w:val="0"/>
          <w:numId w:val="3"/>
        </w:numPr>
        <w:spacing w:after="0"/>
        <w:rPr>
          <w:rFonts w:ascii="Times New Roman" w:hAnsi="Times New Roman" w:cs="Times New Roman"/>
          <w:sz w:val="24"/>
          <w:szCs w:val="24"/>
        </w:rPr>
      </w:pPr>
      <w:r w:rsidRPr="00410F1A">
        <w:rPr>
          <w:rFonts w:ascii="Times New Roman" w:hAnsi="Times New Roman" w:cs="Times New Roman"/>
          <w:b/>
          <w:bCs/>
          <w:sz w:val="24"/>
          <w:szCs w:val="24"/>
        </w:rPr>
        <w:t>After further assessment of student needs</w:t>
      </w:r>
      <w:r w:rsidR="00D91C1B" w:rsidRPr="00410F1A">
        <w:rPr>
          <w:rFonts w:ascii="Times New Roman" w:hAnsi="Times New Roman" w:cs="Times New Roman"/>
          <w:b/>
          <w:bCs/>
          <w:sz w:val="24"/>
          <w:szCs w:val="24"/>
        </w:rPr>
        <w:t xml:space="preserve">, and in close collaboration with stakeholders, </w:t>
      </w:r>
      <w:r w:rsidR="00482825" w:rsidRPr="00410F1A">
        <w:rPr>
          <w:rFonts w:ascii="Times New Roman" w:hAnsi="Times New Roman" w:cs="Times New Roman"/>
          <w:b/>
          <w:bCs/>
          <w:sz w:val="24"/>
          <w:szCs w:val="24"/>
        </w:rPr>
        <w:t>craft</w:t>
      </w:r>
      <w:r w:rsidR="00D91C1B" w:rsidRPr="00410F1A">
        <w:rPr>
          <w:rFonts w:ascii="Times New Roman" w:hAnsi="Times New Roman" w:cs="Times New Roman"/>
          <w:b/>
          <w:bCs/>
          <w:sz w:val="24"/>
          <w:szCs w:val="24"/>
        </w:rPr>
        <w:t xml:space="preserve"> a formal multi-year plan </w:t>
      </w:r>
      <w:r w:rsidR="0068117C" w:rsidRPr="00410F1A">
        <w:rPr>
          <w:rFonts w:ascii="Times New Roman" w:hAnsi="Times New Roman" w:cs="Times New Roman"/>
          <w:b/>
          <w:bCs/>
          <w:sz w:val="24"/>
          <w:szCs w:val="24"/>
        </w:rPr>
        <w:t>to support</w:t>
      </w:r>
      <w:r w:rsidR="00D91C1B" w:rsidRPr="00410F1A">
        <w:rPr>
          <w:rFonts w:ascii="Times New Roman" w:hAnsi="Times New Roman" w:cs="Times New Roman"/>
          <w:b/>
          <w:bCs/>
          <w:sz w:val="24"/>
          <w:szCs w:val="24"/>
        </w:rPr>
        <w:t xml:space="preserve"> </w:t>
      </w:r>
      <w:r w:rsidR="00524D9F" w:rsidRPr="00410F1A">
        <w:rPr>
          <w:rFonts w:ascii="Times New Roman" w:hAnsi="Times New Roman" w:cs="Times New Roman"/>
          <w:b/>
          <w:bCs/>
          <w:sz w:val="24"/>
          <w:szCs w:val="24"/>
        </w:rPr>
        <w:t>student acceleration</w:t>
      </w:r>
      <w:r w:rsidR="0068117C" w:rsidRPr="00410F1A">
        <w:rPr>
          <w:rFonts w:ascii="Times New Roman" w:hAnsi="Times New Roman" w:cs="Times New Roman"/>
          <w:b/>
          <w:bCs/>
          <w:sz w:val="24"/>
          <w:szCs w:val="24"/>
        </w:rPr>
        <w:t xml:space="preserve"> and reduce opportunity gaps</w:t>
      </w:r>
      <w:r w:rsidR="00632D8A" w:rsidRPr="00410F1A">
        <w:rPr>
          <w:rFonts w:ascii="Times New Roman" w:hAnsi="Times New Roman" w:cs="Times New Roman"/>
          <w:b/>
          <w:bCs/>
          <w:sz w:val="24"/>
          <w:szCs w:val="24"/>
        </w:rPr>
        <w:t>, with clear goals and metrics</w:t>
      </w:r>
      <w:r w:rsidR="0068236D" w:rsidRPr="00410F1A">
        <w:rPr>
          <w:rFonts w:ascii="Times New Roman" w:hAnsi="Times New Roman" w:cs="Times New Roman"/>
          <w:b/>
          <w:bCs/>
          <w:sz w:val="24"/>
          <w:szCs w:val="24"/>
        </w:rPr>
        <w:t xml:space="preserve"> and a plan for data collection</w:t>
      </w:r>
      <w:r w:rsidR="00524D9F" w:rsidRPr="00410F1A">
        <w:rPr>
          <w:rFonts w:ascii="Times New Roman" w:hAnsi="Times New Roman" w:cs="Times New Roman"/>
          <w:sz w:val="24"/>
          <w:szCs w:val="24"/>
        </w:rPr>
        <w:t>. DESE will provide more guidance</w:t>
      </w:r>
      <w:r w:rsidR="004449B6" w:rsidRPr="00410F1A">
        <w:rPr>
          <w:rFonts w:ascii="Times New Roman" w:hAnsi="Times New Roman" w:cs="Times New Roman"/>
          <w:sz w:val="24"/>
          <w:szCs w:val="24"/>
        </w:rPr>
        <w:t xml:space="preserve"> in the fall</w:t>
      </w:r>
      <w:r w:rsidR="00524D9F" w:rsidRPr="00410F1A">
        <w:rPr>
          <w:rFonts w:ascii="Times New Roman" w:hAnsi="Times New Roman" w:cs="Times New Roman"/>
          <w:sz w:val="24"/>
          <w:szCs w:val="24"/>
        </w:rPr>
        <w:t xml:space="preserve"> regarding the SOA plan amendment process, which can serve as the vehicle for th</w:t>
      </w:r>
      <w:r w:rsidR="00482825" w:rsidRPr="00410F1A">
        <w:rPr>
          <w:rFonts w:ascii="Times New Roman" w:hAnsi="Times New Roman" w:cs="Times New Roman"/>
          <w:sz w:val="24"/>
          <w:szCs w:val="24"/>
        </w:rPr>
        <w:t>is plan</w:t>
      </w:r>
      <w:r w:rsidR="004449B6" w:rsidRPr="00410F1A">
        <w:rPr>
          <w:rFonts w:ascii="Times New Roman" w:hAnsi="Times New Roman" w:cs="Times New Roman"/>
          <w:sz w:val="24"/>
          <w:szCs w:val="24"/>
        </w:rPr>
        <w:t xml:space="preserve"> (see note below)</w:t>
      </w:r>
      <w:r w:rsidR="00482825" w:rsidRPr="00410F1A">
        <w:rPr>
          <w:rFonts w:ascii="Times New Roman" w:hAnsi="Times New Roman" w:cs="Times New Roman"/>
          <w:sz w:val="24"/>
          <w:szCs w:val="24"/>
        </w:rPr>
        <w:t xml:space="preserve">. </w:t>
      </w:r>
      <w:r w:rsidR="003C1DA5" w:rsidRPr="00410F1A">
        <w:rPr>
          <w:rFonts w:ascii="Times New Roman" w:hAnsi="Times New Roman" w:cs="Times New Roman"/>
          <w:sz w:val="24"/>
          <w:szCs w:val="24"/>
        </w:rPr>
        <w:t xml:space="preserve">While immediate steps should be taken to provide supports to students over the summer and into the fall, </w:t>
      </w:r>
      <w:r w:rsidR="00763F07" w:rsidRPr="00410F1A">
        <w:rPr>
          <w:rFonts w:ascii="Times New Roman" w:hAnsi="Times New Roman" w:cs="Times New Roman"/>
          <w:sz w:val="24"/>
          <w:szCs w:val="24"/>
        </w:rPr>
        <w:t xml:space="preserve">long-term </w:t>
      </w:r>
      <w:r w:rsidR="000E4BA1" w:rsidRPr="00410F1A">
        <w:rPr>
          <w:rFonts w:ascii="Times New Roman" w:hAnsi="Times New Roman" w:cs="Times New Roman"/>
          <w:sz w:val="24"/>
          <w:szCs w:val="24"/>
        </w:rPr>
        <w:t>resource</w:t>
      </w:r>
      <w:r w:rsidR="00A80D4C" w:rsidRPr="00410F1A">
        <w:rPr>
          <w:rFonts w:ascii="Times New Roman" w:hAnsi="Times New Roman" w:cs="Times New Roman"/>
          <w:sz w:val="24"/>
          <w:szCs w:val="24"/>
        </w:rPr>
        <w:t xml:space="preserve"> planning for SOA and ESSER III </w:t>
      </w:r>
      <w:r w:rsidR="00063C1F" w:rsidRPr="00410F1A">
        <w:rPr>
          <w:rFonts w:ascii="Times New Roman" w:hAnsi="Times New Roman" w:cs="Times New Roman"/>
          <w:sz w:val="24"/>
          <w:szCs w:val="24"/>
        </w:rPr>
        <w:t>should be done thoughtfully and deliberately</w:t>
      </w:r>
      <w:r w:rsidR="00016852" w:rsidRPr="00410F1A">
        <w:rPr>
          <w:rFonts w:ascii="Times New Roman" w:hAnsi="Times New Roman" w:cs="Times New Roman"/>
          <w:sz w:val="24"/>
          <w:szCs w:val="24"/>
        </w:rPr>
        <w:t>, with a focus on establishing</w:t>
      </w:r>
      <w:r w:rsidR="0068236D" w:rsidRPr="00410F1A">
        <w:rPr>
          <w:rFonts w:ascii="Times New Roman" w:hAnsi="Times New Roman" w:cs="Times New Roman"/>
          <w:sz w:val="24"/>
          <w:szCs w:val="24"/>
        </w:rPr>
        <w:t xml:space="preserve">, monitoring, and </w:t>
      </w:r>
      <w:r w:rsidR="00016852" w:rsidRPr="00410F1A">
        <w:rPr>
          <w:rFonts w:ascii="Times New Roman" w:hAnsi="Times New Roman" w:cs="Times New Roman"/>
          <w:sz w:val="24"/>
          <w:szCs w:val="24"/>
        </w:rPr>
        <w:t>sustaining high-quality programs</w:t>
      </w:r>
      <w:r w:rsidR="00063C1F" w:rsidRPr="00410F1A">
        <w:rPr>
          <w:rFonts w:ascii="Times New Roman" w:hAnsi="Times New Roman" w:cs="Times New Roman"/>
          <w:sz w:val="24"/>
          <w:szCs w:val="24"/>
        </w:rPr>
        <w:t>.</w:t>
      </w:r>
    </w:p>
    <w:p w14:paraId="4F5BA913" w14:textId="48E77A3F" w:rsidR="00442D3A" w:rsidRPr="00410F1A" w:rsidRDefault="00E165CD" w:rsidP="00B30D94">
      <w:pPr>
        <w:pStyle w:val="ListParagraph"/>
        <w:numPr>
          <w:ilvl w:val="0"/>
          <w:numId w:val="3"/>
        </w:numPr>
        <w:spacing w:after="0"/>
        <w:rPr>
          <w:rFonts w:ascii="Times New Roman" w:hAnsi="Times New Roman" w:cs="Times New Roman"/>
          <w:sz w:val="24"/>
          <w:szCs w:val="24"/>
        </w:rPr>
      </w:pPr>
      <w:r w:rsidRPr="00410F1A">
        <w:rPr>
          <w:rFonts w:ascii="Times New Roman" w:hAnsi="Times New Roman" w:cs="Times New Roman"/>
          <w:b/>
          <w:bCs/>
          <w:sz w:val="24"/>
          <w:szCs w:val="24"/>
        </w:rPr>
        <w:t>Particularly for</w:t>
      </w:r>
      <w:r w:rsidR="00EB6756" w:rsidRPr="00410F1A">
        <w:rPr>
          <w:rFonts w:ascii="Times New Roman" w:hAnsi="Times New Roman" w:cs="Times New Roman"/>
          <w:b/>
          <w:bCs/>
          <w:sz w:val="24"/>
          <w:szCs w:val="24"/>
        </w:rPr>
        <w:t xml:space="preserve"> districts </w:t>
      </w:r>
      <w:r w:rsidR="009C5E92" w:rsidRPr="00410F1A">
        <w:rPr>
          <w:rFonts w:ascii="Times New Roman" w:hAnsi="Times New Roman" w:cs="Times New Roman"/>
          <w:b/>
          <w:bCs/>
          <w:sz w:val="24"/>
          <w:szCs w:val="24"/>
        </w:rPr>
        <w:t xml:space="preserve">historically </w:t>
      </w:r>
      <w:r w:rsidR="00EB6756" w:rsidRPr="00410F1A">
        <w:rPr>
          <w:rFonts w:ascii="Times New Roman" w:hAnsi="Times New Roman" w:cs="Times New Roman"/>
          <w:b/>
          <w:bCs/>
          <w:sz w:val="24"/>
          <w:szCs w:val="24"/>
        </w:rPr>
        <w:t>funded at</w:t>
      </w:r>
      <w:r w:rsidR="009C5E92" w:rsidRPr="00410F1A">
        <w:rPr>
          <w:rFonts w:ascii="Times New Roman" w:hAnsi="Times New Roman" w:cs="Times New Roman"/>
          <w:b/>
          <w:bCs/>
          <w:sz w:val="24"/>
          <w:szCs w:val="24"/>
        </w:rPr>
        <w:t>, or near, required</w:t>
      </w:r>
      <w:r w:rsidR="00EB6756" w:rsidRPr="00410F1A">
        <w:rPr>
          <w:rFonts w:ascii="Times New Roman" w:hAnsi="Times New Roman" w:cs="Times New Roman"/>
          <w:b/>
          <w:bCs/>
          <w:sz w:val="24"/>
          <w:szCs w:val="24"/>
        </w:rPr>
        <w:t xml:space="preserve"> net school spending</w:t>
      </w:r>
      <w:r w:rsidR="00442D3A" w:rsidRPr="00410F1A">
        <w:rPr>
          <w:rFonts w:ascii="Times New Roman" w:hAnsi="Times New Roman" w:cs="Times New Roman"/>
          <w:b/>
          <w:bCs/>
          <w:sz w:val="24"/>
          <w:szCs w:val="24"/>
        </w:rPr>
        <w:t xml:space="preserve"> and seeing substantial increases in their net school spending </w:t>
      </w:r>
      <w:r w:rsidR="001F4134" w:rsidRPr="00410F1A">
        <w:rPr>
          <w:rFonts w:ascii="Times New Roman" w:hAnsi="Times New Roman" w:cs="Times New Roman"/>
          <w:b/>
          <w:bCs/>
          <w:sz w:val="24"/>
          <w:szCs w:val="24"/>
        </w:rPr>
        <w:t>requirement</w:t>
      </w:r>
      <w:r w:rsidR="00442D3A" w:rsidRPr="00410F1A">
        <w:rPr>
          <w:rFonts w:ascii="Times New Roman" w:hAnsi="Times New Roman" w:cs="Times New Roman"/>
          <w:b/>
          <w:bCs/>
          <w:sz w:val="24"/>
          <w:szCs w:val="24"/>
        </w:rPr>
        <w:t xml:space="preserve"> due </w:t>
      </w:r>
      <w:r w:rsidR="001F4134" w:rsidRPr="00410F1A">
        <w:rPr>
          <w:rFonts w:ascii="Times New Roman" w:hAnsi="Times New Roman" w:cs="Times New Roman"/>
          <w:b/>
          <w:bCs/>
          <w:sz w:val="24"/>
          <w:szCs w:val="24"/>
        </w:rPr>
        <w:t>to</w:t>
      </w:r>
      <w:r w:rsidR="00442D3A" w:rsidRPr="00410F1A">
        <w:rPr>
          <w:rFonts w:ascii="Times New Roman" w:hAnsi="Times New Roman" w:cs="Times New Roman"/>
          <w:b/>
          <w:bCs/>
          <w:sz w:val="24"/>
          <w:szCs w:val="24"/>
        </w:rPr>
        <w:t xml:space="preserve"> the SOA, it is imperative </w:t>
      </w:r>
      <w:r w:rsidR="001F4134" w:rsidRPr="00410F1A">
        <w:rPr>
          <w:rFonts w:ascii="Times New Roman" w:hAnsi="Times New Roman" w:cs="Times New Roman"/>
          <w:b/>
          <w:bCs/>
          <w:sz w:val="24"/>
          <w:szCs w:val="24"/>
        </w:rPr>
        <w:t>to end</w:t>
      </w:r>
      <w:r w:rsidR="00442D3A" w:rsidRPr="00410F1A">
        <w:rPr>
          <w:rFonts w:ascii="Times New Roman" w:hAnsi="Times New Roman" w:cs="Times New Roman"/>
          <w:b/>
          <w:bCs/>
          <w:sz w:val="24"/>
          <w:szCs w:val="24"/>
        </w:rPr>
        <w:t xml:space="preserve"> the year at </w:t>
      </w:r>
      <w:r w:rsidR="00166F23" w:rsidRPr="00410F1A">
        <w:rPr>
          <w:rFonts w:ascii="Times New Roman" w:hAnsi="Times New Roman" w:cs="Times New Roman"/>
          <w:b/>
          <w:bCs/>
          <w:sz w:val="24"/>
          <w:szCs w:val="24"/>
        </w:rPr>
        <w:t>or above</w:t>
      </w:r>
      <w:r w:rsidR="00442D3A" w:rsidRPr="00410F1A">
        <w:rPr>
          <w:rFonts w:ascii="Times New Roman" w:hAnsi="Times New Roman" w:cs="Times New Roman"/>
          <w:b/>
          <w:bCs/>
          <w:sz w:val="24"/>
          <w:szCs w:val="24"/>
        </w:rPr>
        <w:t xml:space="preserve"> </w:t>
      </w:r>
      <w:r w:rsidR="009C5E92" w:rsidRPr="00410F1A">
        <w:rPr>
          <w:rFonts w:ascii="Times New Roman" w:hAnsi="Times New Roman" w:cs="Times New Roman"/>
          <w:b/>
          <w:bCs/>
          <w:sz w:val="24"/>
          <w:szCs w:val="24"/>
        </w:rPr>
        <w:t xml:space="preserve">required </w:t>
      </w:r>
      <w:r w:rsidR="00442D3A" w:rsidRPr="00410F1A">
        <w:rPr>
          <w:rFonts w:ascii="Times New Roman" w:hAnsi="Times New Roman" w:cs="Times New Roman"/>
          <w:b/>
          <w:bCs/>
          <w:sz w:val="24"/>
          <w:szCs w:val="24"/>
        </w:rPr>
        <w:t xml:space="preserve">net school spending. </w:t>
      </w:r>
      <w:r w:rsidR="00442D3A" w:rsidRPr="00410F1A">
        <w:rPr>
          <w:rFonts w:ascii="Times New Roman" w:hAnsi="Times New Roman" w:cs="Times New Roman"/>
          <w:sz w:val="24"/>
          <w:szCs w:val="24"/>
        </w:rPr>
        <w:t>While the current fiscal year may pose</w:t>
      </w:r>
      <w:r w:rsidR="00C24C3E" w:rsidRPr="00410F1A">
        <w:rPr>
          <w:rFonts w:ascii="Times New Roman" w:hAnsi="Times New Roman" w:cs="Times New Roman"/>
          <w:sz w:val="24"/>
          <w:szCs w:val="24"/>
        </w:rPr>
        <w:t xml:space="preserve"> some</w:t>
      </w:r>
      <w:r w:rsidR="00442D3A" w:rsidRPr="00410F1A">
        <w:rPr>
          <w:rFonts w:ascii="Times New Roman" w:hAnsi="Times New Roman" w:cs="Times New Roman"/>
          <w:sz w:val="24"/>
          <w:szCs w:val="24"/>
        </w:rPr>
        <w:t xml:space="preserve"> challenges in this regard, </w:t>
      </w:r>
      <w:r w:rsidR="00C24C3E" w:rsidRPr="00410F1A">
        <w:rPr>
          <w:rFonts w:ascii="Times New Roman" w:hAnsi="Times New Roman" w:cs="Times New Roman"/>
          <w:sz w:val="24"/>
          <w:szCs w:val="24"/>
        </w:rPr>
        <w:t xml:space="preserve">for </w:t>
      </w:r>
      <w:r w:rsidR="00192734" w:rsidRPr="00410F1A">
        <w:rPr>
          <w:rFonts w:ascii="Times New Roman" w:hAnsi="Times New Roman" w:cs="Times New Roman"/>
          <w:sz w:val="24"/>
          <w:szCs w:val="24"/>
        </w:rPr>
        <w:t xml:space="preserve">some </w:t>
      </w:r>
      <w:r w:rsidR="00C24C3E" w:rsidRPr="00410F1A">
        <w:rPr>
          <w:rFonts w:ascii="Times New Roman" w:hAnsi="Times New Roman" w:cs="Times New Roman"/>
          <w:sz w:val="24"/>
          <w:szCs w:val="24"/>
        </w:rPr>
        <w:t>districts</w:t>
      </w:r>
      <w:r w:rsidR="003463EC" w:rsidRPr="00410F1A">
        <w:rPr>
          <w:rFonts w:ascii="Times New Roman" w:hAnsi="Times New Roman" w:cs="Times New Roman"/>
          <w:sz w:val="24"/>
          <w:szCs w:val="24"/>
        </w:rPr>
        <w:t>,</w:t>
      </w:r>
      <w:r w:rsidR="00C24C3E" w:rsidRPr="00410F1A">
        <w:rPr>
          <w:rFonts w:ascii="Times New Roman" w:hAnsi="Times New Roman" w:cs="Times New Roman"/>
          <w:sz w:val="24"/>
          <w:szCs w:val="24"/>
        </w:rPr>
        <w:t xml:space="preserve"> </w:t>
      </w:r>
      <w:r w:rsidR="00487520" w:rsidRPr="00410F1A">
        <w:rPr>
          <w:rFonts w:ascii="Times New Roman" w:hAnsi="Times New Roman" w:cs="Times New Roman"/>
          <w:sz w:val="24"/>
          <w:szCs w:val="24"/>
        </w:rPr>
        <w:t xml:space="preserve">meeting </w:t>
      </w:r>
      <w:r w:rsidR="00C24C3E" w:rsidRPr="00410F1A">
        <w:rPr>
          <w:rFonts w:ascii="Times New Roman" w:hAnsi="Times New Roman" w:cs="Times New Roman"/>
          <w:sz w:val="24"/>
          <w:szCs w:val="24"/>
        </w:rPr>
        <w:t xml:space="preserve">this </w:t>
      </w:r>
      <w:r w:rsidR="00487520" w:rsidRPr="00410F1A">
        <w:rPr>
          <w:rFonts w:ascii="Times New Roman" w:hAnsi="Times New Roman" w:cs="Times New Roman"/>
          <w:sz w:val="24"/>
          <w:szCs w:val="24"/>
        </w:rPr>
        <w:t>statutory mandate</w:t>
      </w:r>
      <w:r w:rsidR="00C24C3E" w:rsidRPr="00410F1A">
        <w:rPr>
          <w:rFonts w:ascii="Times New Roman" w:hAnsi="Times New Roman" w:cs="Times New Roman"/>
          <w:sz w:val="24"/>
          <w:szCs w:val="24"/>
        </w:rPr>
        <w:t xml:space="preserve"> </w:t>
      </w:r>
      <w:r w:rsidR="003463EC" w:rsidRPr="00410F1A">
        <w:rPr>
          <w:rFonts w:ascii="Times New Roman" w:hAnsi="Times New Roman" w:cs="Times New Roman"/>
          <w:sz w:val="24"/>
          <w:szCs w:val="24"/>
        </w:rPr>
        <w:t>may</w:t>
      </w:r>
      <w:r w:rsidR="00C24C3E" w:rsidRPr="00410F1A">
        <w:rPr>
          <w:rFonts w:ascii="Times New Roman" w:hAnsi="Times New Roman" w:cs="Times New Roman"/>
          <w:sz w:val="24"/>
          <w:szCs w:val="24"/>
        </w:rPr>
        <w:t xml:space="preserve"> grow</w:t>
      </w:r>
      <w:r w:rsidR="003463EC" w:rsidRPr="00410F1A">
        <w:rPr>
          <w:rFonts w:ascii="Times New Roman" w:hAnsi="Times New Roman" w:cs="Times New Roman"/>
          <w:sz w:val="24"/>
          <w:szCs w:val="24"/>
        </w:rPr>
        <w:t xml:space="preserve"> even </w:t>
      </w:r>
      <w:r w:rsidR="00C24C3E" w:rsidRPr="00410F1A">
        <w:rPr>
          <w:rFonts w:ascii="Times New Roman" w:hAnsi="Times New Roman" w:cs="Times New Roman"/>
          <w:sz w:val="24"/>
          <w:szCs w:val="24"/>
        </w:rPr>
        <w:t>more challenging</w:t>
      </w:r>
      <w:r w:rsidR="00442D3A" w:rsidRPr="00410F1A">
        <w:rPr>
          <w:rFonts w:ascii="Times New Roman" w:hAnsi="Times New Roman" w:cs="Times New Roman"/>
          <w:sz w:val="24"/>
          <w:szCs w:val="24"/>
        </w:rPr>
        <w:t xml:space="preserve"> in future years</w:t>
      </w:r>
      <w:r w:rsidR="00752FC8" w:rsidRPr="00410F1A">
        <w:rPr>
          <w:rFonts w:ascii="Times New Roman" w:hAnsi="Times New Roman" w:cs="Times New Roman"/>
          <w:sz w:val="24"/>
          <w:szCs w:val="24"/>
        </w:rPr>
        <w:t xml:space="preserve">. </w:t>
      </w:r>
      <w:r w:rsidR="00AA25AE" w:rsidRPr="00410F1A">
        <w:rPr>
          <w:rFonts w:ascii="Times New Roman" w:hAnsi="Times New Roman" w:cs="Times New Roman"/>
          <w:sz w:val="24"/>
          <w:szCs w:val="24"/>
        </w:rPr>
        <w:t xml:space="preserve">It is critical that </w:t>
      </w:r>
      <w:r w:rsidR="00223976" w:rsidRPr="00410F1A">
        <w:rPr>
          <w:rFonts w:ascii="Times New Roman" w:hAnsi="Times New Roman" w:cs="Times New Roman"/>
          <w:sz w:val="24"/>
          <w:szCs w:val="24"/>
        </w:rPr>
        <w:t xml:space="preserve">districts and schools have plans in place to fully spend down </w:t>
      </w:r>
      <w:r w:rsidR="00BA4FD0" w:rsidRPr="00410F1A">
        <w:rPr>
          <w:rFonts w:ascii="Times New Roman" w:hAnsi="Times New Roman" w:cs="Times New Roman"/>
          <w:sz w:val="24"/>
          <w:szCs w:val="24"/>
        </w:rPr>
        <w:t xml:space="preserve">general funds and </w:t>
      </w:r>
      <w:r w:rsidR="00752FC8" w:rsidRPr="00410F1A">
        <w:rPr>
          <w:rFonts w:ascii="Times New Roman" w:hAnsi="Times New Roman" w:cs="Times New Roman"/>
          <w:sz w:val="24"/>
          <w:szCs w:val="24"/>
        </w:rPr>
        <w:t xml:space="preserve">do not delay in </w:t>
      </w:r>
      <w:r w:rsidR="00C36F86" w:rsidRPr="00410F1A">
        <w:rPr>
          <w:rFonts w:ascii="Times New Roman" w:hAnsi="Times New Roman" w:cs="Times New Roman"/>
          <w:sz w:val="24"/>
          <w:szCs w:val="24"/>
        </w:rPr>
        <w:t xml:space="preserve">implementing new spending initiatives that could support students now. </w:t>
      </w:r>
    </w:p>
    <w:p w14:paraId="3445C1F8" w14:textId="30F11468" w:rsidR="004A0581" w:rsidRPr="00410F1A" w:rsidRDefault="004A0581" w:rsidP="00B30D94">
      <w:pPr>
        <w:pStyle w:val="ListParagraph"/>
        <w:numPr>
          <w:ilvl w:val="0"/>
          <w:numId w:val="3"/>
        </w:numPr>
        <w:spacing w:after="0"/>
        <w:rPr>
          <w:rFonts w:ascii="Times New Roman" w:hAnsi="Times New Roman" w:cs="Times New Roman"/>
          <w:sz w:val="24"/>
          <w:szCs w:val="24"/>
        </w:rPr>
      </w:pPr>
      <w:r w:rsidRPr="00410F1A">
        <w:rPr>
          <w:rFonts w:ascii="Times New Roman" w:hAnsi="Times New Roman" w:cs="Times New Roman"/>
          <w:b/>
          <w:bCs/>
          <w:sz w:val="24"/>
          <w:szCs w:val="24"/>
        </w:rPr>
        <w:t>Be mindful of implementation variables</w:t>
      </w:r>
      <w:r w:rsidR="00913734" w:rsidRPr="00410F1A">
        <w:rPr>
          <w:rFonts w:ascii="Times New Roman" w:hAnsi="Times New Roman" w:cs="Times New Roman"/>
          <w:b/>
          <w:bCs/>
          <w:sz w:val="24"/>
          <w:szCs w:val="24"/>
        </w:rPr>
        <w:t xml:space="preserve"> and be sure to have contingency plans for spending</w:t>
      </w:r>
      <w:r w:rsidR="00913734" w:rsidRPr="00410F1A">
        <w:rPr>
          <w:rFonts w:ascii="Times New Roman" w:hAnsi="Times New Roman" w:cs="Times New Roman"/>
          <w:sz w:val="24"/>
          <w:szCs w:val="24"/>
        </w:rPr>
        <w:t>. Staffing shortages</w:t>
      </w:r>
      <w:r w:rsidR="00EB6756" w:rsidRPr="00410F1A">
        <w:rPr>
          <w:rFonts w:ascii="Times New Roman" w:hAnsi="Times New Roman" w:cs="Times New Roman"/>
          <w:sz w:val="24"/>
          <w:szCs w:val="24"/>
        </w:rPr>
        <w:t xml:space="preserve">, </w:t>
      </w:r>
      <w:r w:rsidR="00A35DFD" w:rsidRPr="00410F1A">
        <w:rPr>
          <w:rFonts w:ascii="Times New Roman" w:hAnsi="Times New Roman" w:cs="Times New Roman"/>
          <w:sz w:val="24"/>
          <w:szCs w:val="24"/>
        </w:rPr>
        <w:t>contractor delays</w:t>
      </w:r>
      <w:r w:rsidR="00EB6756" w:rsidRPr="00410F1A">
        <w:rPr>
          <w:rFonts w:ascii="Times New Roman" w:hAnsi="Times New Roman" w:cs="Times New Roman"/>
          <w:sz w:val="24"/>
          <w:szCs w:val="24"/>
        </w:rPr>
        <w:t>,</w:t>
      </w:r>
      <w:r w:rsidR="00A35DFD" w:rsidRPr="00410F1A">
        <w:rPr>
          <w:rFonts w:ascii="Times New Roman" w:hAnsi="Times New Roman" w:cs="Times New Roman"/>
          <w:sz w:val="24"/>
          <w:szCs w:val="24"/>
        </w:rPr>
        <w:t xml:space="preserve"> and other </w:t>
      </w:r>
      <w:r w:rsidR="00EB6756" w:rsidRPr="00410F1A">
        <w:rPr>
          <w:rFonts w:ascii="Times New Roman" w:hAnsi="Times New Roman" w:cs="Times New Roman"/>
          <w:sz w:val="24"/>
          <w:szCs w:val="24"/>
        </w:rPr>
        <w:t xml:space="preserve">challenges could </w:t>
      </w:r>
      <w:r w:rsidR="003F1A6A" w:rsidRPr="00410F1A">
        <w:rPr>
          <w:rFonts w:ascii="Times New Roman" w:hAnsi="Times New Roman" w:cs="Times New Roman"/>
          <w:sz w:val="24"/>
          <w:szCs w:val="24"/>
        </w:rPr>
        <w:t xml:space="preserve">pose </w:t>
      </w:r>
      <w:r w:rsidR="00616A0E" w:rsidRPr="00410F1A">
        <w:rPr>
          <w:rFonts w:ascii="Times New Roman" w:hAnsi="Times New Roman" w:cs="Times New Roman"/>
          <w:sz w:val="24"/>
          <w:szCs w:val="24"/>
        </w:rPr>
        <w:t xml:space="preserve">problems </w:t>
      </w:r>
      <w:r w:rsidR="0091447C" w:rsidRPr="00410F1A">
        <w:rPr>
          <w:rFonts w:ascii="Times New Roman" w:hAnsi="Times New Roman" w:cs="Times New Roman"/>
          <w:sz w:val="24"/>
          <w:szCs w:val="24"/>
        </w:rPr>
        <w:t xml:space="preserve">for districts in following through on </w:t>
      </w:r>
      <w:r w:rsidR="00102D1A" w:rsidRPr="00410F1A">
        <w:rPr>
          <w:rFonts w:ascii="Times New Roman" w:hAnsi="Times New Roman" w:cs="Times New Roman"/>
          <w:sz w:val="24"/>
          <w:szCs w:val="24"/>
        </w:rPr>
        <w:t xml:space="preserve">budgeted </w:t>
      </w:r>
      <w:r w:rsidR="0091447C" w:rsidRPr="00410F1A">
        <w:rPr>
          <w:rFonts w:ascii="Times New Roman" w:hAnsi="Times New Roman" w:cs="Times New Roman"/>
          <w:sz w:val="24"/>
          <w:szCs w:val="24"/>
        </w:rPr>
        <w:t>plans</w:t>
      </w:r>
      <w:r w:rsidR="00284F82" w:rsidRPr="00410F1A">
        <w:rPr>
          <w:rFonts w:ascii="Times New Roman" w:hAnsi="Times New Roman" w:cs="Times New Roman"/>
          <w:sz w:val="24"/>
          <w:szCs w:val="24"/>
        </w:rPr>
        <w:t xml:space="preserve">. </w:t>
      </w:r>
      <w:r w:rsidR="00C66010" w:rsidRPr="00410F1A">
        <w:rPr>
          <w:rFonts w:ascii="Times New Roman" w:hAnsi="Times New Roman" w:cs="Times New Roman"/>
          <w:sz w:val="24"/>
          <w:szCs w:val="24"/>
        </w:rPr>
        <w:t>Maintain</w:t>
      </w:r>
      <w:r w:rsidR="00102D1A" w:rsidRPr="00410F1A">
        <w:rPr>
          <w:rFonts w:ascii="Times New Roman" w:hAnsi="Times New Roman" w:cs="Times New Roman"/>
          <w:sz w:val="24"/>
          <w:szCs w:val="24"/>
        </w:rPr>
        <w:t xml:space="preserve"> a list of </w:t>
      </w:r>
      <w:r w:rsidR="000370AC" w:rsidRPr="00410F1A">
        <w:rPr>
          <w:rFonts w:ascii="Times New Roman" w:hAnsi="Times New Roman" w:cs="Times New Roman"/>
          <w:sz w:val="24"/>
          <w:szCs w:val="24"/>
        </w:rPr>
        <w:t>“next priority”</w:t>
      </w:r>
      <w:r w:rsidR="00102D1A" w:rsidRPr="00410F1A">
        <w:rPr>
          <w:rFonts w:ascii="Times New Roman" w:hAnsi="Times New Roman" w:cs="Times New Roman"/>
          <w:sz w:val="24"/>
          <w:szCs w:val="24"/>
        </w:rPr>
        <w:t xml:space="preserve"> </w:t>
      </w:r>
      <w:r w:rsidR="000370AC" w:rsidRPr="00410F1A">
        <w:rPr>
          <w:rFonts w:ascii="Times New Roman" w:hAnsi="Times New Roman" w:cs="Times New Roman"/>
          <w:sz w:val="24"/>
          <w:szCs w:val="24"/>
        </w:rPr>
        <w:t>spending items to</w:t>
      </w:r>
      <w:r w:rsidR="00102D1A" w:rsidRPr="00410F1A">
        <w:rPr>
          <w:rFonts w:ascii="Times New Roman" w:hAnsi="Times New Roman" w:cs="Times New Roman"/>
          <w:sz w:val="24"/>
          <w:szCs w:val="24"/>
        </w:rPr>
        <w:t xml:space="preserve"> </w:t>
      </w:r>
      <w:r w:rsidR="008113F9" w:rsidRPr="00410F1A">
        <w:rPr>
          <w:rFonts w:ascii="Times New Roman" w:hAnsi="Times New Roman" w:cs="Times New Roman"/>
          <w:sz w:val="24"/>
          <w:szCs w:val="24"/>
        </w:rPr>
        <w:t xml:space="preserve">help ensure </w:t>
      </w:r>
      <w:r w:rsidR="00B124FF" w:rsidRPr="00410F1A">
        <w:rPr>
          <w:rFonts w:ascii="Times New Roman" w:hAnsi="Times New Roman" w:cs="Times New Roman"/>
          <w:sz w:val="24"/>
          <w:szCs w:val="24"/>
        </w:rPr>
        <w:t xml:space="preserve">continued progress even if </w:t>
      </w:r>
      <w:r w:rsidR="00192734" w:rsidRPr="00410F1A">
        <w:rPr>
          <w:rFonts w:ascii="Times New Roman" w:hAnsi="Times New Roman" w:cs="Times New Roman"/>
          <w:sz w:val="24"/>
          <w:szCs w:val="24"/>
        </w:rPr>
        <w:t xml:space="preserve">some </w:t>
      </w:r>
      <w:r w:rsidR="00D26C72" w:rsidRPr="00410F1A">
        <w:rPr>
          <w:rFonts w:ascii="Times New Roman" w:hAnsi="Times New Roman" w:cs="Times New Roman"/>
          <w:sz w:val="24"/>
          <w:szCs w:val="24"/>
        </w:rPr>
        <w:t>initiatives are delayed</w:t>
      </w:r>
      <w:r w:rsidR="00B124FF" w:rsidRPr="00410F1A">
        <w:rPr>
          <w:rFonts w:ascii="Times New Roman" w:hAnsi="Times New Roman" w:cs="Times New Roman"/>
          <w:sz w:val="24"/>
          <w:szCs w:val="24"/>
        </w:rPr>
        <w:t>.</w:t>
      </w:r>
    </w:p>
    <w:p w14:paraId="0A79F425" w14:textId="368D28CA" w:rsidR="00502D6C" w:rsidRPr="00410F1A" w:rsidRDefault="00502D6C" w:rsidP="00B30D94">
      <w:pPr>
        <w:spacing w:after="0"/>
        <w:rPr>
          <w:rFonts w:ascii="Times New Roman" w:hAnsi="Times New Roman" w:cs="Times New Roman"/>
          <w:sz w:val="24"/>
          <w:szCs w:val="24"/>
        </w:rPr>
      </w:pPr>
    </w:p>
    <w:p w14:paraId="0C0C29EF" w14:textId="759D2263" w:rsidR="00502D6C" w:rsidRPr="00410F1A" w:rsidRDefault="0068236D" w:rsidP="004A3C3D">
      <w:pPr>
        <w:pStyle w:val="Heading2"/>
      </w:pPr>
      <w:r w:rsidRPr="00410F1A">
        <w:t>Important</w:t>
      </w:r>
      <w:r w:rsidR="00223BB3" w:rsidRPr="00410F1A">
        <w:t xml:space="preserve"> note on SOA plan amendment process </w:t>
      </w:r>
    </w:p>
    <w:p w14:paraId="5EC2E7EC" w14:textId="77777777" w:rsidR="00B30D94" w:rsidRPr="00410F1A" w:rsidRDefault="00B30D94" w:rsidP="00B30D94">
      <w:pPr>
        <w:spacing w:after="0"/>
        <w:rPr>
          <w:rFonts w:ascii="Times New Roman" w:hAnsi="Times New Roman" w:cs="Times New Roman"/>
          <w:b/>
          <w:bCs/>
          <w:color w:val="4472C4" w:themeColor="accent1"/>
          <w:sz w:val="24"/>
          <w:szCs w:val="24"/>
        </w:rPr>
      </w:pPr>
    </w:p>
    <w:p w14:paraId="3C282E9C" w14:textId="2EF39485" w:rsidR="00502D6C" w:rsidRPr="00410F1A" w:rsidRDefault="00502D6C" w:rsidP="00B30D94">
      <w:pPr>
        <w:spacing w:after="0"/>
        <w:rPr>
          <w:rFonts w:ascii="Times New Roman" w:hAnsi="Times New Roman" w:cs="Times New Roman"/>
          <w:sz w:val="24"/>
          <w:szCs w:val="24"/>
        </w:rPr>
      </w:pPr>
      <w:r w:rsidRPr="00410F1A">
        <w:rPr>
          <w:rFonts w:ascii="Times New Roman" w:hAnsi="Times New Roman" w:cs="Times New Roman"/>
          <w:sz w:val="24"/>
          <w:szCs w:val="24"/>
        </w:rPr>
        <w:t xml:space="preserve">While planning and resource allocation efforts </w:t>
      </w:r>
      <w:r w:rsidR="00CE2116" w:rsidRPr="00410F1A">
        <w:rPr>
          <w:rFonts w:ascii="Times New Roman" w:hAnsi="Times New Roman" w:cs="Times New Roman"/>
          <w:sz w:val="24"/>
          <w:szCs w:val="24"/>
        </w:rPr>
        <w:t>have already begun,</w:t>
      </w:r>
      <w:r w:rsidRPr="00410F1A">
        <w:rPr>
          <w:rFonts w:ascii="Times New Roman" w:hAnsi="Times New Roman" w:cs="Times New Roman"/>
          <w:sz w:val="24"/>
          <w:szCs w:val="24"/>
        </w:rPr>
        <w:t xml:space="preserve"> </w:t>
      </w:r>
      <w:r w:rsidR="00223BB3" w:rsidRPr="00410F1A">
        <w:rPr>
          <w:rFonts w:ascii="Times New Roman" w:hAnsi="Times New Roman" w:cs="Times New Roman"/>
          <w:sz w:val="24"/>
          <w:szCs w:val="24"/>
        </w:rPr>
        <w:t xml:space="preserve">DESE </w:t>
      </w:r>
      <w:r w:rsidRPr="00410F1A">
        <w:rPr>
          <w:rFonts w:ascii="Times New Roman" w:hAnsi="Times New Roman" w:cs="Times New Roman"/>
          <w:sz w:val="24"/>
          <w:szCs w:val="24"/>
        </w:rPr>
        <w:t>will require districts to submit an updated, comprehensive plan for addressing disparities across student subgroups</w:t>
      </w:r>
      <w:r w:rsidR="00C41D2E" w:rsidRPr="00410F1A">
        <w:rPr>
          <w:rFonts w:ascii="Times New Roman" w:hAnsi="Times New Roman" w:cs="Times New Roman"/>
          <w:sz w:val="24"/>
          <w:szCs w:val="24"/>
        </w:rPr>
        <w:t xml:space="preserve"> </w:t>
      </w:r>
      <w:r w:rsidRPr="00410F1A">
        <w:rPr>
          <w:rFonts w:ascii="Times New Roman" w:hAnsi="Times New Roman" w:cs="Times New Roman"/>
          <w:sz w:val="24"/>
          <w:szCs w:val="24"/>
        </w:rPr>
        <w:t xml:space="preserve">as part of the SOA </w:t>
      </w:r>
      <w:r w:rsidR="008D10A1" w:rsidRPr="00410F1A">
        <w:rPr>
          <w:rFonts w:ascii="Times New Roman" w:hAnsi="Times New Roman" w:cs="Times New Roman"/>
          <w:sz w:val="24"/>
          <w:szCs w:val="24"/>
        </w:rPr>
        <w:t xml:space="preserve">plan </w:t>
      </w:r>
      <w:r w:rsidRPr="00410F1A">
        <w:rPr>
          <w:rFonts w:ascii="Times New Roman" w:hAnsi="Times New Roman" w:cs="Times New Roman"/>
          <w:sz w:val="24"/>
          <w:szCs w:val="24"/>
        </w:rPr>
        <w:t>amendment process</w:t>
      </w:r>
      <w:r w:rsidR="008D10A1" w:rsidRPr="00410F1A">
        <w:rPr>
          <w:rFonts w:ascii="Times New Roman" w:hAnsi="Times New Roman" w:cs="Times New Roman"/>
          <w:sz w:val="24"/>
          <w:szCs w:val="24"/>
        </w:rPr>
        <w:t xml:space="preserve"> required by statute</w:t>
      </w:r>
      <w:r w:rsidRPr="00410F1A">
        <w:rPr>
          <w:rFonts w:ascii="Times New Roman" w:hAnsi="Times New Roman" w:cs="Times New Roman"/>
          <w:sz w:val="24"/>
          <w:szCs w:val="24"/>
        </w:rPr>
        <w:t xml:space="preserve">. </w:t>
      </w:r>
      <w:r w:rsidR="00C61B68" w:rsidRPr="00410F1A">
        <w:rPr>
          <w:rFonts w:ascii="Times New Roman" w:hAnsi="Times New Roman" w:cs="Times New Roman"/>
          <w:sz w:val="24"/>
          <w:szCs w:val="24"/>
        </w:rPr>
        <w:t>Districts will be asked to account for both</w:t>
      </w:r>
      <w:r w:rsidR="00C41D2E" w:rsidRPr="00410F1A">
        <w:rPr>
          <w:rFonts w:ascii="Times New Roman" w:hAnsi="Times New Roman" w:cs="Times New Roman"/>
          <w:sz w:val="24"/>
          <w:szCs w:val="24"/>
        </w:rPr>
        <w:t xml:space="preserve"> SOA and ESSER III fund</w:t>
      </w:r>
      <w:r w:rsidR="00C61B68" w:rsidRPr="00410F1A">
        <w:rPr>
          <w:rFonts w:ascii="Times New Roman" w:hAnsi="Times New Roman" w:cs="Times New Roman"/>
          <w:sz w:val="24"/>
          <w:szCs w:val="24"/>
        </w:rPr>
        <w:t xml:space="preserve">s in </w:t>
      </w:r>
      <w:r w:rsidR="00521DCA" w:rsidRPr="00410F1A">
        <w:rPr>
          <w:rFonts w:ascii="Times New Roman" w:hAnsi="Times New Roman" w:cs="Times New Roman"/>
          <w:sz w:val="24"/>
          <w:szCs w:val="24"/>
        </w:rPr>
        <w:t>these</w:t>
      </w:r>
      <w:r w:rsidR="00C61B68" w:rsidRPr="00410F1A">
        <w:rPr>
          <w:rFonts w:ascii="Times New Roman" w:hAnsi="Times New Roman" w:cs="Times New Roman"/>
          <w:sz w:val="24"/>
          <w:szCs w:val="24"/>
        </w:rPr>
        <w:t xml:space="preserve"> plan</w:t>
      </w:r>
      <w:r w:rsidR="003C300C" w:rsidRPr="00410F1A">
        <w:rPr>
          <w:rFonts w:ascii="Times New Roman" w:hAnsi="Times New Roman" w:cs="Times New Roman"/>
          <w:sz w:val="24"/>
          <w:szCs w:val="24"/>
        </w:rPr>
        <w:t xml:space="preserve"> </w:t>
      </w:r>
      <w:r w:rsidR="00521DCA" w:rsidRPr="00410F1A">
        <w:rPr>
          <w:rFonts w:ascii="Times New Roman" w:hAnsi="Times New Roman" w:cs="Times New Roman"/>
          <w:sz w:val="24"/>
          <w:szCs w:val="24"/>
        </w:rPr>
        <w:t>amendments</w:t>
      </w:r>
      <w:r w:rsidR="00C41D2E" w:rsidRPr="00410F1A">
        <w:rPr>
          <w:rFonts w:ascii="Times New Roman" w:hAnsi="Times New Roman" w:cs="Times New Roman"/>
          <w:sz w:val="24"/>
          <w:szCs w:val="24"/>
        </w:rPr>
        <w:t xml:space="preserve">. </w:t>
      </w:r>
      <w:r w:rsidRPr="00410F1A">
        <w:rPr>
          <w:rFonts w:ascii="Times New Roman" w:hAnsi="Times New Roman" w:cs="Times New Roman"/>
          <w:sz w:val="24"/>
          <w:szCs w:val="24"/>
        </w:rPr>
        <w:t>Th</w:t>
      </w:r>
      <w:r w:rsidR="00C61B68" w:rsidRPr="00410F1A">
        <w:rPr>
          <w:rFonts w:ascii="Times New Roman" w:hAnsi="Times New Roman" w:cs="Times New Roman"/>
          <w:sz w:val="24"/>
          <w:szCs w:val="24"/>
        </w:rPr>
        <w:t>e amendment</w:t>
      </w:r>
      <w:r w:rsidRPr="00410F1A">
        <w:rPr>
          <w:rFonts w:ascii="Times New Roman" w:hAnsi="Times New Roman" w:cs="Times New Roman"/>
          <w:sz w:val="24"/>
          <w:szCs w:val="24"/>
        </w:rPr>
        <w:t xml:space="preserve"> process will launch in the fall and </w:t>
      </w:r>
      <w:r w:rsidR="00B30D94" w:rsidRPr="00410F1A">
        <w:rPr>
          <w:rFonts w:ascii="Times New Roman" w:hAnsi="Times New Roman" w:cs="Times New Roman"/>
          <w:sz w:val="24"/>
          <w:szCs w:val="24"/>
        </w:rPr>
        <w:t>updated plans will be due in early 2022. This process will include a</w:t>
      </w:r>
      <w:r w:rsidRPr="00410F1A">
        <w:rPr>
          <w:rFonts w:ascii="Times New Roman" w:hAnsi="Times New Roman" w:cs="Times New Roman"/>
          <w:sz w:val="24"/>
          <w:szCs w:val="24"/>
        </w:rPr>
        <w:t xml:space="preserve"> significant window for </w:t>
      </w:r>
      <w:r w:rsidR="00C61B68" w:rsidRPr="00410F1A">
        <w:rPr>
          <w:rFonts w:ascii="Times New Roman" w:hAnsi="Times New Roman" w:cs="Times New Roman"/>
          <w:sz w:val="24"/>
          <w:szCs w:val="24"/>
        </w:rPr>
        <w:t xml:space="preserve">continued stakeholder engagement and </w:t>
      </w:r>
      <w:r w:rsidRPr="00410F1A">
        <w:rPr>
          <w:rFonts w:ascii="Times New Roman" w:hAnsi="Times New Roman" w:cs="Times New Roman"/>
          <w:sz w:val="24"/>
          <w:szCs w:val="24"/>
        </w:rPr>
        <w:t>plan development.</w:t>
      </w:r>
    </w:p>
    <w:p w14:paraId="33C2FCDB" w14:textId="0E3FCC39"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br w:type="page"/>
      </w:r>
    </w:p>
    <w:p w14:paraId="2919268E" w14:textId="7399199D" w:rsidR="00B30D94" w:rsidRPr="00410F1A" w:rsidRDefault="00B30D94" w:rsidP="004A3C3D">
      <w:pPr>
        <w:pStyle w:val="Heading2"/>
      </w:pPr>
      <w:r w:rsidRPr="00410F1A">
        <w:lastRenderedPageBreak/>
        <w:t xml:space="preserve">Appendix: Evidence-Based Strategies, Interventions, and Supports </w:t>
      </w:r>
    </w:p>
    <w:p w14:paraId="55E91814" w14:textId="77777777" w:rsidR="00B30D94" w:rsidRPr="00410F1A" w:rsidRDefault="00B30D94" w:rsidP="00B30D94">
      <w:pPr>
        <w:spacing w:after="0"/>
        <w:rPr>
          <w:rFonts w:ascii="Times New Roman" w:hAnsi="Times New Roman" w:cs="Times New Roman"/>
          <w:sz w:val="24"/>
          <w:szCs w:val="24"/>
        </w:rPr>
      </w:pPr>
    </w:p>
    <w:p w14:paraId="4378FB9C" w14:textId="12D6A30A"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Below are the recommended evidence-based initiatives that districts should consider when planning</w:t>
      </w:r>
      <w:r w:rsidR="0068236D" w:rsidRPr="00410F1A">
        <w:rPr>
          <w:rFonts w:ascii="Times New Roman" w:hAnsi="Times New Roman" w:cs="Times New Roman"/>
          <w:sz w:val="24"/>
          <w:szCs w:val="24"/>
        </w:rPr>
        <w:t xml:space="preserve"> for the use of ESSER and SOA funds</w:t>
      </w:r>
      <w:r w:rsidRPr="00410F1A">
        <w:rPr>
          <w:rFonts w:ascii="Times New Roman" w:hAnsi="Times New Roman" w:cs="Times New Roman"/>
          <w:sz w:val="24"/>
          <w:szCs w:val="24"/>
        </w:rPr>
        <w:t>. These are referenced in DESE’s ESSER III application for districts and school</w:t>
      </w:r>
      <w:r w:rsidR="0068236D" w:rsidRPr="00410F1A">
        <w:rPr>
          <w:rFonts w:ascii="Times New Roman" w:hAnsi="Times New Roman" w:cs="Times New Roman"/>
          <w:sz w:val="24"/>
          <w:szCs w:val="24"/>
        </w:rPr>
        <w:t xml:space="preserve">s and include the </w:t>
      </w:r>
      <w:r w:rsidRPr="00410F1A">
        <w:rPr>
          <w:rFonts w:ascii="Times New Roman" w:hAnsi="Times New Roman" w:cs="Times New Roman"/>
          <w:sz w:val="24"/>
          <w:szCs w:val="24"/>
        </w:rPr>
        <w:t xml:space="preserve">17 evidence-based programs outlined in DESE’s SOA guidance and additional strategies to support recovery and acceleration. </w:t>
      </w:r>
      <w:r w:rsidR="004C0EC4" w:rsidRPr="00410F1A">
        <w:rPr>
          <w:rFonts w:ascii="Times New Roman" w:hAnsi="Times New Roman" w:cs="Times New Roman"/>
          <w:sz w:val="24"/>
          <w:szCs w:val="24"/>
        </w:rPr>
        <w:t>In addition, we strongly urge districts and schools to revisit the Department’s</w:t>
      </w:r>
      <w:r w:rsidR="0068236D" w:rsidRPr="00410F1A">
        <w:rPr>
          <w:rFonts w:ascii="Times New Roman" w:hAnsi="Times New Roman" w:cs="Times New Roman"/>
          <w:sz w:val="24"/>
          <w:szCs w:val="24"/>
        </w:rPr>
        <w:t xml:space="preserve"> guidance on</w:t>
      </w:r>
      <w:r w:rsidR="004C0EC4" w:rsidRPr="00410F1A">
        <w:rPr>
          <w:rFonts w:ascii="Times New Roman" w:hAnsi="Times New Roman" w:cs="Times New Roman"/>
          <w:sz w:val="24"/>
          <w:szCs w:val="24"/>
        </w:rPr>
        <w:t xml:space="preserve"> </w:t>
      </w:r>
      <w:hyperlink r:id="rId20" w:history="1">
        <w:r w:rsidR="004C0EC4" w:rsidRPr="00410F1A">
          <w:rPr>
            <w:rFonts w:ascii="Times New Roman" w:hAnsi="Times New Roman" w:cs="Times New Roman"/>
            <w:b/>
            <w:bCs/>
            <w:color w:val="0563C1" w:themeColor="hyperlink"/>
            <w:sz w:val="24"/>
            <w:szCs w:val="24"/>
            <w:u w:val="single"/>
          </w:rPr>
          <w:t>SOA evidence-based program examples</w:t>
        </w:r>
      </w:hyperlink>
      <w:r w:rsidR="004C0EC4" w:rsidRPr="00410F1A">
        <w:rPr>
          <w:rFonts w:ascii="Times New Roman" w:hAnsi="Times New Roman" w:cs="Times New Roman"/>
          <w:b/>
          <w:bCs/>
          <w:sz w:val="24"/>
          <w:szCs w:val="24"/>
        </w:rPr>
        <w:t xml:space="preserve"> </w:t>
      </w:r>
      <w:r w:rsidR="004C0EC4" w:rsidRPr="00410F1A">
        <w:rPr>
          <w:rFonts w:ascii="Times New Roman" w:hAnsi="Times New Roman" w:cs="Times New Roman"/>
          <w:i/>
          <w:iCs/>
          <w:sz w:val="24"/>
          <w:szCs w:val="24"/>
        </w:rPr>
        <w:t>(download)</w:t>
      </w:r>
      <w:r w:rsidR="0068236D" w:rsidRPr="00410F1A">
        <w:rPr>
          <w:rFonts w:ascii="Times New Roman" w:hAnsi="Times New Roman" w:cs="Times New Roman"/>
          <w:i/>
          <w:iCs/>
          <w:sz w:val="24"/>
          <w:szCs w:val="24"/>
        </w:rPr>
        <w:t>,</w:t>
      </w:r>
      <w:r w:rsidR="004C0EC4" w:rsidRPr="00410F1A">
        <w:rPr>
          <w:rFonts w:ascii="Times New Roman" w:hAnsi="Times New Roman" w:cs="Times New Roman"/>
          <w:sz w:val="24"/>
          <w:szCs w:val="24"/>
        </w:rPr>
        <w:t xml:space="preserve"> which provide</w:t>
      </w:r>
      <w:r w:rsidR="0068236D" w:rsidRPr="00410F1A">
        <w:rPr>
          <w:rFonts w:ascii="Times New Roman" w:hAnsi="Times New Roman" w:cs="Times New Roman"/>
          <w:sz w:val="24"/>
          <w:szCs w:val="24"/>
        </w:rPr>
        <w:t>s</w:t>
      </w:r>
      <w:r w:rsidR="004C0EC4" w:rsidRPr="00410F1A">
        <w:rPr>
          <w:rFonts w:ascii="Times New Roman" w:hAnsi="Times New Roman" w:cs="Times New Roman"/>
          <w:sz w:val="24"/>
          <w:szCs w:val="24"/>
        </w:rPr>
        <w:t xml:space="preserve"> more information and implementation strategies about many of the programs and practices below.</w:t>
      </w:r>
    </w:p>
    <w:p w14:paraId="3CCD2A18" w14:textId="77777777" w:rsidR="00B30D94" w:rsidRPr="00410F1A" w:rsidRDefault="00B30D94" w:rsidP="00B30D94">
      <w:pPr>
        <w:spacing w:after="0"/>
        <w:rPr>
          <w:rFonts w:ascii="Times New Roman" w:hAnsi="Times New Roman" w:cs="Times New Roman"/>
          <w:b/>
          <w:bCs/>
          <w:color w:val="4472C4" w:themeColor="accent1"/>
          <w:sz w:val="24"/>
          <w:szCs w:val="24"/>
        </w:rPr>
      </w:pPr>
    </w:p>
    <w:p w14:paraId="753DA5C5" w14:textId="6A4D9154" w:rsidR="00B30D94" w:rsidRPr="00410F1A" w:rsidRDefault="00B30D94" w:rsidP="00B30D94">
      <w:pPr>
        <w:spacing w:after="0"/>
        <w:rPr>
          <w:rFonts w:ascii="Times New Roman" w:hAnsi="Times New Roman" w:cs="Times New Roman"/>
          <w:b/>
          <w:bCs/>
          <w:color w:val="4472C4" w:themeColor="accent1"/>
          <w:sz w:val="24"/>
          <w:szCs w:val="24"/>
        </w:rPr>
      </w:pPr>
      <w:r w:rsidRPr="00410F1A">
        <w:rPr>
          <w:rFonts w:ascii="Times New Roman" w:hAnsi="Times New Roman" w:cs="Times New Roman"/>
          <w:b/>
          <w:bCs/>
          <w:color w:val="4472C4" w:themeColor="accent1"/>
          <w:sz w:val="24"/>
          <w:szCs w:val="24"/>
        </w:rPr>
        <w:t>I. Enhanced Core Instruction</w:t>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p>
    <w:p w14:paraId="49F54A7D" w14:textId="4B8373B8"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Purchasing and/or expanding use of high-quality, aligned instructional materials and associated professional development.</w:t>
      </w:r>
      <w:r w:rsidRPr="00410F1A">
        <w:rPr>
          <w:rFonts w:ascii="Times New Roman" w:hAnsi="Times New Roman" w:cs="Times New Roman"/>
          <w:sz w:val="24"/>
          <w:szCs w:val="24"/>
        </w:rPr>
        <w:tab/>
      </w:r>
    </w:p>
    <w:p w14:paraId="704546C4" w14:textId="10F48474"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Research-based early literacy programs in pre-kindergarten and early elementary grades.</w:t>
      </w:r>
    </w:p>
    <w:p w14:paraId="47398034" w14:textId="0C406E1C"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Expanded access to full-day, high-quality prekindergarten programs for 4-year-olds</w:t>
      </w:r>
      <w:r w:rsidR="00714437" w:rsidRPr="00410F1A">
        <w:rPr>
          <w:rFonts w:ascii="Times New Roman" w:hAnsi="Times New Roman" w:cs="Times New Roman"/>
          <w:sz w:val="24"/>
          <w:szCs w:val="24"/>
        </w:rPr>
        <w:t>.</w:t>
      </w:r>
      <w:r w:rsidRPr="00410F1A">
        <w:rPr>
          <w:rFonts w:ascii="Times New Roman" w:hAnsi="Times New Roman" w:cs="Times New Roman"/>
          <w:sz w:val="24"/>
          <w:szCs w:val="24"/>
        </w:rPr>
        <w:tab/>
      </w:r>
    </w:p>
    <w:p w14:paraId="5459D26B" w14:textId="77777777"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Early college programs, particularly those focused on students underrepresented in higher education.</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56D2AF05" w14:textId="03179C16" w:rsidR="00B30D94" w:rsidRPr="00410F1A" w:rsidRDefault="00B30D94" w:rsidP="00B30D94">
      <w:pPr>
        <w:pStyle w:val="ListParagraph"/>
        <w:numPr>
          <w:ilvl w:val="0"/>
          <w:numId w:val="6"/>
        </w:numPr>
        <w:rPr>
          <w:rFonts w:ascii="Times New Roman" w:hAnsi="Times New Roman" w:cs="Times New Roman"/>
          <w:sz w:val="24"/>
          <w:szCs w:val="24"/>
        </w:rPr>
      </w:pPr>
      <w:r w:rsidRPr="00410F1A">
        <w:rPr>
          <w:rFonts w:ascii="Times New Roman" w:hAnsi="Times New Roman" w:cs="Times New Roman"/>
          <w:sz w:val="24"/>
          <w:szCs w:val="24"/>
        </w:rPr>
        <w:t>Expanded access to career-technical education, including “After Dark” district-vocational partnerships, innovation pathways reflecting local labor market priorities, and advanced placement courses</w:t>
      </w:r>
      <w:r w:rsidR="0068236D" w:rsidRPr="00410F1A">
        <w:rPr>
          <w:rFonts w:ascii="Times New Roman" w:hAnsi="Times New Roman" w:cs="Times New Roman"/>
          <w:sz w:val="24"/>
          <w:szCs w:val="24"/>
        </w:rPr>
        <w:t>.</w:t>
      </w:r>
    </w:p>
    <w:p w14:paraId="6B9138B7" w14:textId="5B223EDB"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Professional development for teachers and administrators</w:t>
      </w:r>
      <w:r w:rsidR="00714437" w:rsidRPr="00410F1A">
        <w:rPr>
          <w:rFonts w:ascii="Times New Roman" w:hAnsi="Times New Roman" w:cs="Times New Roman"/>
          <w:sz w:val="24"/>
          <w:szCs w:val="24"/>
        </w:rPr>
        <w:t>, e.g. aligned to deeper learning</w:t>
      </w:r>
      <w:r w:rsidR="00662A85" w:rsidRPr="00410F1A">
        <w:rPr>
          <w:rFonts w:ascii="Times New Roman" w:hAnsi="Times New Roman" w:cs="Times New Roman"/>
          <w:sz w:val="24"/>
          <w:szCs w:val="24"/>
        </w:rPr>
        <w:t xml:space="preserve">, </w:t>
      </w:r>
      <w:proofErr w:type="gramStart"/>
      <w:r w:rsidR="00662A85" w:rsidRPr="00410F1A">
        <w:rPr>
          <w:rFonts w:ascii="Times New Roman" w:hAnsi="Times New Roman" w:cs="Times New Roman"/>
          <w:sz w:val="24"/>
          <w:szCs w:val="24"/>
        </w:rPr>
        <w:t>culturally-responsive</w:t>
      </w:r>
      <w:proofErr w:type="gramEnd"/>
      <w:r w:rsidR="00662A85" w:rsidRPr="00410F1A">
        <w:rPr>
          <w:rFonts w:ascii="Times New Roman" w:hAnsi="Times New Roman" w:cs="Times New Roman"/>
          <w:sz w:val="24"/>
          <w:szCs w:val="24"/>
        </w:rPr>
        <w:t xml:space="preserve"> teaching practices, etc</w:t>
      </w:r>
      <w:r w:rsidRPr="00410F1A">
        <w:rPr>
          <w:rFonts w:ascii="Times New Roman" w:hAnsi="Times New Roman" w:cs="Times New Roman"/>
          <w:sz w:val="24"/>
          <w:szCs w:val="24"/>
        </w:rPr>
        <w:t>.</w:t>
      </w:r>
      <w:r w:rsidRPr="00410F1A">
        <w:rPr>
          <w:rFonts w:ascii="Times New Roman" w:hAnsi="Times New Roman" w:cs="Times New Roman"/>
          <w:sz w:val="24"/>
          <w:szCs w:val="24"/>
        </w:rPr>
        <w:tab/>
      </w:r>
    </w:p>
    <w:p w14:paraId="3DA8113B" w14:textId="1BE31AAC" w:rsidR="004C0EC4" w:rsidRPr="00410F1A" w:rsidRDefault="004C0EC4" w:rsidP="004C0EC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Extending the school day/year and prioritizing student access to additional time by student need.</w:t>
      </w:r>
    </w:p>
    <w:p w14:paraId="079F11F3" w14:textId="3D39C5E2" w:rsidR="00B30D94" w:rsidRPr="00410F1A" w:rsidRDefault="00B30D94" w:rsidP="00B30D94">
      <w:pPr>
        <w:pStyle w:val="ListParagraph"/>
        <w:numPr>
          <w:ilvl w:val="0"/>
          <w:numId w:val="6"/>
        </w:numPr>
        <w:rPr>
          <w:rFonts w:ascii="Times New Roman" w:hAnsi="Times New Roman" w:cs="Times New Roman"/>
          <w:sz w:val="24"/>
          <w:szCs w:val="24"/>
        </w:rPr>
      </w:pPr>
      <w:r w:rsidRPr="00410F1A">
        <w:rPr>
          <w:rFonts w:ascii="Times New Roman" w:hAnsi="Times New Roman" w:cs="Times New Roman"/>
          <w:sz w:val="24"/>
          <w:szCs w:val="24"/>
        </w:rPr>
        <w:t>Screening assessments and associated professional development.</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7FFFAFC0" w14:textId="266EEC7E" w:rsidR="00B30D94" w:rsidRPr="00410F1A" w:rsidRDefault="00B30D94" w:rsidP="00B30D94">
      <w:pPr>
        <w:pStyle w:val="ListParagraph"/>
        <w:numPr>
          <w:ilvl w:val="0"/>
          <w:numId w:val="6"/>
        </w:numPr>
        <w:spacing w:after="0"/>
        <w:rPr>
          <w:rFonts w:ascii="Times New Roman" w:hAnsi="Times New Roman" w:cs="Times New Roman"/>
          <w:sz w:val="24"/>
          <w:szCs w:val="24"/>
        </w:rPr>
      </w:pPr>
      <w:r w:rsidRPr="00410F1A">
        <w:rPr>
          <w:rFonts w:ascii="Times New Roman" w:hAnsi="Times New Roman" w:cs="Times New Roman"/>
          <w:sz w:val="24"/>
          <w:szCs w:val="24"/>
        </w:rPr>
        <w:t>Developing or strengthening data cycles to facilitate and inform student learning and associated professional development and support personnel.</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6A3419BC" w14:textId="77777777" w:rsidR="00B30D94" w:rsidRPr="00410F1A" w:rsidRDefault="00B30D94" w:rsidP="00B30D94">
      <w:pPr>
        <w:spacing w:after="0"/>
        <w:rPr>
          <w:rFonts w:ascii="Times New Roman" w:hAnsi="Times New Roman" w:cs="Times New Roman"/>
          <w:b/>
          <w:bCs/>
          <w:color w:val="4472C4" w:themeColor="accent1"/>
          <w:sz w:val="24"/>
          <w:szCs w:val="24"/>
        </w:rPr>
      </w:pPr>
    </w:p>
    <w:p w14:paraId="03BFE13F" w14:textId="25D4A7BF" w:rsidR="00B30D94" w:rsidRPr="00410F1A" w:rsidRDefault="00B30D94" w:rsidP="00B30D94">
      <w:pPr>
        <w:spacing w:after="0"/>
        <w:rPr>
          <w:rFonts w:ascii="Times New Roman" w:hAnsi="Times New Roman" w:cs="Times New Roman"/>
          <w:b/>
          <w:bCs/>
          <w:color w:val="4472C4" w:themeColor="accent1"/>
          <w:sz w:val="24"/>
          <w:szCs w:val="24"/>
        </w:rPr>
      </w:pPr>
      <w:r w:rsidRPr="00410F1A">
        <w:rPr>
          <w:rFonts w:ascii="Times New Roman" w:hAnsi="Times New Roman" w:cs="Times New Roman"/>
          <w:b/>
          <w:bCs/>
          <w:color w:val="4472C4" w:themeColor="accent1"/>
          <w:sz w:val="24"/>
          <w:szCs w:val="24"/>
        </w:rPr>
        <w:t>II. Targeted Student Supports</w:t>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p>
    <w:p w14:paraId="7330F0DF" w14:textId="4B29141C" w:rsidR="00B30D94" w:rsidRPr="00410F1A" w:rsidRDefault="00B30D94" w:rsidP="00B30D94">
      <w:pPr>
        <w:pStyle w:val="ListParagraph"/>
        <w:numPr>
          <w:ilvl w:val="0"/>
          <w:numId w:val="7"/>
        </w:numPr>
        <w:spacing w:after="0"/>
        <w:rPr>
          <w:rFonts w:ascii="Times New Roman" w:hAnsi="Times New Roman" w:cs="Times New Roman"/>
          <w:sz w:val="24"/>
          <w:szCs w:val="24"/>
        </w:rPr>
      </w:pPr>
      <w:r w:rsidRPr="00410F1A">
        <w:rPr>
          <w:rFonts w:ascii="Times New Roman" w:hAnsi="Times New Roman" w:cs="Times New Roman"/>
          <w:sz w:val="24"/>
          <w:szCs w:val="24"/>
        </w:rPr>
        <w:t>Developing or expanding high quality co-teaching and inclusion models for students with disabilities and associated professional development.</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1EBBCB7C" w14:textId="01F56299" w:rsidR="00B30D94" w:rsidRPr="00410F1A" w:rsidRDefault="00B30D94" w:rsidP="00B30D94">
      <w:pPr>
        <w:pStyle w:val="ListParagraph"/>
        <w:numPr>
          <w:ilvl w:val="0"/>
          <w:numId w:val="7"/>
        </w:numPr>
        <w:spacing w:after="0"/>
        <w:rPr>
          <w:rFonts w:ascii="Times New Roman" w:hAnsi="Times New Roman" w:cs="Times New Roman"/>
          <w:sz w:val="24"/>
          <w:szCs w:val="24"/>
        </w:rPr>
      </w:pPr>
      <w:r w:rsidRPr="00410F1A">
        <w:rPr>
          <w:rFonts w:ascii="Times New Roman" w:hAnsi="Times New Roman" w:cs="Times New Roman"/>
          <w:sz w:val="24"/>
          <w:szCs w:val="24"/>
        </w:rPr>
        <w:t>Acceleration academies (during school year vacations) and summer learning opportunities for individualized instruction and enrichment.</w:t>
      </w:r>
      <w:r w:rsidRPr="00410F1A">
        <w:rPr>
          <w:rFonts w:ascii="Times New Roman" w:hAnsi="Times New Roman" w:cs="Times New Roman"/>
          <w:sz w:val="24"/>
          <w:szCs w:val="24"/>
        </w:rPr>
        <w:tab/>
      </w:r>
    </w:p>
    <w:p w14:paraId="4921EDD3" w14:textId="77777777" w:rsidR="0068236D" w:rsidRPr="00410F1A" w:rsidRDefault="002527CD" w:rsidP="00B30D94">
      <w:pPr>
        <w:pStyle w:val="ListParagraph"/>
        <w:numPr>
          <w:ilvl w:val="0"/>
          <w:numId w:val="7"/>
        </w:numPr>
        <w:spacing w:after="0"/>
        <w:rPr>
          <w:rFonts w:ascii="Times New Roman" w:hAnsi="Times New Roman" w:cs="Times New Roman"/>
          <w:sz w:val="24"/>
          <w:szCs w:val="24"/>
        </w:rPr>
      </w:pPr>
      <w:hyperlink r:id="rId21" w:history="1">
        <w:r w:rsidR="004C0EC4" w:rsidRPr="00410F1A">
          <w:rPr>
            <w:rStyle w:val="Hyperlink"/>
            <w:rFonts w:ascii="Times New Roman" w:hAnsi="Times New Roman" w:cs="Times New Roman"/>
            <w:sz w:val="24"/>
            <w:szCs w:val="24"/>
          </w:rPr>
          <w:t>Evidence-based, high-dosage t</w:t>
        </w:r>
        <w:r w:rsidR="00B30D94" w:rsidRPr="00410F1A">
          <w:rPr>
            <w:rStyle w:val="Hyperlink"/>
            <w:rFonts w:ascii="Times New Roman" w:hAnsi="Times New Roman" w:cs="Times New Roman"/>
            <w:sz w:val="24"/>
            <w:szCs w:val="24"/>
          </w:rPr>
          <w:t>utoring programs</w:t>
        </w:r>
      </w:hyperlink>
      <w:r w:rsidR="00B30D94" w:rsidRPr="00410F1A">
        <w:rPr>
          <w:rFonts w:ascii="Times New Roman" w:hAnsi="Times New Roman" w:cs="Times New Roman"/>
          <w:sz w:val="24"/>
          <w:szCs w:val="24"/>
        </w:rPr>
        <w:t xml:space="preserve"> and support</w:t>
      </w:r>
      <w:r w:rsidR="004C0EC4" w:rsidRPr="00410F1A">
        <w:rPr>
          <w:rFonts w:ascii="Times New Roman" w:hAnsi="Times New Roman" w:cs="Times New Roman"/>
          <w:sz w:val="24"/>
          <w:szCs w:val="24"/>
        </w:rPr>
        <w:t>.</w:t>
      </w:r>
    </w:p>
    <w:p w14:paraId="379583B0" w14:textId="66546677" w:rsidR="00B30D94" w:rsidRPr="00410F1A" w:rsidRDefault="0068236D" w:rsidP="0068236D">
      <w:pPr>
        <w:pStyle w:val="ListParagraph"/>
        <w:numPr>
          <w:ilvl w:val="0"/>
          <w:numId w:val="7"/>
        </w:numPr>
        <w:spacing w:after="0"/>
        <w:rPr>
          <w:rFonts w:ascii="Times New Roman" w:hAnsi="Times New Roman" w:cs="Times New Roman"/>
          <w:sz w:val="24"/>
          <w:szCs w:val="24"/>
        </w:rPr>
      </w:pPr>
      <w:r w:rsidRPr="00410F1A">
        <w:rPr>
          <w:rFonts w:ascii="Times New Roman" w:hAnsi="Times New Roman" w:cs="Times New Roman"/>
          <w:sz w:val="24"/>
          <w:szCs w:val="24"/>
        </w:rPr>
        <w:t>Dropout prevention and recovery programs.</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00B30D94" w:rsidRPr="00410F1A">
        <w:rPr>
          <w:rFonts w:ascii="Times New Roman" w:hAnsi="Times New Roman" w:cs="Times New Roman"/>
          <w:sz w:val="24"/>
          <w:szCs w:val="24"/>
        </w:rPr>
        <w:tab/>
      </w:r>
      <w:r w:rsidR="00B30D94" w:rsidRPr="00410F1A">
        <w:rPr>
          <w:rFonts w:ascii="Times New Roman" w:hAnsi="Times New Roman" w:cs="Times New Roman"/>
          <w:sz w:val="24"/>
          <w:szCs w:val="24"/>
        </w:rPr>
        <w:tab/>
      </w:r>
      <w:r w:rsidR="00B30D94" w:rsidRPr="00410F1A">
        <w:rPr>
          <w:rFonts w:ascii="Times New Roman" w:hAnsi="Times New Roman" w:cs="Times New Roman"/>
          <w:sz w:val="24"/>
          <w:szCs w:val="24"/>
        </w:rPr>
        <w:tab/>
      </w:r>
      <w:r w:rsidR="00B30D94" w:rsidRPr="00410F1A">
        <w:rPr>
          <w:rFonts w:ascii="Times New Roman" w:hAnsi="Times New Roman" w:cs="Times New Roman"/>
          <w:sz w:val="24"/>
          <w:szCs w:val="24"/>
        </w:rPr>
        <w:tab/>
      </w:r>
      <w:r w:rsidR="00B30D94" w:rsidRPr="00410F1A">
        <w:rPr>
          <w:rFonts w:ascii="Times New Roman" w:hAnsi="Times New Roman" w:cs="Times New Roman"/>
          <w:sz w:val="24"/>
          <w:szCs w:val="24"/>
        </w:rPr>
        <w:tab/>
      </w:r>
    </w:p>
    <w:p w14:paraId="7DE9C755" w14:textId="3DD434B0" w:rsidR="00B30D94" w:rsidRPr="00410F1A" w:rsidRDefault="00B30D94" w:rsidP="00B30D94">
      <w:pPr>
        <w:pStyle w:val="ListParagraph"/>
        <w:numPr>
          <w:ilvl w:val="0"/>
          <w:numId w:val="7"/>
        </w:numPr>
        <w:spacing w:after="0"/>
        <w:rPr>
          <w:rFonts w:ascii="Times New Roman" w:hAnsi="Times New Roman" w:cs="Times New Roman"/>
          <w:sz w:val="24"/>
          <w:szCs w:val="24"/>
        </w:rPr>
      </w:pPr>
      <w:r w:rsidRPr="00410F1A">
        <w:rPr>
          <w:rFonts w:ascii="Times New Roman" w:hAnsi="Times New Roman" w:cs="Times New Roman"/>
          <w:sz w:val="24"/>
          <w:szCs w:val="24"/>
        </w:rPr>
        <w:t xml:space="preserve">Language support programs, including dual language and heritage language programs (students learning in-home/native language) and associated professional development. </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2B6F25AE" w14:textId="1BD4A4CD" w:rsidR="00B30D94" w:rsidRPr="00410F1A" w:rsidRDefault="00B30D94" w:rsidP="00B30D94">
      <w:pPr>
        <w:pStyle w:val="ListParagraph"/>
        <w:numPr>
          <w:ilvl w:val="0"/>
          <w:numId w:val="7"/>
        </w:numPr>
        <w:spacing w:after="0"/>
        <w:rPr>
          <w:rFonts w:ascii="Times New Roman" w:hAnsi="Times New Roman" w:cs="Times New Roman"/>
          <w:sz w:val="24"/>
          <w:szCs w:val="24"/>
        </w:rPr>
      </w:pPr>
      <w:r w:rsidRPr="00410F1A">
        <w:rPr>
          <w:rFonts w:ascii="Times New Roman" w:hAnsi="Times New Roman" w:cs="Times New Roman"/>
          <w:sz w:val="24"/>
          <w:szCs w:val="24"/>
        </w:rPr>
        <w:t>Community-based afterschool programs for parents, including citizenship and ESL classes</w:t>
      </w:r>
      <w:r w:rsidR="004C0EC4" w:rsidRPr="00410F1A">
        <w:rPr>
          <w:rFonts w:ascii="Times New Roman" w:hAnsi="Times New Roman" w:cs="Times New Roman"/>
          <w:sz w:val="24"/>
          <w:szCs w:val="24"/>
        </w:rPr>
        <w:t>.</w:t>
      </w:r>
    </w:p>
    <w:p w14:paraId="68AA52D4" w14:textId="50180BEF" w:rsidR="00B30D94" w:rsidRPr="00410F1A" w:rsidRDefault="00B30D94" w:rsidP="00B30D94">
      <w:pPr>
        <w:pStyle w:val="ListParagraph"/>
        <w:spacing w:after="0"/>
        <w:rPr>
          <w:rFonts w:ascii="Times New Roman" w:hAnsi="Times New Roman" w:cs="Times New Roman"/>
          <w:sz w:val="24"/>
          <w:szCs w:val="24"/>
        </w:rPr>
      </w:pPr>
      <w:r w:rsidRPr="00410F1A">
        <w:rPr>
          <w:rFonts w:ascii="Times New Roman" w:hAnsi="Times New Roman" w:cs="Times New Roman"/>
          <w:sz w:val="24"/>
          <w:szCs w:val="24"/>
        </w:rPr>
        <w:tab/>
      </w:r>
    </w:p>
    <w:p w14:paraId="23798A0F" w14:textId="77777777" w:rsidR="0063309C" w:rsidRDefault="0063309C">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br w:type="page"/>
      </w:r>
    </w:p>
    <w:p w14:paraId="3F4F4DF0" w14:textId="47C31E98" w:rsidR="00B30D94" w:rsidRPr="00410F1A" w:rsidRDefault="00B30D94" w:rsidP="00B30D94">
      <w:pPr>
        <w:spacing w:after="0"/>
        <w:rPr>
          <w:rFonts w:ascii="Times New Roman" w:hAnsi="Times New Roman" w:cs="Times New Roman"/>
          <w:b/>
          <w:bCs/>
          <w:color w:val="4472C4" w:themeColor="accent1"/>
          <w:sz w:val="24"/>
          <w:szCs w:val="24"/>
        </w:rPr>
      </w:pPr>
      <w:r w:rsidRPr="00410F1A">
        <w:rPr>
          <w:rFonts w:ascii="Times New Roman" w:hAnsi="Times New Roman" w:cs="Times New Roman"/>
          <w:b/>
          <w:bCs/>
          <w:color w:val="4472C4" w:themeColor="accent1"/>
          <w:sz w:val="24"/>
          <w:szCs w:val="24"/>
        </w:rPr>
        <w:lastRenderedPageBreak/>
        <w:t>III. Talent Development and Staffing</w:t>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p>
    <w:p w14:paraId="606DD1AB" w14:textId="2BF87A07"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Increasing academic support staff, including academic coaches, interventionists, student teaching residency programs, paraprofessionals.</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70117305" w14:textId="766E3442"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Diversifying the educator workforce through recruitment and retention strategies.</w:t>
      </w:r>
      <w:r w:rsidRPr="00410F1A">
        <w:rPr>
          <w:rFonts w:ascii="Times New Roman" w:hAnsi="Times New Roman" w:cs="Times New Roman"/>
          <w:sz w:val="24"/>
          <w:szCs w:val="24"/>
        </w:rPr>
        <w:tab/>
      </w:r>
    </w:p>
    <w:p w14:paraId="68768837" w14:textId="6DC074D4"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Strategies to recruit and retain high-performing educators/administrators in hard-to-staff schools and positions.</w:t>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26549A7F" w14:textId="09D98039"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Increasing staff and opportunities for arts, enrichment, world languages, and athletics.</w:t>
      </w:r>
      <w:r w:rsidRPr="00410F1A">
        <w:rPr>
          <w:rFonts w:ascii="Times New Roman" w:hAnsi="Times New Roman" w:cs="Times New Roman"/>
          <w:sz w:val="24"/>
          <w:szCs w:val="24"/>
        </w:rPr>
        <w:tab/>
      </w:r>
    </w:p>
    <w:p w14:paraId="16B7BEEC" w14:textId="5CA101C4"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Increasing high-quality common planning time for teachers and academic support staff.</w:t>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222433D6" w14:textId="433F37EA"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Developing leadership pipeline programs for schools.</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6F5D2D9B" w14:textId="6B50D37D" w:rsidR="00B30D94" w:rsidRPr="00410F1A" w:rsidRDefault="00B30D94" w:rsidP="00B30D94">
      <w:pPr>
        <w:pStyle w:val="ListParagraph"/>
        <w:numPr>
          <w:ilvl w:val="0"/>
          <w:numId w:val="8"/>
        </w:numPr>
        <w:spacing w:after="0"/>
        <w:rPr>
          <w:rFonts w:ascii="Times New Roman" w:hAnsi="Times New Roman" w:cs="Times New Roman"/>
          <w:sz w:val="24"/>
          <w:szCs w:val="24"/>
        </w:rPr>
      </w:pPr>
      <w:r w:rsidRPr="00410F1A">
        <w:rPr>
          <w:rFonts w:ascii="Times New Roman" w:hAnsi="Times New Roman" w:cs="Times New Roman"/>
          <w:sz w:val="24"/>
          <w:szCs w:val="24"/>
        </w:rPr>
        <w:t>Labor-management partnerships focused on improving student performance.</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35A9A682" w14:textId="08B216F4" w:rsidR="00B30D94" w:rsidRPr="00410F1A" w:rsidRDefault="00B30D94" w:rsidP="00B30D94">
      <w:pPr>
        <w:spacing w:after="0"/>
        <w:rPr>
          <w:rFonts w:ascii="Times New Roman" w:hAnsi="Times New Roman" w:cs="Times New Roman"/>
          <w:b/>
          <w:bCs/>
          <w:color w:val="4472C4" w:themeColor="accent1"/>
          <w:sz w:val="24"/>
          <w:szCs w:val="24"/>
        </w:rPr>
      </w:pPr>
      <w:r w:rsidRPr="00410F1A">
        <w:rPr>
          <w:rFonts w:ascii="Times New Roman" w:hAnsi="Times New Roman" w:cs="Times New Roman"/>
          <w:b/>
          <w:bCs/>
          <w:color w:val="4472C4" w:themeColor="accent1"/>
          <w:sz w:val="24"/>
          <w:szCs w:val="24"/>
        </w:rPr>
        <w:t>IV. Conditions for Student Success - Social/Emotional and Mental Health Supports</w:t>
      </w:r>
      <w:r w:rsidRPr="00410F1A">
        <w:rPr>
          <w:rFonts w:ascii="Times New Roman" w:hAnsi="Times New Roman" w:cs="Times New Roman"/>
          <w:b/>
          <w:bCs/>
          <w:color w:val="4472C4" w:themeColor="accent1"/>
          <w:sz w:val="24"/>
          <w:szCs w:val="24"/>
        </w:rPr>
        <w:tab/>
      </w:r>
      <w:r w:rsidRPr="00410F1A">
        <w:rPr>
          <w:rFonts w:ascii="Times New Roman" w:hAnsi="Times New Roman" w:cs="Times New Roman"/>
          <w:b/>
          <w:bCs/>
          <w:color w:val="4472C4" w:themeColor="accent1"/>
          <w:sz w:val="24"/>
          <w:szCs w:val="24"/>
        </w:rPr>
        <w:tab/>
      </w:r>
    </w:p>
    <w:p w14:paraId="48658D1D" w14:textId="20688682"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Increasing personnel and services to support holistic student needs, including school guidance and adjustment counselors, nurses, psychologists, social workers</w:t>
      </w:r>
      <w:r w:rsidR="00662A85" w:rsidRPr="00410F1A">
        <w:rPr>
          <w:rFonts w:ascii="Times New Roman" w:hAnsi="Times New Roman" w:cs="Times New Roman"/>
          <w:sz w:val="24"/>
          <w:szCs w:val="24"/>
        </w:rPr>
        <w:t>, special education support staff, and others</w:t>
      </w:r>
      <w:r w:rsidRPr="00410F1A">
        <w:rPr>
          <w:rFonts w:ascii="Times New Roman" w:hAnsi="Times New Roman" w:cs="Times New Roman"/>
          <w:sz w:val="24"/>
          <w:szCs w:val="24"/>
        </w:rPr>
        <w:t>.</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18DA4937" w14:textId="44AE47C2"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Building</w:t>
      </w:r>
      <w:r w:rsidR="0068236D" w:rsidRPr="00410F1A">
        <w:rPr>
          <w:rFonts w:ascii="Times New Roman" w:hAnsi="Times New Roman" w:cs="Times New Roman"/>
          <w:sz w:val="24"/>
          <w:szCs w:val="24"/>
        </w:rPr>
        <w:t xml:space="preserve"> or </w:t>
      </w:r>
      <w:r w:rsidRPr="00410F1A">
        <w:rPr>
          <w:rFonts w:ascii="Times New Roman" w:hAnsi="Times New Roman" w:cs="Times New Roman"/>
          <w:sz w:val="24"/>
          <w:szCs w:val="24"/>
        </w:rPr>
        <w:t>strengthening partnerships with community-based organizations to increase student</w:t>
      </w:r>
      <w:r w:rsidR="0068236D" w:rsidRPr="00410F1A">
        <w:rPr>
          <w:rFonts w:ascii="Times New Roman" w:hAnsi="Times New Roman" w:cs="Times New Roman"/>
          <w:sz w:val="24"/>
          <w:szCs w:val="24"/>
        </w:rPr>
        <w:t xml:space="preserve"> and </w:t>
      </w:r>
      <w:r w:rsidRPr="00410F1A">
        <w:rPr>
          <w:rFonts w:ascii="Times New Roman" w:hAnsi="Times New Roman" w:cs="Times New Roman"/>
          <w:sz w:val="24"/>
          <w:szCs w:val="24"/>
        </w:rPr>
        <w:t>family access to services for mental</w:t>
      </w:r>
      <w:r w:rsidR="0068236D" w:rsidRPr="00410F1A">
        <w:rPr>
          <w:rFonts w:ascii="Times New Roman" w:hAnsi="Times New Roman" w:cs="Times New Roman"/>
          <w:sz w:val="24"/>
          <w:szCs w:val="24"/>
        </w:rPr>
        <w:t>/</w:t>
      </w:r>
      <w:r w:rsidRPr="00410F1A">
        <w:rPr>
          <w:rFonts w:ascii="Times New Roman" w:hAnsi="Times New Roman" w:cs="Times New Roman"/>
          <w:sz w:val="24"/>
          <w:szCs w:val="24"/>
        </w:rPr>
        <w:t>physical health and well-being.</w:t>
      </w:r>
      <w:r w:rsidRPr="00410F1A">
        <w:rPr>
          <w:rFonts w:ascii="Times New Roman" w:hAnsi="Times New Roman" w:cs="Times New Roman"/>
          <w:sz w:val="24"/>
          <w:szCs w:val="24"/>
        </w:rPr>
        <w:tab/>
      </w:r>
    </w:p>
    <w:p w14:paraId="7AE35ABD" w14:textId="13B3BBA3"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Parent-teacher home visiting programs to build positive relationships between home and school.</w:t>
      </w:r>
    </w:p>
    <w:p w14:paraId="7F1CF041" w14:textId="069491BA"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Working with community-based organizations that provide enrichment during the school day and/or out of school time.</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1439E786" w14:textId="0CA7399B"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Arranging for wraparound services to be provided at schools.</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50BAB407" w14:textId="3A7685E4"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Create transitional programs, partnering with community-based organizations, for students with mental health or behavioral-related absences returning to school.</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5BACE78E" w14:textId="7DBBEA65" w:rsidR="00B30D94" w:rsidRPr="00410F1A" w:rsidRDefault="00B30D94" w:rsidP="00B30D94">
      <w:pPr>
        <w:pStyle w:val="ListParagraph"/>
        <w:numPr>
          <w:ilvl w:val="0"/>
          <w:numId w:val="5"/>
        </w:numPr>
        <w:spacing w:after="0"/>
        <w:rPr>
          <w:rFonts w:ascii="Times New Roman" w:hAnsi="Times New Roman" w:cs="Times New Roman"/>
          <w:sz w:val="24"/>
          <w:szCs w:val="24"/>
        </w:rPr>
      </w:pPr>
      <w:r w:rsidRPr="00410F1A">
        <w:rPr>
          <w:rFonts w:ascii="Times New Roman" w:hAnsi="Times New Roman" w:cs="Times New Roman"/>
          <w:sz w:val="24"/>
          <w:szCs w:val="24"/>
        </w:rPr>
        <w:t>Facilities improvements to create healthy and safe school environments.</w:t>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505EF2C5" w14:textId="0A1A55A9"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65945997" w14:textId="77777777"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073DD086" w14:textId="77777777"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69754FE9" w14:textId="77777777" w:rsidR="00B30D94"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p w14:paraId="408A6FFD" w14:textId="5487966E" w:rsidR="0076416F" w:rsidRPr="00410F1A" w:rsidRDefault="00B30D94" w:rsidP="00B30D94">
      <w:pPr>
        <w:spacing w:after="0"/>
        <w:rPr>
          <w:rFonts w:ascii="Times New Roman" w:hAnsi="Times New Roman" w:cs="Times New Roman"/>
          <w:sz w:val="24"/>
          <w:szCs w:val="24"/>
        </w:rPr>
      </w:pP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r w:rsidRPr="00410F1A">
        <w:rPr>
          <w:rFonts w:ascii="Times New Roman" w:hAnsi="Times New Roman" w:cs="Times New Roman"/>
          <w:sz w:val="24"/>
          <w:szCs w:val="24"/>
        </w:rPr>
        <w:tab/>
      </w:r>
    </w:p>
    <w:sectPr w:rsidR="0076416F" w:rsidRPr="00410F1A" w:rsidSect="00B30D94">
      <w:headerReference w:type="default" r:id="rId22"/>
      <w:footerReference w:type="default" r:id="rId23"/>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F2CEB" w14:textId="77777777" w:rsidR="002527CD" w:rsidRDefault="002527CD" w:rsidP="00FC50E0">
      <w:pPr>
        <w:spacing w:after="0" w:line="240" w:lineRule="auto"/>
      </w:pPr>
      <w:r>
        <w:separator/>
      </w:r>
    </w:p>
  </w:endnote>
  <w:endnote w:type="continuationSeparator" w:id="0">
    <w:p w14:paraId="69D961F6" w14:textId="77777777" w:rsidR="002527CD" w:rsidRDefault="002527CD" w:rsidP="00FC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394615"/>
      <w:docPartObj>
        <w:docPartGallery w:val="Page Numbers (Bottom of Page)"/>
        <w:docPartUnique/>
      </w:docPartObj>
    </w:sdtPr>
    <w:sdtEndPr>
      <w:rPr>
        <w:noProof/>
      </w:rPr>
    </w:sdtEndPr>
    <w:sdtContent>
      <w:p w14:paraId="5441E1A7" w14:textId="42FBDEC0" w:rsidR="004C0EC4" w:rsidRDefault="004C0E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F7416" w14:textId="77777777" w:rsidR="00447F69" w:rsidRDefault="0044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C6A0A" w14:textId="77777777" w:rsidR="002527CD" w:rsidRDefault="002527CD" w:rsidP="00FC50E0">
      <w:pPr>
        <w:spacing w:after="0" w:line="240" w:lineRule="auto"/>
      </w:pPr>
      <w:r>
        <w:separator/>
      </w:r>
    </w:p>
  </w:footnote>
  <w:footnote w:type="continuationSeparator" w:id="0">
    <w:p w14:paraId="0E24CC2D" w14:textId="77777777" w:rsidR="002527CD" w:rsidRDefault="002527CD" w:rsidP="00FC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2F8F" w14:textId="19840813" w:rsidR="00BA4048" w:rsidRDefault="00BA4048">
    <w:pPr>
      <w:pStyle w:val="Header"/>
    </w:pPr>
    <w:r>
      <w:ptab w:relativeTo="margin" w:alignment="center" w:leader="none"/>
    </w:r>
    <w:r>
      <w:ptab w:relativeTo="margin" w:alignment="right" w:leader="none"/>
    </w:r>
    <w:r>
      <w:rPr>
        <w:noProof/>
      </w:rPr>
      <w:drawing>
        <wp:inline distT="0" distB="0" distL="0" distR="0" wp14:anchorId="612F5D6C" wp14:editId="7D5A5DAD">
          <wp:extent cx="1316736" cy="640080"/>
          <wp:effectExtent l="0" t="0" r="0" b="0"/>
          <wp:docPr id="1"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6736"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1F65"/>
    <w:multiLevelType w:val="hybridMultilevel"/>
    <w:tmpl w:val="58A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35982"/>
    <w:multiLevelType w:val="hybridMultilevel"/>
    <w:tmpl w:val="281E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6804"/>
    <w:multiLevelType w:val="hybridMultilevel"/>
    <w:tmpl w:val="5BA6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467CF"/>
    <w:multiLevelType w:val="hybridMultilevel"/>
    <w:tmpl w:val="6898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537C2"/>
    <w:multiLevelType w:val="hybridMultilevel"/>
    <w:tmpl w:val="A15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2514B"/>
    <w:multiLevelType w:val="hybridMultilevel"/>
    <w:tmpl w:val="D5AC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C68EC"/>
    <w:multiLevelType w:val="hybridMultilevel"/>
    <w:tmpl w:val="E1F0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140C9"/>
    <w:multiLevelType w:val="hybridMultilevel"/>
    <w:tmpl w:val="1BBC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E0"/>
    <w:rsid w:val="00000D3D"/>
    <w:rsid w:val="00002099"/>
    <w:rsid w:val="0000362C"/>
    <w:rsid w:val="00005FF2"/>
    <w:rsid w:val="0001335A"/>
    <w:rsid w:val="00016852"/>
    <w:rsid w:val="00027B14"/>
    <w:rsid w:val="0003053A"/>
    <w:rsid w:val="00030739"/>
    <w:rsid w:val="00036D89"/>
    <w:rsid w:val="000370AC"/>
    <w:rsid w:val="00047F45"/>
    <w:rsid w:val="0005297B"/>
    <w:rsid w:val="00055C95"/>
    <w:rsid w:val="0005734D"/>
    <w:rsid w:val="00063C1F"/>
    <w:rsid w:val="000721EE"/>
    <w:rsid w:val="00075166"/>
    <w:rsid w:val="00081625"/>
    <w:rsid w:val="00084CE7"/>
    <w:rsid w:val="00096D4F"/>
    <w:rsid w:val="000A6C52"/>
    <w:rsid w:val="000B36B9"/>
    <w:rsid w:val="000B71D1"/>
    <w:rsid w:val="000C082E"/>
    <w:rsid w:val="000E267C"/>
    <w:rsid w:val="000E274A"/>
    <w:rsid w:val="000E4BA1"/>
    <w:rsid w:val="000E54B4"/>
    <w:rsid w:val="000E6D44"/>
    <w:rsid w:val="000F2FD8"/>
    <w:rsid w:val="000F4B6B"/>
    <w:rsid w:val="0010224A"/>
    <w:rsid w:val="00102D1A"/>
    <w:rsid w:val="00115DD2"/>
    <w:rsid w:val="00117662"/>
    <w:rsid w:val="0013511C"/>
    <w:rsid w:val="0013581C"/>
    <w:rsid w:val="0014327B"/>
    <w:rsid w:val="00145B34"/>
    <w:rsid w:val="0014600E"/>
    <w:rsid w:val="001551FC"/>
    <w:rsid w:val="00165A92"/>
    <w:rsid w:val="00166F23"/>
    <w:rsid w:val="001742CA"/>
    <w:rsid w:val="00174E8B"/>
    <w:rsid w:val="0017734C"/>
    <w:rsid w:val="0018140A"/>
    <w:rsid w:val="001825B0"/>
    <w:rsid w:val="00182FF2"/>
    <w:rsid w:val="00183464"/>
    <w:rsid w:val="00192734"/>
    <w:rsid w:val="001B1E7E"/>
    <w:rsid w:val="001B27CB"/>
    <w:rsid w:val="001C2BB9"/>
    <w:rsid w:val="001C3301"/>
    <w:rsid w:val="001F15A1"/>
    <w:rsid w:val="001F1A21"/>
    <w:rsid w:val="001F3356"/>
    <w:rsid w:val="001F4134"/>
    <w:rsid w:val="0020757F"/>
    <w:rsid w:val="00212408"/>
    <w:rsid w:val="00216141"/>
    <w:rsid w:val="00223976"/>
    <w:rsid w:val="00223BB3"/>
    <w:rsid w:val="00225B97"/>
    <w:rsid w:val="00226729"/>
    <w:rsid w:val="00226C84"/>
    <w:rsid w:val="00232721"/>
    <w:rsid w:val="002329E7"/>
    <w:rsid w:val="0023415F"/>
    <w:rsid w:val="00240ECA"/>
    <w:rsid w:val="0024309A"/>
    <w:rsid w:val="002527CD"/>
    <w:rsid w:val="00261EA0"/>
    <w:rsid w:val="00263831"/>
    <w:rsid w:val="0027581B"/>
    <w:rsid w:val="0027592C"/>
    <w:rsid w:val="00284F82"/>
    <w:rsid w:val="0028704B"/>
    <w:rsid w:val="0029320B"/>
    <w:rsid w:val="002A2079"/>
    <w:rsid w:val="002B0896"/>
    <w:rsid w:val="002B43AD"/>
    <w:rsid w:val="002B4BD5"/>
    <w:rsid w:val="002C0FF3"/>
    <w:rsid w:val="002C6997"/>
    <w:rsid w:val="002E1E51"/>
    <w:rsid w:val="002E394C"/>
    <w:rsid w:val="002E5FF8"/>
    <w:rsid w:val="002E7B95"/>
    <w:rsid w:val="003007C9"/>
    <w:rsid w:val="00310521"/>
    <w:rsid w:val="00310E16"/>
    <w:rsid w:val="00313649"/>
    <w:rsid w:val="00322291"/>
    <w:rsid w:val="0032399B"/>
    <w:rsid w:val="00337E8C"/>
    <w:rsid w:val="00341475"/>
    <w:rsid w:val="003463EC"/>
    <w:rsid w:val="003521FF"/>
    <w:rsid w:val="00353B6A"/>
    <w:rsid w:val="003609DE"/>
    <w:rsid w:val="00361BAB"/>
    <w:rsid w:val="00365CAA"/>
    <w:rsid w:val="0038567A"/>
    <w:rsid w:val="003B3CC9"/>
    <w:rsid w:val="003B5603"/>
    <w:rsid w:val="003C1DA5"/>
    <w:rsid w:val="003C300C"/>
    <w:rsid w:val="003D0CCD"/>
    <w:rsid w:val="003D2B58"/>
    <w:rsid w:val="003E148A"/>
    <w:rsid w:val="003E22B3"/>
    <w:rsid w:val="003E232F"/>
    <w:rsid w:val="003F0BAE"/>
    <w:rsid w:val="003F1A6A"/>
    <w:rsid w:val="003F5301"/>
    <w:rsid w:val="00400BE6"/>
    <w:rsid w:val="00407C57"/>
    <w:rsid w:val="00410F1A"/>
    <w:rsid w:val="00425728"/>
    <w:rsid w:val="00433A0A"/>
    <w:rsid w:val="00442D3A"/>
    <w:rsid w:val="004449B6"/>
    <w:rsid w:val="004462EC"/>
    <w:rsid w:val="00447F69"/>
    <w:rsid w:val="0045751A"/>
    <w:rsid w:val="00462FFB"/>
    <w:rsid w:val="00467B66"/>
    <w:rsid w:val="0047168F"/>
    <w:rsid w:val="00482825"/>
    <w:rsid w:val="00487520"/>
    <w:rsid w:val="00491979"/>
    <w:rsid w:val="00494824"/>
    <w:rsid w:val="004A0581"/>
    <w:rsid w:val="004A3C3D"/>
    <w:rsid w:val="004C0EC4"/>
    <w:rsid w:val="004C3185"/>
    <w:rsid w:val="004C3D2E"/>
    <w:rsid w:val="004C447C"/>
    <w:rsid w:val="004D130A"/>
    <w:rsid w:val="004E05C7"/>
    <w:rsid w:val="004E20DD"/>
    <w:rsid w:val="004E5B58"/>
    <w:rsid w:val="004E7AFF"/>
    <w:rsid w:val="004F266F"/>
    <w:rsid w:val="005011FD"/>
    <w:rsid w:val="00502D6C"/>
    <w:rsid w:val="00507658"/>
    <w:rsid w:val="00515F7F"/>
    <w:rsid w:val="00521DCA"/>
    <w:rsid w:val="00522E68"/>
    <w:rsid w:val="00524D9F"/>
    <w:rsid w:val="00530145"/>
    <w:rsid w:val="0054095A"/>
    <w:rsid w:val="00545257"/>
    <w:rsid w:val="00550C5A"/>
    <w:rsid w:val="0055117F"/>
    <w:rsid w:val="00553298"/>
    <w:rsid w:val="005552AC"/>
    <w:rsid w:val="00562013"/>
    <w:rsid w:val="00571C25"/>
    <w:rsid w:val="00576397"/>
    <w:rsid w:val="00586E1F"/>
    <w:rsid w:val="00591FF4"/>
    <w:rsid w:val="00595D7C"/>
    <w:rsid w:val="005A6109"/>
    <w:rsid w:val="005A6C10"/>
    <w:rsid w:val="005B2750"/>
    <w:rsid w:val="005B63E0"/>
    <w:rsid w:val="005B6A50"/>
    <w:rsid w:val="005D2E5C"/>
    <w:rsid w:val="005F1CD6"/>
    <w:rsid w:val="005F26DC"/>
    <w:rsid w:val="005F2CDF"/>
    <w:rsid w:val="00611B16"/>
    <w:rsid w:val="006129E9"/>
    <w:rsid w:val="0061378C"/>
    <w:rsid w:val="00616A0E"/>
    <w:rsid w:val="006248BE"/>
    <w:rsid w:val="00625BAC"/>
    <w:rsid w:val="00626CC7"/>
    <w:rsid w:val="00632D8A"/>
    <w:rsid w:val="0063309C"/>
    <w:rsid w:val="00635F38"/>
    <w:rsid w:val="0064574E"/>
    <w:rsid w:val="00654637"/>
    <w:rsid w:val="00661DD8"/>
    <w:rsid w:val="00661F21"/>
    <w:rsid w:val="00662A85"/>
    <w:rsid w:val="00665E83"/>
    <w:rsid w:val="006676E3"/>
    <w:rsid w:val="00674184"/>
    <w:rsid w:val="0068117C"/>
    <w:rsid w:val="0068236D"/>
    <w:rsid w:val="00692B88"/>
    <w:rsid w:val="006A2478"/>
    <w:rsid w:val="006A453F"/>
    <w:rsid w:val="006A6AF8"/>
    <w:rsid w:val="006C514B"/>
    <w:rsid w:val="006E2F91"/>
    <w:rsid w:val="006E5A56"/>
    <w:rsid w:val="006F19FF"/>
    <w:rsid w:val="006F1AEF"/>
    <w:rsid w:val="007031B1"/>
    <w:rsid w:val="00707304"/>
    <w:rsid w:val="00714437"/>
    <w:rsid w:val="007231D4"/>
    <w:rsid w:val="0072407B"/>
    <w:rsid w:val="00724130"/>
    <w:rsid w:val="00725261"/>
    <w:rsid w:val="00725403"/>
    <w:rsid w:val="00730ED1"/>
    <w:rsid w:val="00732ABC"/>
    <w:rsid w:val="007411AC"/>
    <w:rsid w:val="00746E30"/>
    <w:rsid w:val="00752FC8"/>
    <w:rsid w:val="007620F2"/>
    <w:rsid w:val="00763F07"/>
    <w:rsid w:val="0076416F"/>
    <w:rsid w:val="007655D6"/>
    <w:rsid w:val="00774417"/>
    <w:rsid w:val="0078094E"/>
    <w:rsid w:val="00780C8A"/>
    <w:rsid w:val="007829B1"/>
    <w:rsid w:val="00787D50"/>
    <w:rsid w:val="007933C5"/>
    <w:rsid w:val="007A06B9"/>
    <w:rsid w:val="007A3EF5"/>
    <w:rsid w:val="007A46AF"/>
    <w:rsid w:val="007A700E"/>
    <w:rsid w:val="007B3A11"/>
    <w:rsid w:val="007C676B"/>
    <w:rsid w:val="007C7D83"/>
    <w:rsid w:val="007D0E44"/>
    <w:rsid w:val="007E128F"/>
    <w:rsid w:val="007F2C66"/>
    <w:rsid w:val="007F79C2"/>
    <w:rsid w:val="00800530"/>
    <w:rsid w:val="00801DA6"/>
    <w:rsid w:val="008070DF"/>
    <w:rsid w:val="008113F9"/>
    <w:rsid w:val="0082167C"/>
    <w:rsid w:val="00851F36"/>
    <w:rsid w:val="00855B17"/>
    <w:rsid w:val="00862E37"/>
    <w:rsid w:val="008634DC"/>
    <w:rsid w:val="00863848"/>
    <w:rsid w:val="00872499"/>
    <w:rsid w:val="00883783"/>
    <w:rsid w:val="008901AB"/>
    <w:rsid w:val="00891DF7"/>
    <w:rsid w:val="008A50B6"/>
    <w:rsid w:val="008A510D"/>
    <w:rsid w:val="008C3367"/>
    <w:rsid w:val="008C7C74"/>
    <w:rsid w:val="008D10A1"/>
    <w:rsid w:val="008D43E5"/>
    <w:rsid w:val="008D4693"/>
    <w:rsid w:val="008D5920"/>
    <w:rsid w:val="008E357D"/>
    <w:rsid w:val="008E694E"/>
    <w:rsid w:val="008F4C9B"/>
    <w:rsid w:val="00913734"/>
    <w:rsid w:val="0091447C"/>
    <w:rsid w:val="0091692A"/>
    <w:rsid w:val="00926CB3"/>
    <w:rsid w:val="009301C8"/>
    <w:rsid w:val="0093032C"/>
    <w:rsid w:val="00940A3A"/>
    <w:rsid w:val="00941DC8"/>
    <w:rsid w:val="00951B46"/>
    <w:rsid w:val="00955BD2"/>
    <w:rsid w:val="00972867"/>
    <w:rsid w:val="00986EDA"/>
    <w:rsid w:val="009952B5"/>
    <w:rsid w:val="009A4139"/>
    <w:rsid w:val="009A6D1E"/>
    <w:rsid w:val="009B3369"/>
    <w:rsid w:val="009B483A"/>
    <w:rsid w:val="009C231A"/>
    <w:rsid w:val="009C4B57"/>
    <w:rsid w:val="009C5E92"/>
    <w:rsid w:val="009D2143"/>
    <w:rsid w:val="009D4124"/>
    <w:rsid w:val="009D467A"/>
    <w:rsid w:val="009D68AD"/>
    <w:rsid w:val="009E1C94"/>
    <w:rsid w:val="009E24EE"/>
    <w:rsid w:val="009E3441"/>
    <w:rsid w:val="009E765E"/>
    <w:rsid w:val="009E7C98"/>
    <w:rsid w:val="009F35C0"/>
    <w:rsid w:val="009F467F"/>
    <w:rsid w:val="009F596A"/>
    <w:rsid w:val="00A0423E"/>
    <w:rsid w:val="00A1400C"/>
    <w:rsid w:val="00A15C12"/>
    <w:rsid w:val="00A17A24"/>
    <w:rsid w:val="00A26F8D"/>
    <w:rsid w:val="00A34F78"/>
    <w:rsid w:val="00A35DFD"/>
    <w:rsid w:val="00A45644"/>
    <w:rsid w:val="00A468EB"/>
    <w:rsid w:val="00A51989"/>
    <w:rsid w:val="00A51B6F"/>
    <w:rsid w:val="00A608D4"/>
    <w:rsid w:val="00A651C4"/>
    <w:rsid w:val="00A65765"/>
    <w:rsid w:val="00A66CDB"/>
    <w:rsid w:val="00A74EF6"/>
    <w:rsid w:val="00A80D4C"/>
    <w:rsid w:val="00A83F7B"/>
    <w:rsid w:val="00A86A83"/>
    <w:rsid w:val="00A905BD"/>
    <w:rsid w:val="00AA25AE"/>
    <w:rsid w:val="00AA26D6"/>
    <w:rsid w:val="00AA65FF"/>
    <w:rsid w:val="00AB1B3D"/>
    <w:rsid w:val="00AC3B95"/>
    <w:rsid w:val="00AC5880"/>
    <w:rsid w:val="00AD6A70"/>
    <w:rsid w:val="00AF0389"/>
    <w:rsid w:val="00AF1BC2"/>
    <w:rsid w:val="00AF1D5D"/>
    <w:rsid w:val="00B00EFB"/>
    <w:rsid w:val="00B124FF"/>
    <w:rsid w:val="00B16D06"/>
    <w:rsid w:val="00B21FE0"/>
    <w:rsid w:val="00B26CB0"/>
    <w:rsid w:val="00B30D94"/>
    <w:rsid w:val="00B342F5"/>
    <w:rsid w:val="00B343CC"/>
    <w:rsid w:val="00B51739"/>
    <w:rsid w:val="00B60526"/>
    <w:rsid w:val="00B64EDB"/>
    <w:rsid w:val="00B73401"/>
    <w:rsid w:val="00B76918"/>
    <w:rsid w:val="00B77DE5"/>
    <w:rsid w:val="00B803B9"/>
    <w:rsid w:val="00B86BB0"/>
    <w:rsid w:val="00B97DE8"/>
    <w:rsid w:val="00BA08BF"/>
    <w:rsid w:val="00BA2E5A"/>
    <w:rsid w:val="00BA4048"/>
    <w:rsid w:val="00BA4FD0"/>
    <w:rsid w:val="00BC7544"/>
    <w:rsid w:val="00BD283E"/>
    <w:rsid w:val="00BD2A4E"/>
    <w:rsid w:val="00BD6A71"/>
    <w:rsid w:val="00BE75FC"/>
    <w:rsid w:val="00BF030F"/>
    <w:rsid w:val="00BF1A8E"/>
    <w:rsid w:val="00BF57D7"/>
    <w:rsid w:val="00C10F76"/>
    <w:rsid w:val="00C17844"/>
    <w:rsid w:val="00C2298B"/>
    <w:rsid w:val="00C23BDA"/>
    <w:rsid w:val="00C23CE5"/>
    <w:rsid w:val="00C24C3E"/>
    <w:rsid w:val="00C32B4F"/>
    <w:rsid w:val="00C3630A"/>
    <w:rsid w:val="00C36F86"/>
    <w:rsid w:val="00C40292"/>
    <w:rsid w:val="00C41D2E"/>
    <w:rsid w:val="00C42AD0"/>
    <w:rsid w:val="00C471E7"/>
    <w:rsid w:val="00C5058F"/>
    <w:rsid w:val="00C61B68"/>
    <w:rsid w:val="00C66010"/>
    <w:rsid w:val="00C662B6"/>
    <w:rsid w:val="00C72BA5"/>
    <w:rsid w:val="00C732AE"/>
    <w:rsid w:val="00C772DE"/>
    <w:rsid w:val="00C87A06"/>
    <w:rsid w:val="00CA1954"/>
    <w:rsid w:val="00CA419A"/>
    <w:rsid w:val="00CB3F1B"/>
    <w:rsid w:val="00CB4BA5"/>
    <w:rsid w:val="00CB4BF7"/>
    <w:rsid w:val="00CB5247"/>
    <w:rsid w:val="00CC410F"/>
    <w:rsid w:val="00CC4506"/>
    <w:rsid w:val="00CC6461"/>
    <w:rsid w:val="00CD20B2"/>
    <w:rsid w:val="00CD3EC8"/>
    <w:rsid w:val="00CD4A98"/>
    <w:rsid w:val="00CD5C3F"/>
    <w:rsid w:val="00CE2116"/>
    <w:rsid w:val="00CF422C"/>
    <w:rsid w:val="00CF61D3"/>
    <w:rsid w:val="00D03E2F"/>
    <w:rsid w:val="00D07707"/>
    <w:rsid w:val="00D077EE"/>
    <w:rsid w:val="00D115AC"/>
    <w:rsid w:val="00D20A26"/>
    <w:rsid w:val="00D21502"/>
    <w:rsid w:val="00D26C72"/>
    <w:rsid w:val="00D329C0"/>
    <w:rsid w:val="00D37EE0"/>
    <w:rsid w:val="00D41A0B"/>
    <w:rsid w:val="00D5569B"/>
    <w:rsid w:val="00D670BC"/>
    <w:rsid w:val="00D7346F"/>
    <w:rsid w:val="00D749F9"/>
    <w:rsid w:val="00D750EE"/>
    <w:rsid w:val="00D81CA7"/>
    <w:rsid w:val="00D91C1B"/>
    <w:rsid w:val="00DA4A8C"/>
    <w:rsid w:val="00DA6C4C"/>
    <w:rsid w:val="00DB3A92"/>
    <w:rsid w:val="00DB45D7"/>
    <w:rsid w:val="00DC1E11"/>
    <w:rsid w:val="00DC4834"/>
    <w:rsid w:val="00DD533B"/>
    <w:rsid w:val="00DD6E90"/>
    <w:rsid w:val="00DD738F"/>
    <w:rsid w:val="00DE0A73"/>
    <w:rsid w:val="00DE0D60"/>
    <w:rsid w:val="00DE66E7"/>
    <w:rsid w:val="00DE6833"/>
    <w:rsid w:val="00DF3478"/>
    <w:rsid w:val="00DF6953"/>
    <w:rsid w:val="00E11D64"/>
    <w:rsid w:val="00E16132"/>
    <w:rsid w:val="00E165CD"/>
    <w:rsid w:val="00E17A2C"/>
    <w:rsid w:val="00E24228"/>
    <w:rsid w:val="00E34A94"/>
    <w:rsid w:val="00E34C6A"/>
    <w:rsid w:val="00E34E7F"/>
    <w:rsid w:val="00E42D4E"/>
    <w:rsid w:val="00E475AF"/>
    <w:rsid w:val="00E52888"/>
    <w:rsid w:val="00E55F4B"/>
    <w:rsid w:val="00E63BD8"/>
    <w:rsid w:val="00E65964"/>
    <w:rsid w:val="00E66504"/>
    <w:rsid w:val="00E71F50"/>
    <w:rsid w:val="00E75839"/>
    <w:rsid w:val="00E76343"/>
    <w:rsid w:val="00E9065B"/>
    <w:rsid w:val="00E927ED"/>
    <w:rsid w:val="00E92C0D"/>
    <w:rsid w:val="00EB2266"/>
    <w:rsid w:val="00EB6701"/>
    <w:rsid w:val="00EB6756"/>
    <w:rsid w:val="00EB761E"/>
    <w:rsid w:val="00EC075F"/>
    <w:rsid w:val="00EC4C94"/>
    <w:rsid w:val="00EC588A"/>
    <w:rsid w:val="00EF3943"/>
    <w:rsid w:val="00F004B5"/>
    <w:rsid w:val="00F0132F"/>
    <w:rsid w:val="00F01C5D"/>
    <w:rsid w:val="00F060CE"/>
    <w:rsid w:val="00F14E28"/>
    <w:rsid w:val="00F3560A"/>
    <w:rsid w:val="00F4206A"/>
    <w:rsid w:val="00F446C1"/>
    <w:rsid w:val="00F46DDE"/>
    <w:rsid w:val="00F5148F"/>
    <w:rsid w:val="00F540F1"/>
    <w:rsid w:val="00F55B42"/>
    <w:rsid w:val="00F706DB"/>
    <w:rsid w:val="00F71F53"/>
    <w:rsid w:val="00F75D10"/>
    <w:rsid w:val="00F77F32"/>
    <w:rsid w:val="00F8108F"/>
    <w:rsid w:val="00F853D4"/>
    <w:rsid w:val="00F95E91"/>
    <w:rsid w:val="00F97B56"/>
    <w:rsid w:val="00FA104E"/>
    <w:rsid w:val="00FA5F03"/>
    <w:rsid w:val="00FC034F"/>
    <w:rsid w:val="00FC154A"/>
    <w:rsid w:val="00FC2043"/>
    <w:rsid w:val="00FC50E0"/>
    <w:rsid w:val="00FC51DF"/>
    <w:rsid w:val="00FD617B"/>
    <w:rsid w:val="00FD7851"/>
    <w:rsid w:val="00FE0255"/>
    <w:rsid w:val="00FE0F88"/>
    <w:rsid w:val="00FE62AD"/>
    <w:rsid w:val="00FF37C4"/>
    <w:rsid w:val="00FF4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88A8"/>
  <w15:chartTrackingRefBased/>
  <w15:docId w15:val="{088AFABC-FCD2-44B0-B64D-5031A782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98"/>
    <w:pPr>
      <w:spacing w:after="0"/>
      <w:jc w:val="center"/>
      <w:outlineLvl w:val="0"/>
    </w:pPr>
    <w:rPr>
      <w:rFonts w:ascii="Times New Roman" w:hAnsi="Times New Roman" w:cs="Times New Roman"/>
      <w:b/>
      <w:bCs/>
      <w:color w:val="4472C4" w:themeColor="accent1"/>
      <w:sz w:val="26"/>
      <w:szCs w:val="26"/>
    </w:rPr>
  </w:style>
  <w:style w:type="paragraph" w:styleId="Heading2">
    <w:name w:val="heading 2"/>
    <w:basedOn w:val="Normal"/>
    <w:next w:val="Normal"/>
    <w:link w:val="Heading2Char"/>
    <w:uiPriority w:val="9"/>
    <w:unhideWhenUsed/>
    <w:qFormat/>
    <w:rsid w:val="004A3C3D"/>
    <w:pPr>
      <w:spacing w:after="0"/>
      <w:outlineLvl w:val="1"/>
    </w:pPr>
    <w:rPr>
      <w:rFonts w:ascii="Times New Roman" w:hAnsi="Times New Roman" w:cs="Times New Roman"/>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0E0"/>
  </w:style>
  <w:style w:type="paragraph" w:styleId="Footer">
    <w:name w:val="footer"/>
    <w:basedOn w:val="Normal"/>
    <w:link w:val="FooterChar"/>
    <w:uiPriority w:val="99"/>
    <w:unhideWhenUsed/>
    <w:rsid w:val="00FC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0E0"/>
  </w:style>
  <w:style w:type="paragraph" w:styleId="ListParagraph">
    <w:name w:val="List Paragraph"/>
    <w:basedOn w:val="Normal"/>
    <w:uiPriority w:val="34"/>
    <w:qFormat/>
    <w:rsid w:val="00216141"/>
    <w:pPr>
      <w:ind w:left="720"/>
      <w:contextualSpacing/>
    </w:pPr>
  </w:style>
  <w:style w:type="character" w:styleId="CommentReference">
    <w:name w:val="annotation reference"/>
    <w:basedOn w:val="DefaultParagraphFont"/>
    <w:uiPriority w:val="99"/>
    <w:semiHidden/>
    <w:unhideWhenUsed/>
    <w:rsid w:val="00A651C4"/>
    <w:rPr>
      <w:sz w:val="16"/>
      <w:szCs w:val="16"/>
    </w:rPr>
  </w:style>
  <w:style w:type="paragraph" w:styleId="CommentText">
    <w:name w:val="annotation text"/>
    <w:basedOn w:val="Normal"/>
    <w:link w:val="CommentTextChar"/>
    <w:uiPriority w:val="99"/>
    <w:semiHidden/>
    <w:unhideWhenUsed/>
    <w:rsid w:val="00A651C4"/>
    <w:pPr>
      <w:spacing w:line="240" w:lineRule="auto"/>
    </w:pPr>
    <w:rPr>
      <w:sz w:val="20"/>
      <w:szCs w:val="20"/>
    </w:rPr>
  </w:style>
  <w:style w:type="character" w:customStyle="1" w:styleId="CommentTextChar">
    <w:name w:val="Comment Text Char"/>
    <w:basedOn w:val="DefaultParagraphFont"/>
    <w:link w:val="CommentText"/>
    <w:uiPriority w:val="99"/>
    <w:semiHidden/>
    <w:rsid w:val="00A651C4"/>
    <w:rPr>
      <w:sz w:val="20"/>
      <w:szCs w:val="20"/>
    </w:rPr>
  </w:style>
  <w:style w:type="paragraph" w:styleId="CommentSubject">
    <w:name w:val="annotation subject"/>
    <w:basedOn w:val="CommentText"/>
    <w:next w:val="CommentText"/>
    <w:link w:val="CommentSubjectChar"/>
    <w:uiPriority w:val="99"/>
    <w:semiHidden/>
    <w:unhideWhenUsed/>
    <w:rsid w:val="00A651C4"/>
    <w:rPr>
      <w:b/>
      <w:bCs/>
    </w:rPr>
  </w:style>
  <w:style w:type="character" w:customStyle="1" w:styleId="CommentSubjectChar">
    <w:name w:val="Comment Subject Char"/>
    <w:basedOn w:val="CommentTextChar"/>
    <w:link w:val="CommentSubject"/>
    <w:uiPriority w:val="99"/>
    <w:semiHidden/>
    <w:rsid w:val="00A651C4"/>
    <w:rPr>
      <w:b/>
      <w:bCs/>
      <w:sz w:val="20"/>
      <w:szCs w:val="20"/>
    </w:rPr>
  </w:style>
  <w:style w:type="character" w:styleId="Hyperlink">
    <w:name w:val="Hyperlink"/>
    <w:basedOn w:val="DefaultParagraphFont"/>
    <w:uiPriority w:val="99"/>
    <w:unhideWhenUsed/>
    <w:rsid w:val="007829B1"/>
    <w:rPr>
      <w:color w:val="0563C1" w:themeColor="hyperlink"/>
      <w:u w:val="single"/>
    </w:rPr>
  </w:style>
  <w:style w:type="character" w:styleId="UnresolvedMention">
    <w:name w:val="Unresolved Mention"/>
    <w:basedOn w:val="DefaultParagraphFont"/>
    <w:uiPriority w:val="99"/>
    <w:semiHidden/>
    <w:unhideWhenUsed/>
    <w:rsid w:val="007829B1"/>
    <w:rPr>
      <w:color w:val="605E5C"/>
      <w:shd w:val="clear" w:color="auto" w:fill="E1DFDD"/>
    </w:rPr>
  </w:style>
  <w:style w:type="character" w:styleId="FollowedHyperlink">
    <w:name w:val="FollowedHyperlink"/>
    <w:basedOn w:val="DefaultParagraphFont"/>
    <w:uiPriority w:val="99"/>
    <w:semiHidden/>
    <w:unhideWhenUsed/>
    <w:rsid w:val="00B30D94"/>
    <w:rPr>
      <w:color w:val="954F72" w:themeColor="followedHyperlink"/>
      <w:u w:val="single"/>
    </w:rPr>
  </w:style>
  <w:style w:type="character" w:customStyle="1" w:styleId="Heading1Char">
    <w:name w:val="Heading 1 Char"/>
    <w:basedOn w:val="DefaultParagraphFont"/>
    <w:link w:val="Heading1"/>
    <w:uiPriority w:val="9"/>
    <w:rsid w:val="00CD4A98"/>
    <w:rPr>
      <w:rFonts w:ascii="Times New Roman" w:hAnsi="Times New Roman" w:cs="Times New Roman"/>
      <w:b/>
      <w:bCs/>
      <w:color w:val="4472C4" w:themeColor="accent1"/>
      <w:sz w:val="26"/>
      <w:szCs w:val="26"/>
    </w:rPr>
  </w:style>
  <w:style w:type="character" w:customStyle="1" w:styleId="Heading2Char">
    <w:name w:val="Heading 2 Char"/>
    <w:basedOn w:val="DefaultParagraphFont"/>
    <w:link w:val="Heading2"/>
    <w:uiPriority w:val="9"/>
    <w:rsid w:val="004A3C3D"/>
    <w:rPr>
      <w:rFonts w:ascii="Times New Roman" w:hAnsi="Times New Roman" w:cs="Times New Roman"/>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73663">
      <w:bodyDiv w:val="1"/>
      <w:marLeft w:val="0"/>
      <w:marRight w:val="0"/>
      <w:marTop w:val="0"/>
      <w:marBottom w:val="0"/>
      <w:divBdr>
        <w:top w:val="none" w:sz="0" w:space="0" w:color="auto"/>
        <w:left w:val="none" w:sz="0" w:space="0" w:color="auto"/>
        <w:bottom w:val="none" w:sz="0" w:space="0" w:color="auto"/>
        <w:right w:val="none" w:sz="0" w:space="0" w:color="auto"/>
      </w:divBdr>
    </w:div>
    <w:div w:id="1909414005">
      <w:bodyDiv w:val="1"/>
      <w:marLeft w:val="0"/>
      <w:marRight w:val="0"/>
      <w:marTop w:val="0"/>
      <w:marBottom w:val="0"/>
      <w:divBdr>
        <w:top w:val="none" w:sz="0" w:space="0" w:color="auto"/>
        <w:left w:val="none" w:sz="0" w:space="0" w:color="auto"/>
        <w:bottom w:val="none" w:sz="0" w:space="0" w:color="auto"/>
        <w:right w:val="none" w:sz="0" w:space="0" w:color="auto"/>
      </w:divBdr>
      <w:divsChild>
        <w:div w:id="1160577063">
          <w:marLeft w:val="0"/>
          <w:marRight w:val="0"/>
          <w:marTop w:val="0"/>
          <w:marBottom w:val="0"/>
          <w:divBdr>
            <w:top w:val="none" w:sz="0" w:space="0" w:color="auto"/>
            <w:left w:val="none" w:sz="0" w:space="0" w:color="auto"/>
            <w:bottom w:val="none" w:sz="0" w:space="0" w:color="auto"/>
            <w:right w:val="none" w:sz="0" w:space="0" w:color="auto"/>
          </w:divBdr>
        </w:div>
        <w:div w:id="815492517">
          <w:marLeft w:val="0"/>
          <w:marRight w:val="0"/>
          <w:marTop w:val="0"/>
          <w:marBottom w:val="0"/>
          <w:divBdr>
            <w:top w:val="none" w:sz="0" w:space="0" w:color="auto"/>
            <w:left w:val="none" w:sz="0" w:space="0" w:color="auto"/>
            <w:bottom w:val="none" w:sz="0" w:space="0" w:color="auto"/>
            <w:right w:val="none" w:sz="0" w:space="0" w:color="auto"/>
          </w:divBdr>
          <w:divsChild>
            <w:div w:id="1630285228">
              <w:marLeft w:val="0"/>
              <w:marRight w:val="0"/>
              <w:marTop w:val="0"/>
              <w:marBottom w:val="0"/>
              <w:divBdr>
                <w:top w:val="none" w:sz="0" w:space="0" w:color="auto"/>
                <w:left w:val="none" w:sz="0" w:space="0" w:color="auto"/>
                <w:bottom w:val="none" w:sz="0" w:space="0" w:color="auto"/>
                <w:right w:val="none" w:sz="0" w:space="0" w:color="auto"/>
              </w:divBdr>
            </w:div>
            <w:div w:id="861817809">
              <w:marLeft w:val="0"/>
              <w:marRight w:val="0"/>
              <w:marTop w:val="0"/>
              <w:marBottom w:val="0"/>
              <w:divBdr>
                <w:top w:val="none" w:sz="0" w:space="0" w:color="auto"/>
                <w:left w:val="none" w:sz="0" w:space="0" w:color="auto"/>
                <w:bottom w:val="none" w:sz="0" w:space="0" w:color="auto"/>
                <w:right w:val="none" w:sz="0" w:space="0" w:color="auto"/>
              </w:divBdr>
            </w:div>
            <w:div w:id="1095983097">
              <w:marLeft w:val="0"/>
              <w:marRight w:val="0"/>
              <w:marTop w:val="0"/>
              <w:marBottom w:val="0"/>
              <w:divBdr>
                <w:top w:val="none" w:sz="0" w:space="0" w:color="auto"/>
                <w:left w:val="none" w:sz="0" w:space="0" w:color="auto"/>
                <w:bottom w:val="none" w:sz="0" w:space="0" w:color="auto"/>
                <w:right w:val="none" w:sz="0" w:space="0" w:color="auto"/>
              </w:divBdr>
            </w:div>
            <w:div w:id="1798835561">
              <w:marLeft w:val="0"/>
              <w:marRight w:val="0"/>
              <w:marTop w:val="0"/>
              <w:marBottom w:val="0"/>
              <w:divBdr>
                <w:top w:val="none" w:sz="0" w:space="0" w:color="auto"/>
                <w:left w:val="none" w:sz="0" w:space="0" w:color="auto"/>
                <w:bottom w:val="none" w:sz="0" w:space="0" w:color="auto"/>
                <w:right w:val="none" w:sz="0" w:space="0" w:color="auto"/>
              </w:divBdr>
            </w:div>
            <w:div w:id="214202938">
              <w:marLeft w:val="0"/>
              <w:marRight w:val="0"/>
              <w:marTop w:val="0"/>
              <w:marBottom w:val="0"/>
              <w:divBdr>
                <w:top w:val="none" w:sz="0" w:space="0" w:color="auto"/>
                <w:left w:val="none" w:sz="0" w:space="0" w:color="auto"/>
                <w:bottom w:val="none" w:sz="0" w:space="0" w:color="auto"/>
                <w:right w:val="none" w:sz="0" w:space="0" w:color="auto"/>
              </w:divBdr>
            </w:div>
            <w:div w:id="613637393">
              <w:marLeft w:val="0"/>
              <w:marRight w:val="0"/>
              <w:marTop w:val="0"/>
              <w:marBottom w:val="0"/>
              <w:divBdr>
                <w:top w:val="none" w:sz="0" w:space="0" w:color="auto"/>
                <w:left w:val="none" w:sz="0" w:space="0" w:color="auto"/>
                <w:bottom w:val="none" w:sz="0" w:space="0" w:color="auto"/>
                <w:right w:val="none" w:sz="0" w:space="0" w:color="auto"/>
              </w:divBdr>
            </w:div>
            <w:div w:id="1903172283">
              <w:marLeft w:val="0"/>
              <w:marRight w:val="0"/>
              <w:marTop w:val="0"/>
              <w:marBottom w:val="0"/>
              <w:divBdr>
                <w:top w:val="none" w:sz="0" w:space="0" w:color="auto"/>
                <w:left w:val="none" w:sz="0" w:space="0" w:color="auto"/>
                <w:bottom w:val="none" w:sz="0" w:space="0" w:color="auto"/>
                <w:right w:val="none" w:sz="0" w:space="0" w:color="auto"/>
              </w:divBdr>
            </w:div>
            <w:div w:id="2009089915">
              <w:marLeft w:val="0"/>
              <w:marRight w:val="0"/>
              <w:marTop w:val="0"/>
              <w:marBottom w:val="0"/>
              <w:divBdr>
                <w:top w:val="none" w:sz="0" w:space="0" w:color="auto"/>
                <w:left w:val="none" w:sz="0" w:space="0" w:color="auto"/>
                <w:bottom w:val="none" w:sz="0" w:space="0" w:color="auto"/>
                <w:right w:val="none" w:sz="0" w:space="0" w:color="auto"/>
              </w:divBdr>
            </w:div>
            <w:div w:id="1767116647">
              <w:marLeft w:val="0"/>
              <w:marRight w:val="0"/>
              <w:marTop w:val="0"/>
              <w:marBottom w:val="0"/>
              <w:divBdr>
                <w:top w:val="none" w:sz="0" w:space="0" w:color="auto"/>
                <w:left w:val="none" w:sz="0" w:space="0" w:color="auto"/>
                <w:bottom w:val="none" w:sz="0" w:space="0" w:color="auto"/>
                <w:right w:val="none" w:sz="0" w:space="0" w:color="auto"/>
              </w:divBdr>
            </w:div>
            <w:div w:id="1852991226">
              <w:marLeft w:val="0"/>
              <w:marRight w:val="0"/>
              <w:marTop w:val="0"/>
              <w:marBottom w:val="0"/>
              <w:divBdr>
                <w:top w:val="none" w:sz="0" w:space="0" w:color="auto"/>
                <w:left w:val="none" w:sz="0" w:space="0" w:color="auto"/>
                <w:bottom w:val="none" w:sz="0" w:space="0" w:color="auto"/>
                <w:right w:val="none" w:sz="0" w:space="0" w:color="auto"/>
              </w:divBdr>
            </w:div>
            <w:div w:id="9455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ovid19/on-desktop/roadmap/" TargetMode="External"/><Relationship Id="rId18" Type="http://schemas.openxmlformats.org/officeDocument/2006/relationships/hyperlink" Target="https://www.doe.mass.edu/grants/2022/119/" TargetMode="External"/><Relationship Id="rId3" Type="http://schemas.openxmlformats.org/officeDocument/2006/relationships/customXml" Target="../customXml/item3.xml"/><Relationship Id="rId21" Type="http://schemas.openxmlformats.org/officeDocument/2006/relationships/hyperlink" Target="https://annenberg.brown.edu/sites/default/files/EdResearch_for_Recovery_Design_Principles_1.pdf" TargetMode="External"/><Relationship Id="rId7" Type="http://schemas.openxmlformats.org/officeDocument/2006/relationships/styles" Target="styles.xml"/><Relationship Id="rId12" Type="http://schemas.openxmlformats.org/officeDocument/2006/relationships/hyperlink" Target="https://www.doe.mass.edu/covid19/on-desktop/covid19-guide-updates.pdf" TargetMode="External"/><Relationship Id="rId17" Type="http://schemas.openxmlformats.org/officeDocument/2006/relationships/hyperlink" Target="https://www.doe.mass.edu/commissioner/spec-advisories/soa-evidence-based-exampl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commissioner/spec-advisories/soa.html" TargetMode="External"/><Relationship Id="rId20" Type="http://schemas.openxmlformats.org/officeDocument/2006/relationships/hyperlink" Target="https://www.doe.mass.edu/commissioner/spec-advisories/soa-evidence-based-exampl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asost/summer-learning.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grants/2022/1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2/12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DESE-231-71666</_dlc_DocId>
    <_dlc_DocIdUrl xmlns="733efe1c-5bbe-4968-87dc-d400e65c879f">
      <Url>https://sharepoint.doemass.org/ese/webteam/cps/_layouts/DocIdRedir.aspx?ID=DESE-231-71666</Url>
      <Description>DESE-231-71666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121063A-41AE-45B1-B12B-DFD160AD8A4C}">
  <ds:schemaRefs>
    <ds:schemaRef ds:uri="http://schemas.openxmlformats.org/officeDocument/2006/bibliography"/>
  </ds:schemaRefs>
</ds:datastoreItem>
</file>

<file path=customXml/itemProps2.xml><?xml version="1.0" encoding="utf-8"?>
<ds:datastoreItem xmlns:ds="http://schemas.openxmlformats.org/officeDocument/2006/customXml" ds:itemID="{EDFDB1FE-22BB-4B98-8CC1-405E64D6C0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61F0797-0CAE-4E36-8926-B44C12B9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17939-F144-46B4-B616-5D62F78829DB}">
  <ds:schemaRefs>
    <ds:schemaRef ds:uri="http://schemas.microsoft.com/sharepoint/events"/>
  </ds:schemaRefs>
</ds:datastoreItem>
</file>

<file path=customXml/itemProps5.xml><?xml version="1.0" encoding="utf-8"?>
<ds:datastoreItem xmlns:ds="http://schemas.openxmlformats.org/officeDocument/2006/customXml" ds:itemID="{114BB104-2881-432B-82A7-674F4A7FB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Further Guidance on Effectively Allocating Resources to Support Recovery and Acceleration</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Guidance on Effectively Allocating Resources to Support Recovery and Acceleration</dc:title>
  <dc:subject/>
  <dc:creator>DESE</dc:creator>
  <cp:keywords/>
  <dc:description/>
  <cp:lastModifiedBy>Zou, Dong (EOE)</cp:lastModifiedBy>
  <cp:revision>21</cp:revision>
  <dcterms:created xsi:type="dcterms:W3CDTF">2021-06-14T18:27:00Z</dcterms:created>
  <dcterms:modified xsi:type="dcterms:W3CDTF">2021-07-23T17:33:00Z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