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A74C7" w14:textId="77777777" w:rsidR="00AC0B18" w:rsidRDefault="00C117DE">
      <w:pPr>
        <w:spacing w:after="240"/>
        <w:jc w:val="center"/>
        <w:rPr>
          <w:rFonts w:ascii="Calibri" w:eastAsia="Calibri" w:hAnsi="Calibri" w:cs="Calibri"/>
          <w:b/>
          <w:sz w:val="28"/>
          <w:szCs w:val="28"/>
          <w:u w:val="single"/>
        </w:rPr>
      </w:pPr>
      <w:r>
        <w:rPr>
          <w:rFonts w:ascii="Calibri" w:eastAsia="Calibri" w:hAnsi="Calibri" w:cs="Calibri"/>
          <w:b/>
          <w:sz w:val="28"/>
          <w:szCs w:val="28"/>
          <w:u w:val="single"/>
        </w:rPr>
        <w:t>Questions and Answers &amp; Notes from Chat</w:t>
      </w:r>
    </w:p>
    <w:p w14:paraId="2DBECA70" w14:textId="1237D5CC" w:rsidR="00AC0B18" w:rsidRDefault="00C117DE">
      <w:pPr>
        <w:spacing w:after="240"/>
        <w:jc w:val="center"/>
        <w:rPr>
          <w:rFonts w:ascii="Calibri" w:eastAsia="Calibri" w:hAnsi="Calibri" w:cs="Calibri"/>
          <w:b/>
          <w:sz w:val="28"/>
          <w:szCs w:val="28"/>
        </w:rPr>
      </w:pPr>
      <w:r>
        <w:rPr>
          <w:rFonts w:ascii="Calibri" w:eastAsia="Calibri" w:hAnsi="Calibri" w:cs="Calibri"/>
          <w:b/>
          <w:sz w:val="28"/>
          <w:szCs w:val="28"/>
        </w:rPr>
        <w:t xml:space="preserve">Webinar: </w:t>
      </w:r>
      <w:r w:rsidR="00711BCA">
        <w:rPr>
          <w:rFonts w:ascii="Calibri" w:eastAsia="Calibri" w:hAnsi="Calibri" w:cs="Calibri"/>
          <w:b/>
          <w:sz w:val="28"/>
          <w:szCs w:val="28"/>
        </w:rPr>
        <w:t>Planning and Adjusting Instruction</w:t>
      </w:r>
      <w:r>
        <w:rPr>
          <w:rFonts w:ascii="Calibri" w:eastAsia="Calibri" w:hAnsi="Calibri" w:cs="Calibri"/>
          <w:b/>
          <w:sz w:val="28"/>
          <w:szCs w:val="28"/>
        </w:rPr>
        <w:t xml:space="preserve"> Math</w:t>
      </w:r>
    </w:p>
    <w:p w14:paraId="425A8CE8" w14:textId="6DE66A0B" w:rsidR="00AC0B18" w:rsidRPr="00711BCA" w:rsidRDefault="00C117DE" w:rsidP="00711BCA">
      <w:pPr>
        <w:spacing w:after="240"/>
        <w:jc w:val="center"/>
        <w:rPr>
          <w:rFonts w:ascii="Calibri" w:eastAsia="Calibri" w:hAnsi="Calibri" w:cs="Calibri"/>
          <w:b/>
          <w:sz w:val="28"/>
          <w:szCs w:val="28"/>
        </w:rPr>
      </w:pPr>
      <w:r>
        <w:rPr>
          <w:rFonts w:ascii="Calibri" w:eastAsia="Calibri" w:hAnsi="Calibri" w:cs="Calibri"/>
          <w:b/>
          <w:sz w:val="28"/>
          <w:szCs w:val="28"/>
        </w:rPr>
        <w:t xml:space="preserve">Date: </w:t>
      </w:r>
      <w:bookmarkStart w:id="0" w:name="_GoBack"/>
      <w:r w:rsidR="00711BCA">
        <w:rPr>
          <w:rFonts w:ascii="Calibri" w:eastAsia="Calibri" w:hAnsi="Calibri" w:cs="Calibri"/>
          <w:b/>
          <w:sz w:val="28"/>
          <w:szCs w:val="28"/>
        </w:rPr>
        <w:t>June</w:t>
      </w:r>
      <w:r>
        <w:rPr>
          <w:rFonts w:ascii="Calibri" w:eastAsia="Calibri" w:hAnsi="Calibri" w:cs="Calibri"/>
          <w:b/>
          <w:sz w:val="28"/>
          <w:szCs w:val="28"/>
        </w:rPr>
        <w:t xml:space="preserve"> 1</w:t>
      </w:r>
      <w:r w:rsidR="007B269D">
        <w:rPr>
          <w:rFonts w:ascii="Calibri" w:eastAsia="Calibri" w:hAnsi="Calibri" w:cs="Calibri"/>
          <w:b/>
          <w:sz w:val="28"/>
          <w:szCs w:val="28"/>
        </w:rPr>
        <w:t>8</w:t>
      </w:r>
      <w:r>
        <w:rPr>
          <w:rFonts w:ascii="Calibri" w:eastAsia="Calibri" w:hAnsi="Calibri" w:cs="Calibri"/>
          <w:b/>
          <w:sz w:val="28"/>
          <w:szCs w:val="28"/>
        </w:rPr>
        <w:t>, 2020</w:t>
      </w:r>
      <w:bookmarkEnd w:id="0"/>
    </w:p>
    <w:p w14:paraId="22C798B4" w14:textId="77777777" w:rsidR="00711BCA" w:rsidRPr="00711BCA" w:rsidRDefault="00711BCA" w:rsidP="00711BCA">
      <w:pPr>
        <w:spacing w:line="240" w:lineRule="auto"/>
        <w:rPr>
          <w:rFonts w:ascii="Times New Roman" w:eastAsia="Times New Roman" w:hAnsi="Times New Roman" w:cs="Times New Roman"/>
          <w:sz w:val="24"/>
          <w:szCs w:val="24"/>
          <w:lang w:val="en-US"/>
        </w:rPr>
      </w:pPr>
    </w:p>
    <w:tbl>
      <w:tblPr>
        <w:tblW w:w="0" w:type="auto"/>
        <w:tblInd w:w="-370" w:type="dxa"/>
        <w:tblCellMar>
          <w:top w:w="15" w:type="dxa"/>
          <w:left w:w="15" w:type="dxa"/>
          <w:bottom w:w="15" w:type="dxa"/>
          <w:right w:w="15" w:type="dxa"/>
        </w:tblCellMar>
        <w:tblLook w:val="04A0" w:firstRow="1" w:lastRow="0" w:firstColumn="1" w:lastColumn="0" w:noHBand="0" w:noVBand="1"/>
      </w:tblPr>
      <w:tblGrid>
        <w:gridCol w:w="630"/>
        <w:gridCol w:w="6120"/>
        <w:gridCol w:w="6560"/>
      </w:tblGrid>
      <w:tr w:rsidR="00711BCA" w:rsidRPr="006A11BB" w14:paraId="7AFA9CF4" w14:textId="77777777" w:rsidTr="007E5270">
        <w:trPr>
          <w:trHeight w:val="492"/>
        </w:trPr>
        <w:tc>
          <w:tcPr>
            <w:tcW w:w="630"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58B08F14" w14:textId="77777777" w:rsidR="00711BCA" w:rsidRPr="006A11BB" w:rsidRDefault="00711BCA" w:rsidP="00711BCA">
            <w:pPr>
              <w:spacing w:line="240" w:lineRule="auto"/>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vAlign w:val="center"/>
            <w:hideMark/>
          </w:tcPr>
          <w:p w14:paraId="5E39FC51" w14:textId="147AA1C2" w:rsidR="00711BCA" w:rsidRPr="00711BCA" w:rsidRDefault="00711BCA" w:rsidP="00711BCA">
            <w:pPr>
              <w:spacing w:line="240" w:lineRule="auto"/>
              <w:jc w:val="center"/>
              <w:rPr>
                <w:rFonts w:asciiTheme="majorHAnsi" w:eastAsia="Times New Roman" w:hAnsiTheme="majorHAnsi" w:cstheme="majorHAnsi"/>
                <w:b/>
                <w:bCs/>
                <w:sz w:val="28"/>
                <w:szCs w:val="28"/>
                <w:lang w:val="en-US"/>
              </w:rPr>
            </w:pPr>
            <w:r w:rsidRPr="00711BCA">
              <w:rPr>
                <w:rFonts w:asciiTheme="majorHAnsi" w:eastAsia="Times New Roman" w:hAnsiTheme="majorHAnsi" w:cstheme="majorHAnsi"/>
                <w:b/>
                <w:bCs/>
                <w:color w:val="000000"/>
                <w:sz w:val="28"/>
                <w:szCs w:val="28"/>
                <w:lang w:val="en-US"/>
              </w:rPr>
              <w:t>Q</w:t>
            </w:r>
            <w:r w:rsidRPr="006A11BB">
              <w:rPr>
                <w:rFonts w:asciiTheme="majorHAnsi" w:eastAsia="Times New Roman" w:hAnsiTheme="majorHAnsi" w:cstheme="majorHAnsi"/>
                <w:b/>
                <w:bCs/>
                <w:color w:val="000000"/>
                <w:sz w:val="28"/>
                <w:szCs w:val="28"/>
                <w:lang w:val="en-US"/>
              </w:rPr>
              <w:t>uestion</w:t>
            </w:r>
          </w:p>
        </w:tc>
        <w:tc>
          <w:tcPr>
            <w:tcW w:w="6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vAlign w:val="center"/>
            <w:hideMark/>
          </w:tcPr>
          <w:p w14:paraId="7191A1D7" w14:textId="35AC1D7C" w:rsidR="00711BCA" w:rsidRPr="00711BCA" w:rsidRDefault="00711BCA" w:rsidP="00711BCA">
            <w:pPr>
              <w:spacing w:line="240" w:lineRule="auto"/>
              <w:jc w:val="center"/>
              <w:rPr>
                <w:rFonts w:asciiTheme="majorHAnsi" w:eastAsia="Times New Roman" w:hAnsiTheme="majorHAnsi" w:cstheme="majorHAnsi"/>
                <w:b/>
                <w:bCs/>
                <w:sz w:val="28"/>
                <w:szCs w:val="28"/>
                <w:lang w:val="en-US"/>
              </w:rPr>
            </w:pPr>
            <w:r w:rsidRPr="00711BCA">
              <w:rPr>
                <w:rFonts w:asciiTheme="majorHAnsi" w:eastAsia="Times New Roman" w:hAnsiTheme="majorHAnsi" w:cstheme="majorHAnsi"/>
                <w:b/>
                <w:bCs/>
                <w:color w:val="000000"/>
                <w:sz w:val="28"/>
                <w:szCs w:val="28"/>
                <w:lang w:val="en-US"/>
              </w:rPr>
              <w:t>A</w:t>
            </w:r>
            <w:r w:rsidRPr="006A11BB">
              <w:rPr>
                <w:rFonts w:asciiTheme="majorHAnsi" w:eastAsia="Times New Roman" w:hAnsiTheme="majorHAnsi" w:cstheme="majorHAnsi"/>
                <w:b/>
                <w:bCs/>
                <w:color w:val="000000"/>
                <w:sz w:val="28"/>
                <w:szCs w:val="28"/>
                <w:lang w:val="en-US"/>
              </w:rPr>
              <w:t>nswer</w:t>
            </w:r>
          </w:p>
        </w:tc>
      </w:tr>
      <w:tr w:rsidR="008D0636" w:rsidRPr="006A11BB" w14:paraId="6B835FF8" w14:textId="77777777" w:rsidTr="00962622">
        <w:tc>
          <w:tcPr>
            <w:tcW w:w="630" w:type="dxa"/>
            <w:tcBorders>
              <w:top w:val="single" w:sz="8" w:space="0" w:color="000000"/>
              <w:left w:val="single" w:sz="8" w:space="0" w:color="000000"/>
              <w:bottom w:val="single" w:sz="8" w:space="0" w:color="000000"/>
              <w:right w:val="single" w:sz="8" w:space="0" w:color="000000"/>
            </w:tcBorders>
          </w:tcPr>
          <w:p w14:paraId="765EA36F" w14:textId="77777777" w:rsidR="008D0636" w:rsidRPr="006A11BB" w:rsidRDefault="008D0636" w:rsidP="00711BCA">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4338C" w14:textId="60256AED" w:rsidR="008D0636" w:rsidRPr="00711BCA" w:rsidRDefault="008D0636" w:rsidP="00711BCA">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Are we expected to cover all of the standards next year?</w:t>
            </w:r>
          </w:p>
        </w:tc>
        <w:tc>
          <w:tcPr>
            <w:tcW w:w="65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4C3EA74" w14:textId="77777777" w:rsidR="008D0636" w:rsidRPr="006A11BB" w:rsidRDefault="008D0636" w:rsidP="00711BCA">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The prerequisite standards, released in the spring of 2020, were guidance specifically to support teachers in closing the 2019-20 academic year. At this time, districts and schools should anticipate working to address all grade level content standards in the coming school year.</w:t>
            </w:r>
          </w:p>
          <w:p w14:paraId="6B0626D3" w14:textId="77777777" w:rsidR="008D0636" w:rsidRPr="006A11BB" w:rsidRDefault="008D0636" w:rsidP="007E5270">
            <w:pPr>
              <w:spacing w:line="240" w:lineRule="auto"/>
              <w:rPr>
                <w:rFonts w:asciiTheme="majorHAnsi" w:eastAsia="Times New Roman" w:hAnsiTheme="majorHAnsi" w:cstheme="majorHAnsi"/>
                <w:color w:val="000000"/>
                <w:lang w:val="en-US"/>
              </w:rPr>
            </w:pPr>
          </w:p>
          <w:p w14:paraId="4E1A8C40" w14:textId="660C5FD1" w:rsidR="008D0636" w:rsidRPr="00711BCA" w:rsidRDefault="008D0636"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Currently we are not putting out narrowing the standards for 20-21.</w:t>
            </w:r>
            <w:r w:rsidRPr="006A11BB">
              <w:rPr>
                <w:rFonts w:asciiTheme="majorHAnsi" w:eastAsia="Times New Roman" w:hAnsiTheme="majorHAnsi" w:cstheme="majorHAnsi"/>
                <w:color w:val="000000"/>
                <w:lang w:val="en-US"/>
              </w:rPr>
              <w:t xml:space="preserve"> </w:t>
            </w:r>
            <w:r w:rsidRPr="00711BCA">
              <w:rPr>
                <w:rFonts w:asciiTheme="majorHAnsi" w:eastAsia="Times New Roman" w:hAnsiTheme="majorHAnsi" w:cstheme="majorHAnsi"/>
                <w:color w:val="000000"/>
                <w:lang w:val="en-US"/>
              </w:rPr>
              <w:t>If that changes, we will notify the field at that time.</w:t>
            </w:r>
          </w:p>
        </w:tc>
      </w:tr>
      <w:tr w:rsidR="008D0636" w:rsidRPr="006A11BB" w14:paraId="611167E3" w14:textId="77777777" w:rsidTr="00962622">
        <w:tc>
          <w:tcPr>
            <w:tcW w:w="630" w:type="dxa"/>
            <w:tcBorders>
              <w:top w:val="single" w:sz="8" w:space="0" w:color="000000"/>
              <w:left w:val="single" w:sz="8" w:space="0" w:color="000000"/>
              <w:bottom w:val="single" w:sz="8" w:space="0" w:color="000000"/>
              <w:right w:val="single" w:sz="8" w:space="0" w:color="000000"/>
            </w:tcBorders>
          </w:tcPr>
          <w:p w14:paraId="48143084" w14:textId="77777777" w:rsidR="008D0636" w:rsidRPr="006A11BB" w:rsidRDefault="008D0636" w:rsidP="00711BCA">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59C70" w14:textId="27B0E37E" w:rsidR="008D0636" w:rsidRPr="00711BCA" w:rsidRDefault="008D0636" w:rsidP="00711BCA">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What is the role of the prerequisite standards for the coming school year? OR will we be back to focusing on all grade level standards?</w:t>
            </w:r>
          </w:p>
        </w:tc>
        <w:tc>
          <w:tcPr>
            <w:tcW w:w="6560" w:type="dxa"/>
            <w:vMerge/>
            <w:tcBorders>
              <w:left w:val="single" w:sz="8" w:space="0" w:color="000000"/>
              <w:right w:val="single" w:sz="8" w:space="0" w:color="000000"/>
            </w:tcBorders>
            <w:tcMar>
              <w:top w:w="100" w:type="dxa"/>
              <w:left w:w="100" w:type="dxa"/>
              <w:bottom w:w="100" w:type="dxa"/>
              <w:right w:w="100" w:type="dxa"/>
            </w:tcMar>
            <w:hideMark/>
          </w:tcPr>
          <w:p w14:paraId="344F4B88" w14:textId="7438AFF5" w:rsidR="008D0636" w:rsidRPr="00711BCA" w:rsidRDefault="008D0636" w:rsidP="007E5270">
            <w:pPr>
              <w:spacing w:line="240" w:lineRule="auto"/>
              <w:rPr>
                <w:rFonts w:asciiTheme="majorHAnsi" w:eastAsia="Times New Roman" w:hAnsiTheme="majorHAnsi" w:cstheme="majorHAnsi"/>
                <w:lang w:val="en-US"/>
              </w:rPr>
            </w:pPr>
          </w:p>
        </w:tc>
      </w:tr>
      <w:tr w:rsidR="008D0636" w:rsidRPr="006A11BB" w14:paraId="205EA94B" w14:textId="77777777" w:rsidTr="007E5270">
        <w:tc>
          <w:tcPr>
            <w:tcW w:w="630" w:type="dxa"/>
            <w:tcBorders>
              <w:top w:val="single" w:sz="8" w:space="0" w:color="000000"/>
              <w:left w:val="single" w:sz="8" w:space="0" w:color="000000"/>
              <w:bottom w:val="single" w:sz="8" w:space="0" w:color="000000"/>
              <w:right w:val="single" w:sz="8" w:space="0" w:color="000000"/>
            </w:tcBorders>
          </w:tcPr>
          <w:p w14:paraId="5C74384D" w14:textId="77777777" w:rsidR="008D0636" w:rsidRPr="006A11BB" w:rsidRDefault="008D0636"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0D476" w14:textId="23F0FFDB" w:rsidR="008D0636" w:rsidRPr="006A11BB" w:rsidRDefault="008D0636" w:rsidP="007E5270">
            <w:pPr>
              <w:spacing w:line="240" w:lineRule="auto"/>
              <w:rPr>
                <w:rFonts w:asciiTheme="majorHAnsi" w:eastAsia="Times New Roman" w:hAnsiTheme="majorHAnsi" w:cstheme="majorHAnsi"/>
                <w:color w:val="000000"/>
                <w:lang w:val="en-US"/>
              </w:rPr>
            </w:pPr>
            <w:r w:rsidRPr="00711BCA">
              <w:rPr>
                <w:rFonts w:asciiTheme="majorHAnsi" w:eastAsia="Times New Roman" w:hAnsiTheme="majorHAnsi" w:cstheme="majorHAnsi"/>
                <w:color w:val="000000"/>
                <w:lang w:val="en-US"/>
              </w:rPr>
              <w:t>Will the state be giving priority focus recommendations? As acknowledged, teachers will need more time, so how do we make decisions around coverage of content?</w:t>
            </w:r>
          </w:p>
        </w:tc>
        <w:tc>
          <w:tcPr>
            <w:tcW w:w="6560" w:type="dxa"/>
            <w:vMerge/>
            <w:tcBorders>
              <w:left w:val="single" w:sz="8" w:space="0" w:color="000000"/>
              <w:right w:val="single" w:sz="8" w:space="0" w:color="000000"/>
            </w:tcBorders>
            <w:tcMar>
              <w:top w:w="100" w:type="dxa"/>
              <w:left w:w="100" w:type="dxa"/>
              <w:bottom w:w="100" w:type="dxa"/>
              <w:right w:w="100" w:type="dxa"/>
            </w:tcMar>
          </w:tcPr>
          <w:p w14:paraId="4203A1B0" w14:textId="3CD0B63E" w:rsidR="008D0636" w:rsidRPr="006A11BB" w:rsidRDefault="008D0636" w:rsidP="007E5270">
            <w:pPr>
              <w:spacing w:line="240" w:lineRule="auto"/>
              <w:rPr>
                <w:rFonts w:asciiTheme="majorHAnsi" w:eastAsia="Times New Roman" w:hAnsiTheme="majorHAnsi" w:cstheme="majorHAnsi"/>
                <w:color w:val="000000"/>
                <w:lang w:val="en-US"/>
              </w:rPr>
            </w:pPr>
          </w:p>
        </w:tc>
      </w:tr>
      <w:tr w:rsidR="008D0636" w:rsidRPr="006A11BB" w14:paraId="37A3A966" w14:textId="77777777" w:rsidTr="007E5270">
        <w:tc>
          <w:tcPr>
            <w:tcW w:w="630" w:type="dxa"/>
            <w:tcBorders>
              <w:top w:val="single" w:sz="8" w:space="0" w:color="000000"/>
              <w:left w:val="single" w:sz="8" w:space="0" w:color="000000"/>
              <w:bottom w:val="single" w:sz="8" w:space="0" w:color="000000"/>
              <w:right w:val="single" w:sz="8" w:space="0" w:color="000000"/>
            </w:tcBorders>
          </w:tcPr>
          <w:p w14:paraId="629B5DC4" w14:textId="77777777" w:rsidR="008D0636" w:rsidRPr="006A11BB" w:rsidRDefault="008D0636"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91FA3" w14:textId="545495A1" w:rsidR="008D0636" w:rsidRPr="006A11BB" w:rsidRDefault="008D0636" w:rsidP="007E5270">
            <w:pPr>
              <w:spacing w:line="240" w:lineRule="auto"/>
              <w:rPr>
                <w:rFonts w:asciiTheme="majorHAnsi" w:eastAsia="Times New Roman" w:hAnsiTheme="majorHAnsi" w:cstheme="majorHAnsi"/>
                <w:color w:val="000000"/>
                <w:lang w:val="en-US"/>
              </w:rPr>
            </w:pPr>
            <w:r w:rsidRPr="00711BCA">
              <w:rPr>
                <w:rFonts w:asciiTheme="majorHAnsi" w:eastAsia="Times New Roman" w:hAnsiTheme="majorHAnsi" w:cstheme="majorHAnsi"/>
                <w:color w:val="000000"/>
                <w:lang w:val="en-US"/>
              </w:rPr>
              <w:t>Does the planning process being described relate to all standards or just the pre-requisite standards?</w:t>
            </w:r>
          </w:p>
        </w:tc>
        <w:tc>
          <w:tcPr>
            <w:tcW w:w="6560" w:type="dxa"/>
            <w:vMerge/>
            <w:tcBorders>
              <w:left w:val="single" w:sz="8" w:space="0" w:color="000000"/>
              <w:right w:val="single" w:sz="8" w:space="0" w:color="000000"/>
            </w:tcBorders>
            <w:tcMar>
              <w:top w:w="100" w:type="dxa"/>
              <w:left w:w="100" w:type="dxa"/>
              <w:bottom w:w="100" w:type="dxa"/>
              <w:right w:w="100" w:type="dxa"/>
            </w:tcMar>
          </w:tcPr>
          <w:p w14:paraId="44EF9E96" w14:textId="77777777" w:rsidR="008D0636" w:rsidRPr="006A11BB" w:rsidRDefault="008D0636" w:rsidP="007E5270">
            <w:pPr>
              <w:spacing w:line="240" w:lineRule="auto"/>
              <w:rPr>
                <w:rFonts w:asciiTheme="majorHAnsi" w:eastAsia="Times New Roman" w:hAnsiTheme="majorHAnsi" w:cstheme="majorHAnsi"/>
                <w:color w:val="000000"/>
                <w:lang w:val="en-US"/>
              </w:rPr>
            </w:pPr>
          </w:p>
        </w:tc>
      </w:tr>
      <w:tr w:rsidR="008D0636" w:rsidRPr="006A11BB" w14:paraId="62CE806F" w14:textId="77777777" w:rsidTr="007E5270">
        <w:tc>
          <w:tcPr>
            <w:tcW w:w="630" w:type="dxa"/>
            <w:tcBorders>
              <w:top w:val="single" w:sz="8" w:space="0" w:color="000000"/>
              <w:left w:val="single" w:sz="8" w:space="0" w:color="000000"/>
              <w:bottom w:val="single" w:sz="8" w:space="0" w:color="000000"/>
              <w:right w:val="single" w:sz="8" w:space="0" w:color="000000"/>
            </w:tcBorders>
          </w:tcPr>
          <w:p w14:paraId="00197FB4" w14:textId="77777777" w:rsidR="008D0636" w:rsidRPr="006A11BB" w:rsidRDefault="008D0636"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4D0EA" w14:textId="4BFD2F68" w:rsidR="008D0636" w:rsidRPr="006A11BB" w:rsidRDefault="008D0636" w:rsidP="007E5270">
            <w:pPr>
              <w:spacing w:line="240" w:lineRule="auto"/>
              <w:rPr>
                <w:rFonts w:asciiTheme="majorHAnsi" w:eastAsia="Times New Roman" w:hAnsiTheme="majorHAnsi" w:cstheme="majorHAnsi"/>
                <w:color w:val="000000"/>
                <w:lang w:val="en-US"/>
              </w:rPr>
            </w:pPr>
            <w:r w:rsidRPr="00711BCA">
              <w:rPr>
                <w:rFonts w:asciiTheme="majorHAnsi" w:eastAsia="Times New Roman" w:hAnsiTheme="majorHAnsi" w:cstheme="majorHAnsi"/>
                <w:color w:val="000000"/>
                <w:lang w:val="en-US"/>
              </w:rPr>
              <w:t>Are you considering narrowing the focus on the standards as NCSM/NCTM is suggesting?</w:t>
            </w:r>
          </w:p>
        </w:tc>
        <w:tc>
          <w:tcPr>
            <w:tcW w:w="6560" w:type="dxa"/>
            <w:vMerge/>
            <w:tcBorders>
              <w:left w:val="single" w:sz="8" w:space="0" w:color="000000"/>
              <w:right w:val="single" w:sz="8" w:space="0" w:color="000000"/>
            </w:tcBorders>
            <w:tcMar>
              <w:top w:w="100" w:type="dxa"/>
              <w:left w:w="100" w:type="dxa"/>
              <w:bottom w:w="100" w:type="dxa"/>
              <w:right w:w="100" w:type="dxa"/>
            </w:tcMar>
          </w:tcPr>
          <w:p w14:paraId="040F8784" w14:textId="77777777" w:rsidR="008D0636" w:rsidRPr="006A11BB" w:rsidRDefault="008D0636" w:rsidP="007E5270">
            <w:pPr>
              <w:spacing w:line="240" w:lineRule="auto"/>
              <w:rPr>
                <w:rFonts w:asciiTheme="majorHAnsi" w:eastAsia="Times New Roman" w:hAnsiTheme="majorHAnsi" w:cstheme="majorHAnsi"/>
                <w:color w:val="000000"/>
                <w:lang w:val="en-US"/>
              </w:rPr>
            </w:pPr>
          </w:p>
        </w:tc>
      </w:tr>
      <w:tr w:rsidR="008D0636" w:rsidRPr="006A11BB" w14:paraId="3CB7053A" w14:textId="77777777" w:rsidTr="007E5270">
        <w:tc>
          <w:tcPr>
            <w:tcW w:w="630" w:type="dxa"/>
            <w:tcBorders>
              <w:top w:val="single" w:sz="8" w:space="0" w:color="000000"/>
              <w:left w:val="single" w:sz="8" w:space="0" w:color="000000"/>
              <w:bottom w:val="single" w:sz="8" w:space="0" w:color="000000"/>
              <w:right w:val="single" w:sz="8" w:space="0" w:color="000000"/>
            </w:tcBorders>
          </w:tcPr>
          <w:p w14:paraId="5DE36601" w14:textId="77777777" w:rsidR="008D0636" w:rsidRPr="006A11BB" w:rsidRDefault="008D0636"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09487" w14:textId="77777777" w:rsidR="008D0636" w:rsidRPr="00711BCA" w:rsidRDefault="008D0636"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How do we manage the integration of prior grade with breath of grade level standards expected in framework?</w:t>
            </w:r>
          </w:p>
          <w:p w14:paraId="77CD0FFF" w14:textId="77777777" w:rsidR="008D0636" w:rsidRPr="006A11BB" w:rsidRDefault="008D0636" w:rsidP="007E5270">
            <w:pPr>
              <w:spacing w:line="240" w:lineRule="auto"/>
              <w:rPr>
                <w:rFonts w:asciiTheme="majorHAnsi" w:eastAsia="Times New Roman" w:hAnsiTheme="majorHAnsi" w:cstheme="majorHAnsi"/>
                <w:color w:val="000000"/>
                <w:lang w:val="en-US"/>
              </w:rPr>
            </w:pPr>
          </w:p>
        </w:tc>
        <w:tc>
          <w:tcPr>
            <w:tcW w:w="6560" w:type="dxa"/>
            <w:vMerge/>
            <w:tcBorders>
              <w:left w:val="single" w:sz="8" w:space="0" w:color="000000"/>
              <w:right w:val="single" w:sz="8" w:space="0" w:color="000000"/>
            </w:tcBorders>
            <w:tcMar>
              <w:top w:w="100" w:type="dxa"/>
              <w:left w:w="100" w:type="dxa"/>
              <w:bottom w:w="100" w:type="dxa"/>
              <w:right w:w="100" w:type="dxa"/>
            </w:tcMar>
          </w:tcPr>
          <w:p w14:paraId="10EBAF76" w14:textId="77777777" w:rsidR="008D0636" w:rsidRPr="006A11BB" w:rsidRDefault="008D0636" w:rsidP="007E5270">
            <w:pPr>
              <w:spacing w:line="240" w:lineRule="auto"/>
              <w:rPr>
                <w:rFonts w:asciiTheme="majorHAnsi" w:eastAsia="Times New Roman" w:hAnsiTheme="majorHAnsi" w:cstheme="majorHAnsi"/>
                <w:color w:val="000000"/>
                <w:lang w:val="en-US"/>
              </w:rPr>
            </w:pPr>
          </w:p>
        </w:tc>
      </w:tr>
      <w:tr w:rsidR="008D0636" w:rsidRPr="006A11BB" w14:paraId="3796FE93" w14:textId="77777777" w:rsidTr="007E5270">
        <w:tc>
          <w:tcPr>
            <w:tcW w:w="630" w:type="dxa"/>
            <w:tcBorders>
              <w:top w:val="single" w:sz="8" w:space="0" w:color="000000"/>
              <w:left w:val="single" w:sz="8" w:space="0" w:color="000000"/>
              <w:bottom w:val="single" w:sz="8" w:space="0" w:color="000000"/>
              <w:right w:val="single" w:sz="8" w:space="0" w:color="000000"/>
            </w:tcBorders>
          </w:tcPr>
          <w:p w14:paraId="647A29BE" w14:textId="77777777" w:rsidR="008D0636" w:rsidRPr="006A11BB" w:rsidRDefault="008D0636"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04414" w14:textId="20C5F585" w:rsidR="008D0636" w:rsidRPr="006A11BB" w:rsidRDefault="008D0636" w:rsidP="007E5270">
            <w:pPr>
              <w:spacing w:line="240" w:lineRule="auto"/>
              <w:rPr>
                <w:rFonts w:asciiTheme="majorHAnsi" w:eastAsia="Times New Roman" w:hAnsiTheme="majorHAnsi" w:cstheme="majorHAnsi"/>
                <w:color w:val="000000"/>
                <w:lang w:val="en-US"/>
              </w:rPr>
            </w:pPr>
            <w:r>
              <w:rPr>
                <w:rFonts w:asciiTheme="majorHAnsi" w:eastAsia="Times New Roman" w:hAnsiTheme="majorHAnsi" w:cstheme="majorHAnsi"/>
                <w:color w:val="000000"/>
                <w:lang w:val="en-US"/>
              </w:rPr>
              <w:t>T</w:t>
            </w:r>
            <w:r w:rsidRPr="00711BCA">
              <w:rPr>
                <w:rFonts w:asciiTheme="majorHAnsi" w:eastAsia="Times New Roman" w:hAnsiTheme="majorHAnsi" w:cstheme="majorHAnsi"/>
                <w:color w:val="000000"/>
                <w:lang w:val="en-US"/>
              </w:rPr>
              <w:t>o clarify, then is the state expectation that all standards will be covered? Or that districts will individually make decisions around purpose and focus? Or that we are still in a holding pattern on this?</w:t>
            </w:r>
          </w:p>
        </w:tc>
        <w:tc>
          <w:tcPr>
            <w:tcW w:w="65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86075E0" w14:textId="77777777" w:rsidR="008D0636" w:rsidRPr="006A11BB" w:rsidRDefault="008D0636" w:rsidP="007E5270">
            <w:pPr>
              <w:spacing w:line="240" w:lineRule="auto"/>
              <w:rPr>
                <w:rFonts w:asciiTheme="majorHAnsi" w:eastAsia="Times New Roman" w:hAnsiTheme="majorHAnsi" w:cstheme="majorHAnsi"/>
                <w:color w:val="000000"/>
                <w:lang w:val="en-US"/>
              </w:rPr>
            </w:pPr>
          </w:p>
        </w:tc>
      </w:tr>
      <w:tr w:rsidR="007E5270" w:rsidRPr="006A11BB" w14:paraId="70EA1526" w14:textId="77777777" w:rsidTr="007E5270">
        <w:tc>
          <w:tcPr>
            <w:tcW w:w="630" w:type="dxa"/>
            <w:tcBorders>
              <w:top w:val="single" w:sz="8" w:space="0" w:color="000000"/>
              <w:left w:val="single" w:sz="8" w:space="0" w:color="000000"/>
              <w:bottom w:val="single" w:sz="8" w:space="0" w:color="000000"/>
              <w:right w:val="single" w:sz="8" w:space="0" w:color="000000"/>
            </w:tcBorders>
          </w:tcPr>
          <w:p w14:paraId="1B7D9E35" w14:textId="77777777" w:rsidR="007E5270" w:rsidRPr="006A11BB" w:rsidRDefault="007E5270"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B543E" w14:textId="49960654" w:rsidR="007E5270" w:rsidRPr="00711BCA" w:rsidRDefault="007E5270"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If it becomes true that classes are split in half to reduce class size, how can we keep the same grade-level standard expectations if we have half the time with each group?</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BB420" w14:textId="77777777" w:rsidR="007E5270" w:rsidRPr="00711BCA" w:rsidRDefault="007E5270"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At this time, it is too early to make that decision. As we get more information regarding district school operations, we will continue to make updates and recommendations.</w:t>
            </w:r>
          </w:p>
        </w:tc>
      </w:tr>
      <w:tr w:rsidR="007E5270" w:rsidRPr="006A11BB" w14:paraId="45C0024C" w14:textId="77777777" w:rsidTr="007E5270">
        <w:tc>
          <w:tcPr>
            <w:tcW w:w="630" w:type="dxa"/>
            <w:tcBorders>
              <w:top w:val="single" w:sz="8" w:space="0" w:color="000000"/>
              <w:left w:val="single" w:sz="8" w:space="0" w:color="000000"/>
              <w:bottom w:val="single" w:sz="8" w:space="0" w:color="000000"/>
              <w:right w:val="single" w:sz="8" w:space="0" w:color="000000"/>
            </w:tcBorders>
          </w:tcPr>
          <w:p w14:paraId="39B73D8B" w14:textId="77777777" w:rsidR="007E5270" w:rsidRPr="006A11BB" w:rsidRDefault="007E5270"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A57BA" w14:textId="1683FB70" w:rsidR="007E5270" w:rsidRPr="00711BCA" w:rsidRDefault="007E5270"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 xml:space="preserve">Do we know when dese is putting out guidelines for next year? </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45D66" w14:textId="00F5C410" w:rsidR="007E5270" w:rsidRPr="00711BCA" w:rsidRDefault="007E5270" w:rsidP="007E5270">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lang w:val="en-US"/>
              </w:rPr>
              <w:t>New information is regularly released through a variety of methods including the Commissioner’s Update, On the Desktop, and the DESE STEM Newsletter.</w:t>
            </w:r>
          </w:p>
        </w:tc>
      </w:tr>
      <w:tr w:rsidR="007E5270" w:rsidRPr="006A11BB" w14:paraId="27186BB4" w14:textId="77777777" w:rsidTr="007E5270">
        <w:tc>
          <w:tcPr>
            <w:tcW w:w="630" w:type="dxa"/>
            <w:tcBorders>
              <w:top w:val="single" w:sz="8" w:space="0" w:color="000000"/>
              <w:left w:val="single" w:sz="8" w:space="0" w:color="000000"/>
              <w:bottom w:val="single" w:sz="8" w:space="0" w:color="000000"/>
              <w:right w:val="single" w:sz="8" w:space="0" w:color="000000"/>
            </w:tcBorders>
          </w:tcPr>
          <w:p w14:paraId="10378542" w14:textId="77777777" w:rsidR="007E5270" w:rsidRPr="006A11BB" w:rsidRDefault="007E5270"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4FB31" w14:textId="10B739E3" w:rsidR="007E5270" w:rsidRPr="00711BCA" w:rsidRDefault="007E5270"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Would DESE consider putting together a prescribed scope and sequence so in case we end up home again everyone in the state would at least be covering the same standards?</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581FC" w14:textId="603485BD" w:rsidR="007E5270" w:rsidRPr="00711BCA" w:rsidRDefault="007E5270" w:rsidP="007E5270">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 xml:space="preserve">This is a great </w:t>
            </w:r>
            <w:proofErr w:type="gramStart"/>
            <w:r w:rsidRPr="00711BCA">
              <w:rPr>
                <w:rFonts w:asciiTheme="majorHAnsi" w:eastAsia="Times New Roman" w:hAnsiTheme="majorHAnsi" w:cstheme="majorHAnsi"/>
                <w:color w:val="000000"/>
                <w:lang w:val="en-US"/>
              </w:rPr>
              <w:t>suggestion,</w:t>
            </w:r>
            <w:proofErr w:type="gramEnd"/>
            <w:r w:rsidRPr="00711BCA">
              <w:rPr>
                <w:rFonts w:asciiTheme="majorHAnsi" w:eastAsia="Times New Roman" w:hAnsiTheme="majorHAnsi" w:cstheme="majorHAnsi"/>
                <w:color w:val="000000"/>
                <w:lang w:val="en-US"/>
              </w:rPr>
              <w:t xml:space="preserve"> however a core component of local school governance is that every district makes their own curriculum and scope and sequence decisions. The strongest course of action is to adapt your own </w:t>
            </w:r>
            <w:proofErr w:type="gramStart"/>
            <w:r w:rsidRPr="00711BCA">
              <w:rPr>
                <w:rFonts w:asciiTheme="majorHAnsi" w:eastAsia="Times New Roman" w:hAnsiTheme="majorHAnsi" w:cstheme="majorHAnsi"/>
                <w:color w:val="000000"/>
                <w:lang w:val="en-US"/>
              </w:rPr>
              <w:t>high quality</w:t>
            </w:r>
            <w:proofErr w:type="gramEnd"/>
            <w:r w:rsidRPr="00711BCA">
              <w:rPr>
                <w:rFonts w:asciiTheme="majorHAnsi" w:eastAsia="Times New Roman" w:hAnsiTheme="majorHAnsi" w:cstheme="majorHAnsi"/>
                <w:color w:val="000000"/>
                <w:lang w:val="en-US"/>
              </w:rPr>
              <w:t xml:space="preserve"> curricular program. If you do not currently use a </w:t>
            </w:r>
            <w:proofErr w:type="gramStart"/>
            <w:r w:rsidRPr="00711BCA">
              <w:rPr>
                <w:rFonts w:asciiTheme="majorHAnsi" w:eastAsia="Times New Roman" w:hAnsiTheme="majorHAnsi" w:cstheme="majorHAnsi"/>
                <w:color w:val="000000"/>
                <w:lang w:val="en-US"/>
              </w:rPr>
              <w:t>high quality</w:t>
            </w:r>
            <w:proofErr w:type="gramEnd"/>
            <w:r w:rsidRPr="00711BCA">
              <w:rPr>
                <w:rFonts w:asciiTheme="majorHAnsi" w:eastAsia="Times New Roman" w:hAnsiTheme="majorHAnsi" w:cstheme="majorHAnsi"/>
                <w:color w:val="000000"/>
                <w:lang w:val="en-US"/>
              </w:rPr>
              <w:t xml:space="preserve"> curriculum, consider joining many other district</w:t>
            </w:r>
            <w:r w:rsidRPr="006A11BB">
              <w:rPr>
                <w:rFonts w:asciiTheme="majorHAnsi" w:eastAsia="Times New Roman" w:hAnsiTheme="majorHAnsi" w:cstheme="majorHAnsi"/>
                <w:color w:val="000000"/>
                <w:lang w:val="en-US"/>
              </w:rPr>
              <w:t>s</w:t>
            </w:r>
            <w:r w:rsidRPr="00711BCA">
              <w:rPr>
                <w:rFonts w:asciiTheme="majorHAnsi" w:eastAsia="Times New Roman" w:hAnsiTheme="majorHAnsi" w:cstheme="majorHAnsi"/>
                <w:color w:val="000000"/>
                <w:lang w:val="en-US"/>
              </w:rPr>
              <w:t xml:space="preserve"> this year in a CIS facilitated Selection and Adoption Network.</w:t>
            </w:r>
          </w:p>
        </w:tc>
      </w:tr>
      <w:tr w:rsidR="007E5270" w:rsidRPr="006A11BB" w14:paraId="36708FDE" w14:textId="77777777" w:rsidTr="007E5270">
        <w:tc>
          <w:tcPr>
            <w:tcW w:w="630" w:type="dxa"/>
            <w:tcBorders>
              <w:top w:val="single" w:sz="8" w:space="0" w:color="000000"/>
              <w:left w:val="single" w:sz="8" w:space="0" w:color="000000"/>
              <w:bottom w:val="single" w:sz="8" w:space="0" w:color="000000"/>
              <w:right w:val="single" w:sz="8" w:space="0" w:color="000000"/>
            </w:tcBorders>
          </w:tcPr>
          <w:p w14:paraId="3EDEEED3" w14:textId="77777777" w:rsidR="007E5270" w:rsidRPr="006A11BB" w:rsidRDefault="007E5270" w:rsidP="007E5270">
            <w:pPr>
              <w:pStyle w:val="ListParagraph"/>
              <w:numPr>
                <w:ilvl w:val="0"/>
                <w:numId w:val="3"/>
              </w:numPr>
              <w:spacing w:line="240" w:lineRule="auto"/>
              <w:jc w:val="center"/>
              <w:rPr>
                <w:rFonts w:asciiTheme="majorHAnsi" w:eastAsia="Times New Roman" w:hAnsiTheme="majorHAnsi" w:cstheme="majorHAnsi"/>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F3B9C" w14:textId="5CD3E955" w:rsidR="007E5270" w:rsidRPr="00711BCA" w:rsidRDefault="007E5270" w:rsidP="007E5270">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color w:val="000000"/>
                <w:lang w:val="en-US"/>
              </w:rPr>
              <w:t>As</w:t>
            </w:r>
            <w:r w:rsidRPr="00711BCA">
              <w:rPr>
                <w:rFonts w:asciiTheme="majorHAnsi" w:eastAsia="Times New Roman" w:hAnsiTheme="majorHAnsi" w:cstheme="majorHAnsi"/>
                <w:color w:val="000000"/>
                <w:lang w:val="en-US"/>
              </w:rPr>
              <w:t xml:space="preserve"> of today</w:t>
            </w:r>
            <w:r w:rsidRPr="006A11BB">
              <w:rPr>
                <w:rFonts w:asciiTheme="majorHAnsi" w:eastAsia="Times New Roman" w:hAnsiTheme="majorHAnsi" w:cstheme="majorHAnsi"/>
                <w:color w:val="000000"/>
                <w:lang w:val="en-US"/>
              </w:rPr>
              <w:t>, is</w:t>
            </w:r>
            <w:r w:rsidRPr="00711BCA">
              <w:rPr>
                <w:rFonts w:asciiTheme="majorHAnsi" w:eastAsia="Times New Roman" w:hAnsiTheme="majorHAnsi" w:cstheme="majorHAnsi"/>
                <w:color w:val="000000"/>
                <w:lang w:val="en-US"/>
              </w:rPr>
              <w:t xml:space="preserve"> MCAS happening?</w:t>
            </w:r>
          </w:p>
          <w:p w14:paraId="6EE892FB" w14:textId="3CFFDD70" w:rsidR="007E5270" w:rsidRPr="00711BCA" w:rsidRDefault="007E5270" w:rsidP="007E5270">
            <w:pPr>
              <w:spacing w:line="240" w:lineRule="auto"/>
              <w:rPr>
                <w:rFonts w:asciiTheme="majorHAnsi" w:eastAsia="Times New Roman" w:hAnsiTheme="majorHAnsi" w:cstheme="majorHAnsi"/>
                <w:lang w:val="en-US"/>
              </w:rPr>
            </w:pP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BA908" w14:textId="12CFD853" w:rsidR="007E5270" w:rsidRPr="00711BCA" w:rsidRDefault="007E5270" w:rsidP="007E5270">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lang w:val="en-US"/>
              </w:rPr>
              <w:t>Yes, the MCAS is currently planned for the 20200-21 school year.</w:t>
            </w:r>
          </w:p>
        </w:tc>
      </w:tr>
      <w:tr w:rsidR="007E5270" w:rsidRPr="006A11BB" w14:paraId="5D056E96" w14:textId="77777777" w:rsidTr="007E5270">
        <w:tc>
          <w:tcPr>
            <w:tcW w:w="630" w:type="dxa"/>
            <w:tcBorders>
              <w:top w:val="single" w:sz="8" w:space="0" w:color="000000"/>
              <w:left w:val="single" w:sz="8" w:space="0" w:color="000000"/>
              <w:bottom w:val="single" w:sz="8" w:space="0" w:color="000000"/>
              <w:right w:val="single" w:sz="8" w:space="0" w:color="000000"/>
            </w:tcBorders>
          </w:tcPr>
          <w:p w14:paraId="17915810" w14:textId="77777777" w:rsidR="007E5270" w:rsidRPr="006A11BB" w:rsidRDefault="007E5270" w:rsidP="007E5270">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607BD" w14:textId="5FAE9966" w:rsidR="007E5270" w:rsidRPr="00711BCA" w:rsidRDefault="007E5270" w:rsidP="007E5270">
            <w:pPr>
              <w:spacing w:after="240"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Are there recommended assessment structures and resources?</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2F2F0" w14:textId="63FAC1C0" w:rsidR="007E5270" w:rsidRDefault="00D33895" w:rsidP="007E5270">
            <w:pPr>
              <w:spacing w:line="240" w:lineRule="auto"/>
              <w:rPr>
                <w:rFonts w:asciiTheme="majorHAnsi" w:eastAsia="Times New Roman" w:hAnsiTheme="majorHAnsi" w:cstheme="majorHAnsi"/>
                <w:lang w:val="en-US"/>
              </w:rPr>
            </w:pPr>
            <w:r>
              <w:rPr>
                <w:rFonts w:asciiTheme="majorHAnsi" w:eastAsia="Times New Roman" w:hAnsiTheme="majorHAnsi" w:cstheme="majorHAnsi"/>
                <w:lang w:val="en-US"/>
              </w:rPr>
              <w:t>We are not recommending specific math assessments to use next year at this time. District assessment structures for the fall should build from existing structures and purposefully connect to instructional planning. For general guidance see the MTSS Framework</w:t>
            </w:r>
          </w:p>
          <w:p w14:paraId="3B23872C" w14:textId="2992324A" w:rsidR="00B53917" w:rsidRPr="00711BCA" w:rsidRDefault="008667C6" w:rsidP="007E5270">
            <w:pPr>
              <w:spacing w:line="240" w:lineRule="auto"/>
              <w:rPr>
                <w:rFonts w:asciiTheme="majorHAnsi" w:eastAsia="Times New Roman" w:hAnsiTheme="majorHAnsi" w:cstheme="majorHAnsi"/>
                <w:lang w:val="en-US"/>
              </w:rPr>
            </w:pPr>
            <w:hyperlink r:id="rId9" w:history="1">
              <w:r w:rsidR="00B53917">
                <w:rPr>
                  <w:rStyle w:val="Hyperlink"/>
                </w:rPr>
                <w:t>http://www.doe.mass.edu/sfss/mtss/</w:t>
              </w:r>
            </w:hyperlink>
          </w:p>
        </w:tc>
      </w:tr>
      <w:tr w:rsidR="004F7EAE" w:rsidRPr="006A11BB" w14:paraId="4412FD32" w14:textId="77777777" w:rsidTr="004F7EAE">
        <w:tc>
          <w:tcPr>
            <w:tcW w:w="630" w:type="dxa"/>
            <w:tcBorders>
              <w:top w:val="single" w:sz="8" w:space="0" w:color="000000"/>
              <w:left w:val="single" w:sz="8" w:space="0" w:color="000000"/>
              <w:bottom w:val="single" w:sz="8" w:space="0" w:color="000000"/>
              <w:right w:val="single" w:sz="8" w:space="0" w:color="000000"/>
            </w:tcBorders>
          </w:tcPr>
          <w:p w14:paraId="251AED27" w14:textId="77777777" w:rsidR="004F7EAE" w:rsidRPr="006A11BB" w:rsidRDefault="004F7EAE" w:rsidP="004F7EAE">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054E6" w14:textId="60369140" w:rsidR="004F7EAE" w:rsidRPr="00711BCA" w:rsidRDefault="004F7EAE" w:rsidP="004F7EAE">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By more frequent assessments are you speaking formative, I envision more exit tickets than unit tests to assure adjustments are frequent and immediate response to student need...?</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5BE51" w14:textId="286F2176" w:rsidR="004F7EAE" w:rsidRPr="00711BCA" w:rsidRDefault="004F7EAE" w:rsidP="004F7EAE">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lang w:val="en-US"/>
              </w:rPr>
              <w:t>That is correct, we recommend including many more formative assessment tools (not just limited to exit tickets) embedded throughout the year to help inform your planning and instruction.</w:t>
            </w:r>
          </w:p>
        </w:tc>
      </w:tr>
      <w:tr w:rsidR="004F7EAE" w:rsidRPr="006A11BB" w14:paraId="5B000B81" w14:textId="77777777" w:rsidTr="004F7EAE">
        <w:tc>
          <w:tcPr>
            <w:tcW w:w="630" w:type="dxa"/>
            <w:tcBorders>
              <w:top w:val="single" w:sz="8" w:space="0" w:color="000000"/>
              <w:left w:val="single" w:sz="8" w:space="0" w:color="000000"/>
              <w:bottom w:val="single" w:sz="8" w:space="0" w:color="000000"/>
              <w:right w:val="single" w:sz="8" w:space="0" w:color="000000"/>
            </w:tcBorders>
          </w:tcPr>
          <w:p w14:paraId="07A9BF3B" w14:textId="77777777" w:rsidR="004F7EAE" w:rsidRPr="006A11BB" w:rsidRDefault="004F7EAE" w:rsidP="004F7EAE">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843DA" w14:textId="4A638435" w:rsidR="004F7EAE" w:rsidRPr="00711BCA" w:rsidRDefault="004F7EAE" w:rsidP="004F7EAE">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color w:val="000000"/>
                <w:lang w:val="en-US"/>
              </w:rPr>
              <w:t>H</w:t>
            </w:r>
            <w:r w:rsidRPr="00711BCA">
              <w:rPr>
                <w:rFonts w:asciiTheme="majorHAnsi" w:eastAsia="Times New Roman" w:hAnsiTheme="majorHAnsi" w:cstheme="majorHAnsi"/>
                <w:color w:val="000000"/>
                <w:lang w:val="en-US"/>
              </w:rPr>
              <w:t>ow are we ensuring equity and access?</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FD01F" w14:textId="66D3C503" w:rsidR="004F7EAE" w:rsidRPr="00711BCA" w:rsidRDefault="004F7EAE" w:rsidP="004F7EAE">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color w:val="000000"/>
                <w:lang w:val="en-US"/>
              </w:rPr>
              <w:t>The most impactful way to attend to equity and access is to ensure that all s</w:t>
            </w:r>
            <w:r w:rsidRPr="00711BCA">
              <w:rPr>
                <w:rFonts w:asciiTheme="majorHAnsi" w:eastAsia="Times New Roman" w:hAnsiTheme="majorHAnsi" w:cstheme="majorHAnsi"/>
                <w:color w:val="000000"/>
                <w:lang w:val="en-US"/>
              </w:rPr>
              <w:t>tudents have access to on-grade-level learning tasks.</w:t>
            </w:r>
          </w:p>
        </w:tc>
      </w:tr>
      <w:tr w:rsidR="004F7EAE" w:rsidRPr="006A11BB" w14:paraId="3518CD60" w14:textId="77777777" w:rsidTr="00E219C5">
        <w:tc>
          <w:tcPr>
            <w:tcW w:w="630" w:type="dxa"/>
            <w:tcBorders>
              <w:top w:val="single" w:sz="8" w:space="0" w:color="000000"/>
              <w:left w:val="single" w:sz="8" w:space="0" w:color="000000"/>
              <w:bottom w:val="single" w:sz="8" w:space="0" w:color="000000"/>
              <w:right w:val="single" w:sz="8" w:space="0" w:color="000000"/>
            </w:tcBorders>
          </w:tcPr>
          <w:p w14:paraId="79DD4B6E" w14:textId="77777777" w:rsidR="004F7EAE" w:rsidRPr="006A11BB" w:rsidRDefault="004F7EAE" w:rsidP="004F7EAE">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63054" w14:textId="6539E32C" w:rsidR="004F7EAE" w:rsidRPr="00711BCA" w:rsidRDefault="004F7EAE" w:rsidP="004F7EAE">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Is there a MA coherence map for standards (similar to Achieve</w:t>
            </w:r>
            <w:r w:rsidRPr="006A11BB">
              <w:rPr>
                <w:rFonts w:asciiTheme="majorHAnsi" w:eastAsia="Times New Roman" w:hAnsiTheme="majorHAnsi" w:cstheme="majorHAnsi"/>
                <w:color w:val="000000"/>
                <w:lang w:val="en-US"/>
              </w:rPr>
              <w:t xml:space="preserve"> the Core</w:t>
            </w:r>
            <w:r w:rsidRPr="00711BCA">
              <w:rPr>
                <w:rFonts w:asciiTheme="majorHAnsi" w:eastAsia="Times New Roman" w:hAnsiTheme="majorHAnsi" w:cstheme="majorHAnsi"/>
                <w:color w:val="000000"/>
                <w:lang w:val="en-US"/>
              </w:rPr>
              <w:t>)</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38BF89" w14:textId="78CCFC14" w:rsidR="004F7EAE" w:rsidRPr="00711BCA" w:rsidRDefault="004F7EAE" w:rsidP="004F7EAE">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color w:val="000000"/>
                <w:lang w:val="en-US"/>
              </w:rPr>
              <w:t xml:space="preserve">The </w:t>
            </w:r>
            <w:hyperlink r:id="rId10" w:history="1">
              <w:r w:rsidRPr="00711BCA">
                <w:rPr>
                  <w:rStyle w:val="Hyperlink"/>
                  <w:rFonts w:asciiTheme="majorHAnsi" w:eastAsia="Times New Roman" w:hAnsiTheme="majorHAnsi" w:cstheme="majorHAnsi"/>
                  <w:lang w:val="en-US"/>
                </w:rPr>
                <w:t>Standards Navigator</w:t>
              </w:r>
            </w:hyperlink>
            <w:r w:rsidRPr="006A11BB">
              <w:rPr>
                <w:rFonts w:asciiTheme="majorHAnsi" w:eastAsia="Times New Roman" w:hAnsiTheme="majorHAnsi" w:cstheme="majorHAnsi"/>
                <w:color w:val="000000"/>
                <w:lang w:val="en-US"/>
              </w:rPr>
              <w:t xml:space="preserve"> is a MA DESE created tool that function</w:t>
            </w:r>
            <w:r>
              <w:rPr>
                <w:rFonts w:asciiTheme="majorHAnsi" w:eastAsia="Times New Roman" w:hAnsiTheme="majorHAnsi" w:cstheme="majorHAnsi"/>
                <w:color w:val="000000"/>
                <w:lang w:val="en-US"/>
              </w:rPr>
              <w:t>s</w:t>
            </w:r>
            <w:r w:rsidRPr="006A11BB">
              <w:rPr>
                <w:rFonts w:asciiTheme="majorHAnsi" w:eastAsia="Times New Roman" w:hAnsiTheme="majorHAnsi" w:cstheme="majorHAnsi"/>
                <w:color w:val="000000"/>
                <w:lang w:val="en-US"/>
              </w:rPr>
              <w:t xml:space="preserve"> in much the same way as the Coherence </w:t>
            </w:r>
            <w:r>
              <w:rPr>
                <w:rFonts w:asciiTheme="majorHAnsi" w:eastAsia="Times New Roman" w:hAnsiTheme="majorHAnsi" w:cstheme="majorHAnsi"/>
                <w:color w:val="000000"/>
                <w:lang w:val="en-US"/>
              </w:rPr>
              <w:t>M</w:t>
            </w:r>
            <w:r w:rsidRPr="006A11BB">
              <w:rPr>
                <w:rFonts w:asciiTheme="majorHAnsi" w:eastAsia="Times New Roman" w:hAnsiTheme="majorHAnsi" w:cstheme="majorHAnsi"/>
                <w:color w:val="000000"/>
                <w:lang w:val="en-US"/>
              </w:rPr>
              <w:t xml:space="preserve">ap. The Standards Navigator also includes </w:t>
            </w:r>
            <w:r>
              <w:rPr>
                <w:rFonts w:asciiTheme="majorHAnsi" w:eastAsia="Times New Roman" w:hAnsiTheme="majorHAnsi" w:cstheme="majorHAnsi"/>
                <w:color w:val="000000"/>
                <w:lang w:val="en-US"/>
              </w:rPr>
              <w:t xml:space="preserve">additional </w:t>
            </w:r>
            <w:r w:rsidRPr="006A11BB">
              <w:rPr>
                <w:rFonts w:asciiTheme="majorHAnsi" w:eastAsia="Times New Roman" w:hAnsiTheme="majorHAnsi" w:cstheme="majorHAnsi"/>
                <w:color w:val="000000"/>
                <w:lang w:val="en-US"/>
              </w:rPr>
              <w:t xml:space="preserve">resources like </w:t>
            </w:r>
            <w:r>
              <w:rPr>
                <w:rFonts w:asciiTheme="majorHAnsi" w:eastAsia="Times New Roman" w:hAnsiTheme="majorHAnsi" w:cstheme="majorHAnsi"/>
                <w:color w:val="000000"/>
                <w:lang w:val="en-US"/>
              </w:rPr>
              <w:t xml:space="preserve">key </w:t>
            </w:r>
            <w:r w:rsidRPr="006A11BB">
              <w:rPr>
                <w:rFonts w:asciiTheme="majorHAnsi" w:eastAsia="Times New Roman" w:hAnsiTheme="majorHAnsi" w:cstheme="majorHAnsi"/>
                <w:color w:val="000000"/>
                <w:lang w:val="en-US"/>
              </w:rPr>
              <w:t xml:space="preserve">definitions from the Frameworks and links to aligned and released MCAS items. </w:t>
            </w:r>
            <w:r w:rsidRPr="006A11BB">
              <w:rPr>
                <w:rFonts w:asciiTheme="majorHAnsi" w:eastAsia="Times New Roman" w:hAnsiTheme="majorHAnsi" w:cstheme="majorHAnsi"/>
                <w:color w:val="000000"/>
                <w:lang w:val="en-US"/>
              </w:rPr>
              <w:lastRenderedPageBreak/>
              <w:t>Additionally, all other content standards are also included</w:t>
            </w:r>
            <w:r>
              <w:rPr>
                <w:rFonts w:asciiTheme="majorHAnsi" w:eastAsia="Times New Roman" w:hAnsiTheme="majorHAnsi" w:cstheme="majorHAnsi"/>
                <w:color w:val="000000"/>
                <w:lang w:val="en-US"/>
              </w:rPr>
              <w:t xml:space="preserve"> and linked</w:t>
            </w:r>
            <w:r w:rsidRPr="006A11BB">
              <w:rPr>
                <w:rFonts w:asciiTheme="majorHAnsi" w:eastAsia="Times New Roman" w:hAnsiTheme="majorHAnsi" w:cstheme="majorHAnsi"/>
                <w:color w:val="000000"/>
                <w:lang w:val="en-US"/>
              </w:rPr>
              <w:t>, where appropriate.</w:t>
            </w:r>
          </w:p>
        </w:tc>
      </w:tr>
      <w:tr w:rsidR="004F7EAE" w:rsidRPr="006A11BB" w14:paraId="17B79A60" w14:textId="77777777" w:rsidTr="004F7EAE">
        <w:tc>
          <w:tcPr>
            <w:tcW w:w="630" w:type="dxa"/>
            <w:tcBorders>
              <w:top w:val="single" w:sz="8" w:space="0" w:color="000000"/>
              <w:left w:val="single" w:sz="8" w:space="0" w:color="000000"/>
              <w:bottom w:val="single" w:sz="8" w:space="0" w:color="000000"/>
              <w:right w:val="single" w:sz="8" w:space="0" w:color="000000"/>
            </w:tcBorders>
          </w:tcPr>
          <w:p w14:paraId="559E56A0" w14:textId="77777777" w:rsidR="004F7EAE" w:rsidRPr="006A11BB" w:rsidRDefault="004F7EAE" w:rsidP="004F7EAE">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BB737" w14:textId="6AEF7716" w:rsidR="004F7EAE" w:rsidRPr="00711BCA" w:rsidRDefault="004F7EAE" w:rsidP="004F7EAE">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 xml:space="preserve">This might be a great opportunity for all the content departments at DESE to review the standards to determine what is truly important for students to know.  Each content areas </w:t>
            </w:r>
            <w:proofErr w:type="gramStart"/>
            <w:r w:rsidRPr="00711BCA">
              <w:rPr>
                <w:rFonts w:asciiTheme="majorHAnsi" w:eastAsia="Times New Roman" w:hAnsiTheme="majorHAnsi" w:cstheme="majorHAnsi"/>
                <w:color w:val="000000"/>
                <w:lang w:val="en-US"/>
              </w:rPr>
              <w:t>has</w:t>
            </w:r>
            <w:proofErr w:type="gramEnd"/>
            <w:r w:rsidRPr="00711BCA">
              <w:rPr>
                <w:rFonts w:asciiTheme="majorHAnsi" w:eastAsia="Times New Roman" w:hAnsiTheme="majorHAnsi" w:cstheme="majorHAnsi"/>
                <w:color w:val="000000"/>
                <w:lang w:val="en-US"/>
              </w:rPr>
              <w:t xml:space="preserve"> a very dense set of standards, which almost assumes it is the only content being taught... especially at the elementary level.  Might be good work for the DESE curriculum teams to come together and look at.  Schools/Districts are making those decisions at the local level due to fact that in total, when examining all content areas together, there is too much information to cover in one academic year.</w:t>
            </w:r>
          </w:p>
        </w:tc>
        <w:tc>
          <w:tcPr>
            <w:tcW w:w="656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2007C90" w14:textId="7FB86F83" w:rsidR="004F7EAE" w:rsidRPr="00711BCA" w:rsidRDefault="004F7EAE" w:rsidP="004F7EAE">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lang w:val="en-US"/>
              </w:rPr>
              <w:t xml:space="preserve">The Frameworks and content standards are revisited on a 10-year cycle, which includes a rigorous process and inclusion of various stakeholders, the last revision occurred in 2017. </w:t>
            </w:r>
          </w:p>
        </w:tc>
      </w:tr>
      <w:tr w:rsidR="004F7EAE" w:rsidRPr="006A11BB" w14:paraId="1ECB3772" w14:textId="77777777" w:rsidTr="00084C41">
        <w:trPr>
          <w:trHeight w:val="420"/>
        </w:trPr>
        <w:tc>
          <w:tcPr>
            <w:tcW w:w="630" w:type="dxa"/>
            <w:tcBorders>
              <w:top w:val="single" w:sz="8" w:space="0" w:color="000000"/>
              <w:left w:val="single" w:sz="8" w:space="0" w:color="000000"/>
              <w:bottom w:val="single" w:sz="8" w:space="0" w:color="000000"/>
              <w:right w:val="single" w:sz="8" w:space="0" w:color="000000"/>
            </w:tcBorders>
          </w:tcPr>
          <w:p w14:paraId="3BB0747E" w14:textId="77777777" w:rsidR="004F7EAE" w:rsidRPr="006A11BB" w:rsidRDefault="004F7EAE" w:rsidP="004F7EAE">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A044D" w14:textId="13ACA8D4" w:rsidR="004F7EAE" w:rsidRPr="00711BCA" w:rsidRDefault="004F7EAE" w:rsidP="004F7EAE">
            <w:pPr>
              <w:spacing w:line="240" w:lineRule="auto"/>
              <w:rPr>
                <w:rFonts w:asciiTheme="majorHAnsi" w:eastAsia="Times New Roman" w:hAnsiTheme="majorHAnsi" w:cstheme="majorHAnsi"/>
                <w:lang w:val="en-US"/>
              </w:rPr>
            </w:pPr>
            <w:r w:rsidRPr="00711BCA">
              <w:rPr>
                <w:rFonts w:asciiTheme="majorHAnsi" w:eastAsia="Times New Roman" w:hAnsiTheme="majorHAnsi" w:cstheme="majorHAnsi"/>
                <w:color w:val="000000"/>
                <w:lang w:val="en-US"/>
              </w:rPr>
              <w:t>Will DESE be supporting districts more with a hybrid model (students come and go) given how likely it is?</w:t>
            </w:r>
          </w:p>
        </w:tc>
        <w:tc>
          <w:tcPr>
            <w:tcW w:w="656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A73FD5B" w14:textId="61D5861C" w:rsidR="004F7EAE" w:rsidRPr="00711BCA" w:rsidRDefault="004F7EAE" w:rsidP="004F7EAE">
            <w:pPr>
              <w:spacing w:line="240" w:lineRule="auto"/>
              <w:rPr>
                <w:rFonts w:asciiTheme="majorHAnsi" w:eastAsia="Times New Roman" w:hAnsiTheme="majorHAnsi" w:cstheme="majorHAnsi"/>
                <w:lang w:val="en-US"/>
              </w:rPr>
            </w:pPr>
            <w:r w:rsidRPr="006A11BB">
              <w:rPr>
                <w:rFonts w:asciiTheme="majorHAnsi" w:eastAsia="Times New Roman" w:hAnsiTheme="majorHAnsi" w:cstheme="majorHAnsi"/>
                <w:lang w:val="en-US"/>
              </w:rPr>
              <w:t>As district and school reopening plans become more formalized, we will continue to support the field in any ways that we can.</w:t>
            </w:r>
          </w:p>
        </w:tc>
      </w:tr>
      <w:tr w:rsidR="004F7EAE" w:rsidRPr="006A11BB" w14:paraId="1603CC26" w14:textId="77777777" w:rsidTr="004F7EAE">
        <w:trPr>
          <w:trHeight w:val="420"/>
        </w:trPr>
        <w:tc>
          <w:tcPr>
            <w:tcW w:w="630" w:type="dxa"/>
            <w:tcBorders>
              <w:top w:val="single" w:sz="8" w:space="0" w:color="000000"/>
              <w:left w:val="single" w:sz="8" w:space="0" w:color="000000"/>
              <w:bottom w:val="single" w:sz="8" w:space="0" w:color="000000"/>
              <w:right w:val="single" w:sz="8" w:space="0" w:color="000000"/>
            </w:tcBorders>
          </w:tcPr>
          <w:p w14:paraId="6927A254" w14:textId="77777777" w:rsidR="004F7EAE" w:rsidRPr="006A11BB" w:rsidRDefault="004F7EAE" w:rsidP="004F7EAE">
            <w:pPr>
              <w:pStyle w:val="ListParagraph"/>
              <w:numPr>
                <w:ilvl w:val="0"/>
                <w:numId w:val="3"/>
              </w:numPr>
              <w:spacing w:line="240" w:lineRule="auto"/>
              <w:jc w:val="center"/>
              <w:rPr>
                <w:rFonts w:asciiTheme="majorHAnsi" w:eastAsia="Times New Roman" w:hAnsiTheme="majorHAnsi" w:cstheme="majorHAnsi"/>
                <w:color w:val="000000"/>
                <w:lang w:val="en-US"/>
              </w:rPr>
            </w:pPr>
          </w:p>
        </w:tc>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6C9BF" w14:textId="77777777" w:rsidR="004F7EAE" w:rsidRPr="006A11BB" w:rsidRDefault="004F7EAE" w:rsidP="004F7EAE">
            <w:pPr>
              <w:widowControl w:val="0"/>
              <w:spacing w:line="240" w:lineRule="auto"/>
              <w:rPr>
                <w:rFonts w:asciiTheme="majorHAnsi" w:eastAsia="Calibri" w:hAnsiTheme="majorHAnsi" w:cstheme="majorHAnsi"/>
              </w:rPr>
            </w:pPr>
            <w:r w:rsidRPr="006A11BB">
              <w:rPr>
                <w:rFonts w:asciiTheme="majorHAnsi" w:eastAsia="Calibri" w:hAnsiTheme="majorHAnsi" w:cstheme="majorHAnsi"/>
              </w:rPr>
              <w:t>Is there a way to sign up for Math DESE emails</w:t>
            </w:r>
            <w:r>
              <w:rPr>
                <w:rFonts w:asciiTheme="majorHAnsi" w:eastAsia="Calibri" w:hAnsiTheme="majorHAnsi" w:cstheme="majorHAnsi"/>
              </w:rPr>
              <w:t xml:space="preserve"> and updates from the Commissioner</w:t>
            </w:r>
            <w:r w:rsidRPr="006A11BB">
              <w:rPr>
                <w:rFonts w:asciiTheme="majorHAnsi" w:eastAsia="Calibri" w:hAnsiTheme="majorHAnsi" w:cstheme="majorHAnsi"/>
              </w:rPr>
              <w:t>?</w:t>
            </w:r>
          </w:p>
          <w:p w14:paraId="68F67B9A" w14:textId="77777777" w:rsidR="004F7EAE" w:rsidRPr="006A11BB" w:rsidRDefault="004F7EAE" w:rsidP="004F7EAE">
            <w:pPr>
              <w:widowControl w:val="0"/>
              <w:spacing w:line="240" w:lineRule="auto"/>
              <w:rPr>
                <w:rFonts w:asciiTheme="majorHAnsi" w:eastAsia="Calibri" w:hAnsiTheme="majorHAnsi" w:cstheme="majorHAnsi"/>
              </w:rPr>
            </w:pPr>
          </w:p>
          <w:p w14:paraId="4C9B5090" w14:textId="6C79235F" w:rsidR="004F7EAE" w:rsidRPr="00711BCA" w:rsidRDefault="004F7EAE" w:rsidP="004F7EAE">
            <w:pPr>
              <w:spacing w:line="240" w:lineRule="auto"/>
              <w:rPr>
                <w:rFonts w:asciiTheme="majorHAnsi" w:eastAsia="Times New Roman" w:hAnsiTheme="majorHAnsi" w:cstheme="majorHAnsi"/>
                <w:lang w:val="en-US"/>
              </w:rPr>
            </w:pPr>
          </w:p>
        </w:tc>
        <w:tc>
          <w:tcPr>
            <w:tcW w:w="6560" w:type="dxa"/>
            <w:tcBorders>
              <w:top w:val="single" w:sz="4" w:space="0" w:color="auto"/>
              <w:left w:val="single" w:sz="8" w:space="0" w:color="000000"/>
              <w:bottom w:val="single" w:sz="4" w:space="0" w:color="auto"/>
              <w:right w:val="single" w:sz="8" w:space="0" w:color="000000"/>
            </w:tcBorders>
          </w:tcPr>
          <w:p w14:paraId="52F0AD45" w14:textId="77777777" w:rsidR="004F7EAE" w:rsidRPr="006A11BB" w:rsidRDefault="004F7EAE" w:rsidP="004F7EAE">
            <w:pPr>
              <w:widowControl w:val="0"/>
              <w:spacing w:line="240" w:lineRule="auto"/>
              <w:rPr>
                <w:rFonts w:asciiTheme="majorHAnsi" w:hAnsiTheme="majorHAnsi" w:cstheme="majorHAnsi"/>
              </w:rPr>
            </w:pPr>
            <w:r w:rsidRPr="006A11BB">
              <w:rPr>
                <w:rFonts w:asciiTheme="majorHAnsi" w:eastAsia="Calibri" w:hAnsiTheme="majorHAnsi" w:cstheme="majorHAnsi"/>
              </w:rPr>
              <w:t xml:space="preserve">To subscribe to </w:t>
            </w:r>
            <w:r>
              <w:rPr>
                <w:rFonts w:asciiTheme="majorHAnsi" w:eastAsia="Calibri" w:hAnsiTheme="majorHAnsi" w:cstheme="majorHAnsi"/>
              </w:rPr>
              <w:t>a variety of DESE updates</w:t>
            </w:r>
            <w:r w:rsidRPr="006A11BB">
              <w:rPr>
                <w:rFonts w:asciiTheme="majorHAnsi" w:eastAsia="Calibri" w:hAnsiTheme="majorHAnsi" w:cstheme="majorHAnsi"/>
              </w:rPr>
              <w:t>, visit:</w:t>
            </w:r>
          </w:p>
          <w:p w14:paraId="7D6E92D4" w14:textId="7634003D" w:rsidR="004F7EAE" w:rsidRPr="00711BCA" w:rsidRDefault="008667C6" w:rsidP="004F7EAE">
            <w:pPr>
              <w:spacing w:line="240" w:lineRule="auto"/>
              <w:rPr>
                <w:rFonts w:asciiTheme="majorHAnsi" w:eastAsia="Times New Roman" w:hAnsiTheme="majorHAnsi" w:cstheme="majorHAnsi"/>
                <w:lang w:val="en-US"/>
              </w:rPr>
            </w:pPr>
            <w:hyperlink r:id="rId11">
              <w:r w:rsidR="004F7EAE" w:rsidRPr="006A11BB">
                <w:rPr>
                  <w:rFonts w:asciiTheme="majorHAnsi" w:eastAsia="Calibri" w:hAnsiTheme="majorHAnsi" w:cstheme="majorHAnsi"/>
                  <w:color w:val="0563C1"/>
                  <w:u w:val="single"/>
                </w:rPr>
                <w:t>www.doe.mass.edu/resources/newsletter-signup.aspx</w:t>
              </w:r>
            </w:hyperlink>
          </w:p>
        </w:tc>
      </w:tr>
    </w:tbl>
    <w:p w14:paraId="26DC85E3" w14:textId="77777777" w:rsidR="00AC0B18" w:rsidRDefault="00AC0B18">
      <w:pPr>
        <w:rPr>
          <w:rFonts w:ascii="Calibri" w:eastAsia="Calibri" w:hAnsi="Calibri" w:cs="Calibri"/>
          <w:sz w:val="24"/>
          <w:szCs w:val="24"/>
        </w:rPr>
      </w:pPr>
    </w:p>
    <w:sectPr w:rsidR="00AC0B18">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5131"/>
    <w:multiLevelType w:val="multilevel"/>
    <w:tmpl w:val="2E0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F348C"/>
    <w:multiLevelType w:val="multilevel"/>
    <w:tmpl w:val="2D30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313E62"/>
    <w:multiLevelType w:val="hybridMultilevel"/>
    <w:tmpl w:val="F56E25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18"/>
    <w:rsid w:val="00060751"/>
    <w:rsid w:val="000E3A12"/>
    <w:rsid w:val="000E5B40"/>
    <w:rsid w:val="00257A43"/>
    <w:rsid w:val="004F7EAE"/>
    <w:rsid w:val="005E4A2F"/>
    <w:rsid w:val="006A11BB"/>
    <w:rsid w:val="00711BCA"/>
    <w:rsid w:val="00777969"/>
    <w:rsid w:val="007B269D"/>
    <w:rsid w:val="007E5270"/>
    <w:rsid w:val="008667C6"/>
    <w:rsid w:val="00885C73"/>
    <w:rsid w:val="008D0636"/>
    <w:rsid w:val="00916561"/>
    <w:rsid w:val="009171F5"/>
    <w:rsid w:val="00953929"/>
    <w:rsid w:val="00AC0B18"/>
    <w:rsid w:val="00B53917"/>
    <w:rsid w:val="00C117DE"/>
    <w:rsid w:val="00C42CBB"/>
    <w:rsid w:val="00D33895"/>
    <w:rsid w:val="00FC3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430B"/>
  <w15:docId w15:val="{D3C00272-6B9F-473D-8CC9-79A2BFFB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171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171F5"/>
    <w:rPr>
      <w:color w:val="0000FF"/>
      <w:u w:val="single"/>
    </w:rPr>
  </w:style>
  <w:style w:type="character" w:styleId="UnresolvedMention">
    <w:name w:val="Unresolved Mention"/>
    <w:basedOn w:val="DefaultParagraphFont"/>
    <w:uiPriority w:val="99"/>
    <w:semiHidden/>
    <w:unhideWhenUsed/>
    <w:rsid w:val="009171F5"/>
    <w:rPr>
      <w:color w:val="605E5C"/>
      <w:shd w:val="clear" w:color="auto" w:fill="E1DFDD"/>
    </w:rPr>
  </w:style>
  <w:style w:type="paragraph" w:styleId="ListParagraph">
    <w:name w:val="List Paragraph"/>
    <w:basedOn w:val="Normal"/>
    <w:uiPriority w:val="34"/>
    <w:qFormat/>
    <w:rsid w:val="0071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11675">
      <w:bodyDiv w:val="1"/>
      <w:marLeft w:val="0"/>
      <w:marRight w:val="0"/>
      <w:marTop w:val="0"/>
      <w:marBottom w:val="0"/>
      <w:divBdr>
        <w:top w:val="none" w:sz="0" w:space="0" w:color="auto"/>
        <w:left w:val="none" w:sz="0" w:space="0" w:color="auto"/>
        <w:bottom w:val="none" w:sz="0" w:space="0" w:color="auto"/>
        <w:right w:val="none" w:sz="0" w:space="0" w:color="auto"/>
      </w:divBdr>
    </w:div>
    <w:div w:id="813716045">
      <w:bodyDiv w:val="1"/>
      <w:marLeft w:val="0"/>
      <w:marRight w:val="0"/>
      <w:marTop w:val="0"/>
      <w:marBottom w:val="0"/>
      <w:divBdr>
        <w:top w:val="none" w:sz="0" w:space="0" w:color="auto"/>
        <w:left w:val="none" w:sz="0" w:space="0" w:color="auto"/>
        <w:bottom w:val="none" w:sz="0" w:space="0" w:color="auto"/>
        <w:right w:val="none" w:sz="0" w:space="0" w:color="auto"/>
      </w:divBdr>
    </w:div>
    <w:div w:id="1045832844">
      <w:bodyDiv w:val="1"/>
      <w:marLeft w:val="0"/>
      <w:marRight w:val="0"/>
      <w:marTop w:val="0"/>
      <w:marBottom w:val="0"/>
      <w:divBdr>
        <w:top w:val="none" w:sz="0" w:space="0" w:color="auto"/>
        <w:left w:val="none" w:sz="0" w:space="0" w:color="auto"/>
        <w:bottom w:val="none" w:sz="0" w:space="0" w:color="auto"/>
        <w:right w:val="none" w:sz="0" w:space="0" w:color="auto"/>
      </w:divBdr>
    </w:div>
    <w:div w:id="1431512876">
      <w:bodyDiv w:val="1"/>
      <w:marLeft w:val="0"/>
      <w:marRight w:val="0"/>
      <w:marTop w:val="0"/>
      <w:marBottom w:val="0"/>
      <w:divBdr>
        <w:top w:val="none" w:sz="0" w:space="0" w:color="auto"/>
        <w:left w:val="none" w:sz="0" w:space="0" w:color="auto"/>
        <w:bottom w:val="none" w:sz="0" w:space="0" w:color="auto"/>
        <w:right w:val="none" w:sz="0" w:space="0" w:color="auto"/>
      </w:divBdr>
    </w:div>
    <w:div w:id="1634630956">
      <w:bodyDiv w:val="1"/>
      <w:marLeft w:val="0"/>
      <w:marRight w:val="0"/>
      <w:marTop w:val="0"/>
      <w:marBottom w:val="0"/>
      <w:divBdr>
        <w:top w:val="none" w:sz="0" w:space="0" w:color="auto"/>
        <w:left w:val="none" w:sz="0" w:space="0" w:color="auto"/>
        <w:bottom w:val="none" w:sz="0" w:space="0" w:color="auto"/>
        <w:right w:val="none" w:sz="0" w:space="0" w:color="auto"/>
      </w:divBdr>
    </w:div>
    <w:div w:id="192958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resources/newsletter-signup.aspx" TargetMode="External"/><Relationship Id="rId5" Type="http://schemas.openxmlformats.org/officeDocument/2006/relationships/numbering" Target="numbering.xml"/><Relationship Id="rId10" Type="http://schemas.openxmlformats.org/officeDocument/2006/relationships/hyperlink" Target="http://www.doe.mass.edu/frameworks/search/default.aspx" TargetMode="External"/><Relationship Id="rId4" Type="http://schemas.openxmlformats.org/officeDocument/2006/relationships/customXml" Target="../customXml/item4.xml"/><Relationship Id="rId9" Type="http://schemas.openxmlformats.org/officeDocument/2006/relationships/hyperlink" Target="http://www.doe.mass.edu/sfss/mt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DESE-231-62057</_dlc_DocId>
    <_dlc_DocIdUrl xmlns="733efe1c-5bbe-4968-87dc-d400e65c879f">
      <Url>https://sharepoint.doemass.org/ese/webteam/cps/_layouts/DocIdRedir.aspx?ID=DESE-231-62057</Url>
      <Description>DESE-231-62057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FC4BE9-8D1B-41C2-AD67-40585C31D1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3F7B75D-78D3-42B7-B25A-BE4AF3915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74340-711D-40E7-B4CD-28FDD6F45FA3}">
  <ds:schemaRefs>
    <ds:schemaRef ds:uri="http://schemas.microsoft.com/sharepoint/v3/contenttype/forms"/>
  </ds:schemaRefs>
</ds:datastoreItem>
</file>

<file path=customXml/itemProps4.xml><?xml version="1.0" encoding="utf-8"?>
<ds:datastoreItem xmlns:ds="http://schemas.openxmlformats.org/officeDocument/2006/customXml" ds:itemID="{5E0C3137-6D29-43AE-B35A-8D7B33E739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Q&amp;A and Notes from the Math Planning and Adjusting Instruction Webinar Chat</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and Notes from the Math Planning and Adjusting Instruction Webinar Chat, June 18, 2020</dc:title>
  <dc:subject/>
  <dc:creator>DESE</dc:creator>
  <cp:keywords/>
  <dc:description/>
  <cp:lastModifiedBy>Zou, Dong (EOE)</cp:lastModifiedBy>
  <cp:revision>5</cp:revision>
  <dcterms:created xsi:type="dcterms:W3CDTF">2020-07-02T17:26:00Z</dcterms:created>
  <dcterms:modified xsi:type="dcterms:W3CDTF">2020-07-02T17:57:00Z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2020</vt:lpwstr>
  </property>
</Properties>
</file>