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74C7" w14:textId="77777777" w:rsidR="00AC0B18" w:rsidRDefault="00C117DE">
      <w:pPr>
        <w:spacing w:after="240"/>
        <w:jc w:val="center"/>
        <w:rPr>
          <w:rFonts w:ascii="Calibri" w:eastAsia="Calibri" w:hAnsi="Calibri" w:cs="Calibri"/>
          <w:b/>
          <w:sz w:val="28"/>
          <w:szCs w:val="28"/>
          <w:u w:val="single"/>
        </w:rPr>
      </w:pPr>
      <w:r>
        <w:rPr>
          <w:rFonts w:ascii="Calibri" w:eastAsia="Calibri" w:hAnsi="Calibri" w:cs="Calibri"/>
          <w:b/>
          <w:sz w:val="28"/>
          <w:szCs w:val="28"/>
          <w:u w:val="single"/>
        </w:rPr>
        <w:t>Questions and Answers &amp; Notes from Chat</w:t>
      </w:r>
    </w:p>
    <w:p w14:paraId="2DBECA70" w14:textId="77777777" w:rsidR="00AC0B18" w:rsidRDefault="00C117DE">
      <w:pPr>
        <w:spacing w:after="240"/>
        <w:jc w:val="center"/>
        <w:rPr>
          <w:rFonts w:ascii="Calibri" w:eastAsia="Calibri" w:hAnsi="Calibri" w:cs="Calibri"/>
          <w:b/>
          <w:sz w:val="28"/>
          <w:szCs w:val="28"/>
        </w:rPr>
      </w:pPr>
      <w:r>
        <w:rPr>
          <w:rFonts w:ascii="Calibri" w:eastAsia="Calibri" w:hAnsi="Calibri" w:cs="Calibri"/>
          <w:b/>
          <w:sz w:val="28"/>
          <w:szCs w:val="28"/>
        </w:rPr>
        <w:t>Webinar: Remote Learning in Secondary Math</w:t>
      </w:r>
    </w:p>
    <w:p w14:paraId="0B6903DB" w14:textId="77777777" w:rsidR="00AC0B18" w:rsidRDefault="00C117DE">
      <w:pPr>
        <w:spacing w:after="240"/>
        <w:jc w:val="center"/>
        <w:rPr>
          <w:rFonts w:ascii="Calibri" w:eastAsia="Calibri" w:hAnsi="Calibri" w:cs="Calibri"/>
          <w:b/>
          <w:sz w:val="28"/>
          <w:szCs w:val="28"/>
        </w:rPr>
      </w:pPr>
      <w:r>
        <w:rPr>
          <w:rFonts w:ascii="Calibri" w:eastAsia="Calibri" w:hAnsi="Calibri" w:cs="Calibri"/>
          <w:b/>
          <w:sz w:val="28"/>
          <w:szCs w:val="28"/>
        </w:rPr>
        <w:t xml:space="preserve">Date: </w:t>
      </w:r>
      <w:bookmarkStart w:id="0" w:name="_GoBack"/>
      <w:r>
        <w:rPr>
          <w:rFonts w:ascii="Calibri" w:eastAsia="Calibri" w:hAnsi="Calibri" w:cs="Calibri"/>
          <w:b/>
          <w:sz w:val="28"/>
          <w:szCs w:val="28"/>
        </w:rPr>
        <w:t>May 13, 2020</w:t>
      </w:r>
      <w:bookmarkEnd w:id="0"/>
    </w:p>
    <w:tbl>
      <w:tblPr>
        <w:tblStyle w:val="a"/>
        <w:tblW w:w="1341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00"/>
        <w:gridCol w:w="6795"/>
        <w:gridCol w:w="6015"/>
      </w:tblGrid>
      <w:tr w:rsidR="00AC0B18" w14:paraId="729BBFAA" w14:textId="77777777" w:rsidTr="00C117DE">
        <w:trPr>
          <w:trHeight w:val="315"/>
        </w:trPr>
        <w:tc>
          <w:tcPr>
            <w:tcW w:w="600" w:type="dxa"/>
            <w:shd w:val="clear" w:color="auto" w:fill="CFE2F3"/>
            <w:tcMar>
              <w:top w:w="100" w:type="dxa"/>
              <w:left w:w="100" w:type="dxa"/>
              <w:bottom w:w="100" w:type="dxa"/>
              <w:right w:w="100" w:type="dxa"/>
            </w:tcMar>
          </w:tcPr>
          <w:p w14:paraId="56C5A1E1" w14:textId="77777777" w:rsidR="00AC0B18" w:rsidRDefault="00AC0B18">
            <w:pPr>
              <w:widowControl w:val="0"/>
              <w:spacing w:after="160" w:line="240" w:lineRule="auto"/>
              <w:jc w:val="center"/>
              <w:rPr>
                <w:rFonts w:ascii="Calibri" w:eastAsia="Calibri" w:hAnsi="Calibri" w:cs="Calibri"/>
                <w:b/>
                <w:sz w:val="28"/>
                <w:szCs w:val="28"/>
              </w:rPr>
            </w:pPr>
          </w:p>
        </w:tc>
        <w:tc>
          <w:tcPr>
            <w:tcW w:w="6795" w:type="dxa"/>
            <w:shd w:val="clear" w:color="auto" w:fill="CFE2F3"/>
            <w:tcMar>
              <w:top w:w="100" w:type="dxa"/>
              <w:left w:w="100" w:type="dxa"/>
              <w:bottom w:w="100" w:type="dxa"/>
              <w:right w:w="100" w:type="dxa"/>
            </w:tcMar>
          </w:tcPr>
          <w:p w14:paraId="76E00CDA" w14:textId="77777777" w:rsidR="00AC0B18" w:rsidRDefault="00C117DE">
            <w:pPr>
              <w:widowControl w:val="0"/>
              <w:spacing w:after="160" w:line="240" w:lineRule="auto"/>
              <w:jc w:val="center"/>
              <w:rPr>
                <w:rFonts w:ascii="Calibri" w:eastAsia="Calibri" w:hAnsi="Calibri" w:cs="Calibri"/>
                <w:b/>
                <w:sz w:val="28"/>
                <w:szCs w:val="28"/>
              </w:rPr>
            </w:pPr>
            <w:r>
              <w:rPr>
                <w:rFonts w:ascii="Calibri" w:eastAsia="Calibri" w:hAnsi="Calibri" w:cs="Calibri"/>
                <w:b/>
                <w:sz w:val="28"/>
                <w:szCs w:val="28"/>
              </w:rPr>
              <w:t>Question</w:t>
            </w:r>
          </w:p>
        </w:tc>
        <w:tc>
          <w:tcPr>
            <w:tcW w:w="6015" w:type="dxa"/>
            <w:shd w:val="clear" w:color="auto" w:fill="CFE2F3"/>
            <w:tcMar>
              <w:top w:w="100" w:type="dxa"/>
              <w:left w:w="100" w:type="dxa"/>
              <w:bottom w:w="100" w:type="dxa"/>
              <w:right w:w="100" w:type="dxa"/>
            </w:tcMar>
          </w:tcPr>
          <w:p w14:paraId="0C59F86A" w14:textId="77777777" w:rsidR="00AC0B18" w:rsidRDefault="00C117DE">
            <w:pPr>
              <w:widowControl w:val="0"/>
              <w:spacing w:after="160" w:line="240" w:lineRule="auto"/>
              <w:jc w:val="center"/>
              <w:rPr>
                <w:rFonts w:ascii="Calibri" w:eastAsia="Calibri" w:hAnsi="Calibri" w:cs="Calibri"/>
                <w:b/>
                <w:sz w:val="28"/>
                <w:szCs w:val="28"/>
              </w:rPr>
            </w:pPr>
            <w:r>
              <w:rPr>
                <w:rFonts w:ascii="Calibri" w:eastAsia="Calibri" w:hAnsi="Calibri" w:cs="Calibri"/>
                <w:b/>
                <w:sz w:val="28"/>
                <w:szCs w:val="28"/>
              </w:rPr>
              <w:t>Answer</w:t>
            </w:r>
          </w:p>
        </w:tc>
      </w:tr>
      <w:tr w:rsidR="00AC0B18" w14:paraId="12B578EB" w14:textId="77777777" w:rsidTr="00C117DE">
        <w:trPr>
          <w:trHeight w:val="930"/>
        </w:trPr>
        <w:tc>
          <w:tcPr>
            <w:tcW w:w="600" w:type="dxa"/>
            <w:shd w:val="clear" w:color="auto" w:fill="auto"/>
            <w:tcMar>
              <w:top w:w="100" w:type="dxa"/>
              <w:left w:w="100" w:type="dxa"/>
              <w:bottom w:w="100" w:type="dxa"/>
              <w:right w:w="100" w:type="dxa"/>
            </w:tcMar>
          </w:tcPr>
          <w:p w14:paraId="5C14CFB2"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1</w:t>
            </w:r>
          </w:p>
        </w:tc>
        <w:tc>
          <w:tcPr>
            <w:tcW w:w="6795" w:type="dxa"/>
            <w:shd w:val="clear" w:color="auto" w:fill="auto"/>
            <w:tcMar>
              <w:top w:w="100" w:type="dxa"/>
              <w:left w:w="100" w:type="dxa"/>
              <w:bottom w:w="100" w:type="dxa"/>
              <w:right w:w="100" w:type="dxa"/>
            </w:tcMar>
          </w:tcPr>
          <w:p w14:paraId="2570D215"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Is it likely that MA DESE will release recommendations on which standards we should prioritize next year? We are looking to revise our pacing for next year, and this would be helpful</w:t>
            </w:r>
          </w:p>
          <w:p w14:paraId="7438311D" w14:textId="77777777" w:rsidR="00AC0B18" w:rsidRDefault="00AC0B18">
            <w:pPr>
              <w:widowControl w:val="0"/>
              <w:spacing w:line="240" w:lineRule="auto"/>
              <w:rPr>
                <w:rFonts w:ascii="Calibri" w:eastAsia="Calibri" w:hAnsi="Calibri" w:cs="Calibri"/>
                <w:sz w:val="24"/>
                <w:szCs w:val="24"/>
              </w:rPr>
            </w:pPr>
          </w:p>
          <w:p w14:paraId="2AC11C4C"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Does DESE have recommendations for resources for students who “did not make significant progress” in a subject for the summer?</w:t>
            </w:r>
          </w:p>
        </w:tc>
        <w:tc>
          <w:tcPr>
            <w:tcW w:w="6015" w:type="dxa"/>
            <w:shd w:val="clear" w:color="auto" w:fill="auto"/>
            <w:tcMar>
              <w:top w:w="100" w:type="dxa"/>
              <w:left w:w="100" w:type="dxa"/>
              <w:bottom w:w="100" w:type="dxa"/>
              <w:right w:w="100" w:type="dxa"/>
            </w:tcMar>
          </w:tcPr>
          <w:p w14:paraId="4D6765B4"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DESE will be releasing additional information about fall re-entry. </w:t>
            </w:r>
          </w:p>
        </w:tc>
      </w:tr>
      <w:tr w:rsidR="00AC0B18" w14:paraId="187C2A0F" w14:textId="77777777" w:rsidTr="00C117DE">
        <w:trPr>
          <w:trHeight w:val="930"/>
        </w:trPr>
        <w:tc>
          <w:tcPr>
            <w:tcW w:w="600" w:type="dxa"/>
            <w:shd w:val="clear" w:color="auto" w:fill="auto"/>
            <w:tcMar>
              <w:top w:w="100" w:type="dxa"/>
              <w:left w:w="100" w:type="dxa"/>
              <w:bottom w:w="100" w:type="dxa"/>
              <w:right w:w="100" w:type="dxa"/>
            </w:tcMar>
          </w:tcPr>
          <w:p w14:paraId="56EC90A2"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2</w:t>
            </w:r>
          </w:p>
        </w:tc>
        <w:tc>
          <w:tcPr>
            <w:tcW w:w="6795" w:type="dxa"/>
            <w:shd w:val="clear" w:color="auto" w:fill="auto"/>
            <w:tcMar>
              <w:top w:w="100" w:type="dxa"/>
              <w:left w:w="100" w:type="dxa"/>
              <w:bottom w:w="100" w:type="dxa"/>
              <w:right w:w="100" w:type="dxa"/>
            </w:tcMar>
          </w:tcPr>
          <w:p w14:paraId="4C7578B5"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Can you use mathematical symbols in the </w:t>
            </w:r>
            <w:proofErr w:type="gramStart"/>
            <w:r>
              <w:rPr>
                <w:rFonts w:ascii="Calibri" w:eastAsia="Calibri" w:hAnsi="Calibri" w:cs="Calibri"/>
                <w:sz w:val="24"/>
                <w:szCs w:val="24"/>
              </w:rPr>
              <w:t>multiple choice</w:t>
            </w:r>
            <w:proofErr w:type="gramEnd"/>
            <w:r>
              <w:rPr>
                <w:rFonts w:ascii="Calibri" w:eastAsia="Calibri" w:hAnsi="Calibri" w:cs="Calibri"/>
                <w:sz w:val="24"/>
                <w:szCs w:val="24"/>
              </w:rPr>
              <w:t xml:space="preserve"> responses for a Google Quiz?</w:t>
            </w:r>
          </w:p>
          <w:p w14:paraId="51A49A22" w14:textId="77777777" w:rsidR="00AC0B18" w:rsidRDefault="00AC0B18">
            <w:pPr>
              <w:widowControl w:val="0"/>
              <w:spacing w:line="240" w:lineRule="auto"/>
              <w:rPr>
                <w:rFonts w:ascii="Calibri" w:eastAsia="Calibri" w:hAnsi="Calibri" w:cs="Calibri"/>
                <w:sz w:val="24"/>
                <w:szCs w:val="24"/>
              </w:rPr>
            </w:pPr>
          </w:p>
        </w:tc>
        <w:tc>
          <w:tcPr>
            <w:tcW w:w="6015" w:type="dxa"/>
            <w:shd w:val="clear" w:color="auto" w:fill="auto"/>
            <w:tcMar>
              <w:top w:w="100" w:type="dxa"/>
              <w:left w:w="100" w:type="dxa"/>
              <w:bottom w:w="100" w:type="dxa"/>
              <w:right w:w="100" w:type="dxa"/>
            </w:tcMar>
          </w:tcPr>
          <w:p w14:paraId="32B9F726" w14:textId="77777777" w:rsidR="00AC0B18" w:rsidRDefault="00C117DE">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Responses from participants: </w:t>
            </w:r>
          </w:p>
          <w:p w14:paraId="234B3CC1"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(1) use a Chrome extension called “</w:t>
            </w:r>
            <w:proofErr w:type="spellStart"/>
            <w:r>
              <w:rPr>
                <w:rFonts w:ascii="Calibri" w:eastAsia="Calibri" w:hAnsi="Calibri" w:cs="Calibri"/>
                <w:sz w:val="24"/>
                <w:szCs w:val="24"/>
              </w:rPr>
              <w:t>Equatio</w:t>
            </w:r>
            <w:proofErr w:type="spellEnd"/>
            <w:r>
              <w:rPr>
                <w:rFonts w:ascii="Calibri" w:eastAsia="Calibri" w:hAnsi="Calibri" w:cs="Calibri"/>
                <w:sz w:val="24"/>
                <w:szCs w:val="24"/>
              </w:rPr>
              <w:t>” and that allows me to do it</w:t>
            </w:r>
          </w:p>
          <w:p w14:paraId="18668AB0"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(2) The Activity Builder is a very powerful tool so I'd highly recommend it--you can also have student responses shared with others to promote some of that in class discourse we're missing out on</w:t>
            </w:r>
          </w:p>
          <w:p w14:paraId="30E33BDC" w14:textId="77777777" w:rsidR="00AC0B18" w:rsidRDefault="00AC0B18">
            <w:pPr>
              <w:widowControl w:val="0"/>
              <w:spacing w:line="240" w:lineRule="auto"/>
              <w:rPr>
                <w:rFonts w:ascii="Calibri" w:eastAsia="Calibri" w:hAnsi="Calibri" w:cs="Calibri"/>
                <w:sz w:val="24"/>
                <w:szCs w:val="24"/>
              </w:rPr>
            </w:pPr>
          </w:p>
        </w:tc>
      </w:tr>
      <w:tr w:rsidR="00AC0B18" w14:paraId="080ABBA0" w14:textId="77777777" w:rsidTr="00C117DE">
        <w:trPr>
          <w:trHeight w:val="930"/>
        </w:trPr>
        <w:tc>
          <w:tcPr>
            <w:tcW w:w="600" w:type="dxa"/>
            <w:shd w:val="clear" w:color="auto" w:fill="auto"/>
            <w:tcMar>
              <w:top w:w="100" w:type="dxa"/>
              <w:left w:w="100" w:type="dxa"/>
              <w:bottom w:w="100" w:type="dxa"/>
              <w:right w:w="100" w:type="dxa"/>
            </w:tcMar>
          </w:tcPr>
          <w:p w14:paraId="6E6651B2"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3</w:t>
            </w:r>
          </w:p>
        </w:tc>
        <w:tc>
          <w:tcPr>
            <w:tcW w:w="6795" w:type="dxa"/>
            <w:shd w:val="clear" w:color="auto" w:fill="auto"/>
            <w:tcMar>
              <w:top w:w="100" w:type="dxa"/>
              <w:left w:w="100" w:type="dxa"/>
              <w:bottom w:w="100" w:type="dxa"/>
              <w:right w:w="100" w:type="dxa"/>
            </w:tcMar>
          </w:tcPr>
          <w:p w14:paraId="6659081B"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Ian, you said a graphing calculator is to be embedded in the Gr 8 MCAS...is that a change? I believe it has been a scientific calculator in the past.</w:t>
            </w:r>
          </w:p>
          <w:p w14:paraId="0098EA20" w14:textId="77777777" w:rsidR="00AC0B18" w:rsidRDefault="00AC0B18">
            <w:pPr>
              <w:widowControl w:val="0"/>
              <w:spacing w:line="240" w:lineRule="auto"/>
              <w:rPr>
                <w:rFonts w:ascii="Calibri" w:eastAsia="Calibri" w:hAnsi="Calibri" w:cs="Calibri"/>
                <w:sz w:val="24"/>
                <w:szCs w:val="24"/>
              </w:rPr>
            </w:pPr>
          </w:p>
        </w:tc>
        <w:tc>
          <w:tcPr>
            <w:tcW w:w="6015" w:type="dxa"/>
            <w:shd w:val="clear" w:color="auto" w:fill="auto"/>
            <w:tcMar>
              <w:top w:w="100" w:type="dxa"/>
              <w:left w:w="100" w:type="dxa"/>
              <w:bottom w:w="100" w:type="dxa"/>
              <w:right w:w="100" w:type="dxa"/>
            </w:tcMar>
          </w:tcPr>
          <w:p w14:paraId="055A79D6"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Desmos graphing calc will be available on grade 8 and 10 MCAS moving forward. This change was made in anticipation of the 2019-2020 MCAS.</w:t>
            </w:r>
          </w:p>
          <w:p w14:paraId="7B00C0A9" w14:textId="77777777" w:rsidR="00AC0B18" w:rsidRDefault="00AC0B18">
            <w:pPr>
              <w:widowControl w:val="0"/>
              <w:spacing w:line="240" w:lineRule="auto"/>
              <w:rPr>
                <w:rFonts w:ascii="Calibri" w:eastAsia="Calibri" w:hAnsi="Calibri" w:cs="Calibri"/>
                <w:sz w:val="24"/>
                <w:szCs w:val="24"/>
              </w:rPr>
            </w:pPr>
          </w:p>
          <w:p w14:paraId="66EC0863" w14:textId="77777777" w:rsidR="00AC0B18" w:rsidRDefault="00AC0B18">
            <w:pPr>
              <w:widowControl w:val="0"/>
              <w:spacing w:line="240" w:lineRule="auto"/>
              <w:rPr>
                <w:rFonts w:ascii="Calibri" w:eastAsia="Calibri" w:hAnsi="Calibri" w:cs="Calibri"/>
                <w:sz w:val="24"/>
                <w:szCs w:val="24"/>
              </w:rPr>
            </w:pPr>
          </w:p>
        </w:tc>
      </w:tr>
      <w:tr w:rsidR="00AC0B18" w14:paraId="22DD2058" w14:textId="77777777" w:rsidTr="00C117DE">
        <w:trPr>
          <w:trHeight w:val="930"/>
        </w:trPr>
        <w:tc>
          <w:tcPr>
            <w:tcW w:w="600" w:type="dxa"/>
            <w:shd w:val="clear" w:color="auto" w:fill="auto"/>
            <w:tcMar>
              <w:top w:w="100" w:type="dxa"/>
              <w:left w:w="100" w:type="dxa"/>
              <w:bottom w:w="100" w:type="dxa"/>
              <w:right w:w="100" w:type="dxa"/>
            </w:tcMar>
          </w:tcPr>
          <w:p w14:paraId="1ECC8DB1"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4</w:t>
            </w:r>
          </w:p>
        </w:tc>
        <w:tc>
          <w:tcPr>
            <w:tcW w:w="6795" w:type="dxa"/>
            <w:shd w:val="clear" w:color="auto" w:fill="auto"/>
            <w:tcMar>
              <w:top w:w="100" w:type="dxa"/>
              <w:left w:w="100" w:type="dxa"/>
              <w:bottom w:w="100" w:type="dxa"/>
              <w:right w:w="100" w:type="dxa"/>
            </w:tcMar>
          </w:tcPr>
          <w:p w14:paraId="28648B5B"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Is there a way to sign up for Math DESE emails?</w:t>
            </w:r>
          </w:p>
          <w:p w14:paraId="3442E38C" w14:textId="77777777" w:rsidR="00AC0B18" w:rsidRDefault="00AC0B18">
            <w:pPr>
              <w:widowControl w:val="0"/>
              <w:spacing w:line="240" w:lineRule="auto"/>
              <w:rPr>
                <w:rFonts w:ascii="Calibri" w:eastAsia="Calibri" w:hAnsi="Calibri" w:cs="Calibri"/>
                <w:sz w:val="24"/>
                <w:szCs w:val="24"/>
              </w:rPr>
            </w:pPr>
          </w:p>
          <w:p w14:paraId="05204243" w14:textId="77777777" w:rsidR="00AC0B18" w:rsidRDefault="00AC0B18">
            <w:pPr>
              <w:widowControl w:val="0"/>
              <w:spacing w:line="240" w:lineRule="auto"/>
              <w:rPr>
                <w:rFonts w:ascii="Calibri" w:eastAsia="Calibri" w:hAnsi="Calibri" w:cs="Calibri"/>
                <w:sz w:val="24"/>
                <w:szCs w:val="24"/>
              </w:rPr>
            </w:pPr>
          </w:p>
        </w:tc>
        <w:tc>
          <w:tcPr>
            <w:tcW w:w="6015" w:type="dxa"/>
            <w:shd w:val="clear" w:color="auto" w:fill="auto"/>
            <w:tcMar>
              <w:top w:w="100" w:type="dxa"/>
              <w:left w:w="100" w:type="dxa"/>
              <w:bottom w:w="100" w:type="dxa"/>
              <w:right w:w="100" w:type="dxa"/>
            </w:tcMar>
          </w:tcPr>
          <w:p w14:paraId="419AB3FF" w14:textId="77777777" w:rsidR="00AC0B18" w:rsidRDefault="00C117DE">
            <w:pPr>
              <w:widowControl w:val="0"/>
              <w:spacing w:line="240" w:lineRule="auto"/>
              <w:rPr>
                <w:sz w:val="29"/>
                <w:szCs w:val="29"/>
              </w:rPr>
            </w:pPr>
            <w:r>
              <w:rPr>
                <w:rFonts w:ascii="Calibri" w:eastAsia="Calibri" w:hAnsi="Calibri" w:cs="Calibri"/>
                <w:sz w:val="24"/>
                <w:szCs w:val="24"/>
              </w:rPr>
              <w:t>To subscribe to the STEM newsletter, visit:</w:t>
            </w:r>
          </w:p>
          <w:p w14:paraId="66F80531" w14:textId="77777777" w:rsidR="00AC0B18" w:rsidRDefault="00404B17">
            <w:pPr>
              <w:widowControl w:val="0"/>
              <w:spacing w:line="240" w:lineRule="auto"/>
              <w:rPr>
                <w:rFonts w:ascii="Calibri" w:eastAsia="Calibri" w:hAnsi="Calibri" w:cs="Calibri"/>
                <w:sz w:val="24"/>
                <w:szCs w:val="24"/>
              </w:rPr>
            </w:pPr>
            <w:hyperlink r:id="rId9">
              <w:r w:rsidR="00C117DE">
                <w:rPr>
                  <w:rFonts w:ascii="Calibri" w:eastAsia="Calibri" w:hAnsi="Calibri" w:cs="Calibri"/>
                  <w:color w:val="0563C1"/>
                  <w:sz w:val="24"/>
                  <w:szCs w:val="24"/>
                  <w:u w:val="single"/>
                </w:rPr>
                <w:t>www.doe.mass.edu/resources/newsletter-signup.aspx</w:t>
              </w:r>
            </w:hyperlink>
          </w:p>
          <w:p w14:paraId="53EC148C" w14:textId="77777777" w:rsidR="00AC0B18" w:rsidRDefault="00C117DE">
            <w:pPr>
              <w:widowControl w:val="0"/>
              <w:spacing w:before="213" w:line="240" w:lineRule="auto"/>
              <w:rPr>
                <w:rFonts w:ascii="Calibri" w:eastAsia="Calibri" w:hAnsi="Calibri" w:cs="Calibri"/>
                <w:sz w:val="24"/>
                <w:szCs w:val="24"/>
              </w:rPr>
            </w:pPr>
            <w:r>
              <w:rPr>
                <w:rFonts w:ascii="Calibri" w:eastAsia="Calibri" w:hAnsi="Calibri" w:cs="Calibri"/>
                <w:sz w:val="24"/>
                <w:szCs w:val="24"/>
              </w:rPr>
              <w:t xml:space="preserve">Email STEM Remote Learning Highlights to Alicia Wedderburn at </w:t>
            </w:r>
            <w:hyperlink r:id="rId10">
              <w:r>
                <w:rPr>
                  <w:rFonts w:ascii="Calibri" w:eastAsia="Calibri" w:hAnsi="Calibri" w:cs="Calibri"/>
                  <w:color w:val="0563C1"/>
                  <w:sz w:val="24"/>
                  <w:szCs w:val="24"/>
                  <w:u w:val="single"/>
                </w:rPr>
                <w:t>alicia.wedderburn@mass.</w:t>
              </w:r>
            </w:hyperlink>
            <w:r>
              <w:rPr>
                <w:rFonts w:ascii="Calibri" w:eastAsia="Calibri" w:hAnsi="Calibri" w:cs="Calibri"/>
                <w:color w:val="0563C1"/>
                <w:sz w:val="24"/>
                <w:szCs w:val="24"/>
                <w:u w:val="single"/>
              </w:rPr>
              <w:t>gov</w:t>
            </w:r>
          </w:p>
        </w:tc>
      </w:tr>
      <w:tr w:rsidR="00AC0B18" w14:paraId="67BB4D78" w14:textId="77777777" w:rsidTr="00C117DE">
        <w:trPr>
          <w:trHeight w:val="930"/>
        </w:trPr>
        <w:tc>
          <w:tcPr>
            <w:tcW w:w="600" w:type="dxa"/>
            <w:shd w:val="clear" w:color="auto" w:fill="auto"/>
            <w:tcMar>
              <w:top w:w="100" w:type="dxa"/>
              <w:left w:w="100" w:type="dxa"/>
              <w:bottom w:w="100" w:type="dxa"/>
              <w:right w:w="100" w:type="dxa"/>
            </w:tcMar>
          </w:tcPr>
          <w:p w14:paraId="182E8F83"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5</w:t>
            </w:r>
          </w:p>
        </w:tc>
        <w:tc>
          <w:tcPr>
            <w:tcW w:w="6795" w:type="dxa"/>
            <w:shd w:val="clear" w:color="auto" w:fill="auto"/>
            <w:tcMar>
              <w:top w:w="100" w:type="dxa"/>
              <w:left w:w="100" w:type="dxa"/>
              <w:bottom w:w="100" w:type="dxa"/>
              <w:right w:w="100" w:type="dxa"/>
            </w:tcMar>
          </w:tcPr>
          <w:p w14:paraId="4D444944"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What about the standards that haven't been covered this year, but they are not on the prerequisite standards list? Do we need to cover those this year?</w:t>
            </w:r>
          </w:p>
        </w:tc>
        <w:tc>
          <w:tcPr>
            <w:tcW w:w="6015" w:type="dxa"/>
            <w:shd w:val="clear" w:color="auto" w:fill="auto"/>
            <w:tcMar>
              <w:top w:w="100" w:type="dxa"/>
              <w:left w:w="100" w:type="dxa"/>
              <w:bottom w:w="100" w:type="dxa"/>
              <w:right w:w="100" w:type="dxa"/>
            </w:tcMar>
          </w:tcPr>
          <w:p w14:paraId="4FBB83C7"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DESE recommends focusing on covering the prerequisite standards that have not been taught yet, and ensuring proficiency in prerequisite standards that had been taught. Any additional standards focused on during this time is a local decision.</w:t>
            </w:r>
          </w:p>
        </w:tc>
      </w:tr>
      <w:tr w:rsidR="00AC0B18" w14:paraId="4581CBE2" w14:textId="77777777" w:rsidTr="00C117DE">
        <w:trPr>
          <w:trHeight w:val="930"/>
        </w:trPr>
        <w:tc>
          <w:tcPr>
            <w:tcW w:w="600" w:type="dxa"/>
            <w:shd w:val="clear" w:color="auto" w:fill="auto"/>
            <w:tcMar>
              <w:top w:w="100" w:type="dxa"/>
              <w:left w:w="100" w:type="dxa"/>
              <w:bottom w:w="100" w:type="dxa"/>
              <w:right w:w="100" w:type="dxa"/>
            </w:tcMar>
          </w:tcPr>
          <w:p w14:paraId="1797EF2E"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6</w:t>
            </w:r>
          </w:p>
        </w:tc>
        <w:tc>
          <w:tcPr>
            <w:tcW w:w="6795" w:type="dxa"/>
            <w:shd w:val="clear" w:color="auto" w:fill="auto"/>
            <w:tcMar>
              <w:top w:w="100" w:type="dxa"/>
              <w:left w:w="100" w:type="dxa"/>
              <w:bottom w:w="100" w:type="dxa"/>
              <w:right w:w="100" w:type="dxa"/>
            </w:tcMar>
          </w:tcPr>
          <w:p w14:paraId="3ABF717B"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Where can I find the document that provides a list of prerequisite standards for each grade? </w:t>
            </w:r>
          </w:p>
        </w:tc>
        <w:tc>
          <w:tcPr>
            <w:tcW w:w="6015" w:type="dxa"/>
            <w:shd w:val="clear" w:color="auto" w:fill="auto"/>
            <w:tcMar>
              <w:top w:w="100" w:type="dxa"/>
              <w:left w:w="100" w:type="dxa"/>
              <w:bottom w:w="100" w:type="dxa"/>
              <w:right w:w="100" w:type="dxa"/>
            </w:tcMar>
          </w:tcPr>
          <w:p w14:paraId="5D71573F" w14:textId="77777777" w:rsidR="00AC0B18" w:rsidRDefault="00C117D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document can be found here: </w:t>
            </w:r>
          </w:p>
          <w:p w14:paraId="602CE460" w14:textId="77777777" w:rsidR="00AC0B18" w:rsidRDefault="00404B17">
            <w:pPr>
              <w:widowControl w:val="0"/>
              <w:numPr>
                <w:ilvl w:val="0"/>
                <w:numId w:val="1"/>
              </w:numPr>
              <w:spacing w:line="240" w:lineRule="auto"/>
              <w:rPr>
                <w:rFonts w:ascii="Calibri" w:eastAsia="Calibri" w:hAnsi="Calibri" w:cs="Calibri"/>
                <w:sz w:val="24"/>
                <w:szCs w:val="24"/>
              </w:rPr>
            </w:pPr>
            <w:hyperlink r:id="rId11">
              <w:r w:rsidR="00C117DE">
                <w:rPr>
                  <w:rFonts w:ascii="Calibri" w:eastAsia="Calibri" w:hAnsi="Calibri" w:cs="Calibri"/>
                  <w:color w:val="0563C1"/>
                  <w:sz w:val="24"/>
                  <w:szCs w:val="24"/>
                  <w:u w:val="single"/>
                </w:rPr>
                <w:t>Elementary</w:t>
              </w:r>
            </w:hyperlink>
            <w:r w:rsidR="00C117DE">
              <w:rPr>
                <w:rFonts w:ascii="Calibri" w:eastAsia="Calibri" w:hAnsi="Calibri" w:cs="Calibri"/>
                <w:sz w:val="24"/>
                <w:szCs w:val="24"/>
              </w:rPr>
              <w:t xml:space="preserve">  </w:t>
            </w:r>
          </w:p>
          <w:p w14:paraId="35422492" w14:textId="77777777" w:rsidR="00AC0B18" w:rsidRDefault="00404B17">
            <w:pPr>
              <w:widowControl w:val="0"/>
              <w:numPr>
                <w:ilvl w:val="0"/>
                <w:numId w:val="1"/>
              </w:numPr>
              <w:spacing w:line="240" w:lineRule="auto"/>
              <w:rPr>
                <w:rFonts w:ascii="Calibri" w:eastAsia="Calibri" w:hAnsi="Calibri" w:cs="Calibri"/>
                <w:sz w:val="24"/>
                <w:szCs w:val="24"/>
              </w:rPr>
            </w:pPr>
            <w:hyperlink r:id="rId12">
              <w:r w:rsidR="00C117DE">
                <w:rPr>
                  <w:rFonts w:ascii="Calibri" w:eastAsia="Calibri" w:hAnsi="Calibri" w:cs="Calibri"/>
                  <w:color w:val="0563C1"/>
                  <w:sz w:val="24"/>
                  <w:szCs w:val="24"/>
                  <w:u w:val="single"/>
                </w:rPr>
                <w:t>Secondary</w:t>
              </w:r>
            </w:hyperlink>
          </w:p>
        </w:tc>
      </w:tr>
    </w:tbl>
    <w:p w14:paraId="1F776496" w14:textId="77777777" w:rsidR="00AC0B18" w:rsidRDefault="00AC0B18">
      <w:pPr>
        <w:spacing w:after="240"/>
        <w:ind w:left="720"/>
        <w:rPr>
          <w:rFonts w:ascii="Calibri" w:eastAsia="Calibri" w:hAnsi="Calibri" w:cs="Calibri"/>
          <w:sz w:val="24"/>
          <w:szCs w:val="24"/>
        </w:rPr>
      </w:pPr>
    </w:p>
    <w:p w14:paraId="425A8CE8" w14:textId="77777777" w:rsidR="00AC0B18" w:rsidRDefault="00AC0B18">
      <w:pPr>
        <w:spacing w:after="240"/>
        <w:ind w:left="720"/>
        <w:rPr>
          <w:rFonts w:ascii="Calibri" w:eastAsia="Calibri" w:hAnsi="Calibri" w:cs="Calibri"/>
          <w:sz w:val="24"/>
          <w:szCs w:val="24"/>
        </w:rPr>
      </w:pPr>
    </w:p>
    <w:p w14:paraId="26DC85E3" w14:textId="77777777" w:rsidR="00AC0B18" w:rsidRDefault="00AC0B18">
      <w:pPr>
        <w:rPr>
          <w:rFonts w:ascii="Calibri" w:eastAsia="Calibri" w:hAnsi="Calibri" w:cs="Calibri"/>
          <w:sz w:val="24"/>
          <w:szCs w:val="24"/>
        </w:rPr>
      </w:pPr>
    </w:p>
    <w:sectPr w:rsidR="00AC0B18">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F348C"/>
    <w:multiLevelType w:val="multilevel"/>
    <w:tmpl w:val="2D30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18"/>
    <w:rsid w:val="0013557B"/>
    <w:rsid w:val="00404B17"/>
    <w:rsid w:val="00AC0B18"/>
    <w:rsid w:val="00C117DE"/>
    <w:rsid w:val="00E01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430B"/>
  <w15:docId w15:val="{AB80CAD2-0A30-421C-A4BF-6F1E7305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covid19/learn-at-home/secondary-prerequisit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ovid19/learn-at-home/elementary-prerequisite.docx" TargetMode="External"/><Relationship Id="rId5" Type="http://schemas.openxmlformats.org/officeDocument/2006/relationships/numbering" Target="numbering.xml"/><Relationship Id="rId10" Type="http://schemas.openxmlformats.org/officeDocument/2006/relationships/hyperlink" Target="mailto:alicia.wedderburn@doe.mass.edu" TargetMode="External"/><Relationship Id="rId4" Type="http://schemas.openxmlformats.org/officeDocument/2006/relationships/customXml" Target="../customXml/item4.xml"/><Relationship Id="rId9" Type="http://schemas.openxmlformats.org/officeDocument/2006/relationships/hyperlink" Target="http://www.doe.mass.edu/resources/newsletter-signup.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DESE-231-60788</_dlc_DocId>
    <_dlc_DocIdUrl xmlns="733efe1c-5bbe-4968-87dc-d400e65c879f">
      <Url>https://sharepoint.doemass.org/ese/webteam/cps/_layouts/DocIdRedir.aspx?ID=DESE-231-60788</Url>
      <Description>DESE-231-60788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F5747-B6D6-4FF7-8CC9-6958192680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DF8B99F-E971-464E-B6DB-64D5ECA95197}">
  <ds:schemaRefs>
    <ds:schemaRef ds:uri="http://schemas.microsoft.com/sharepoint/v3/contenttype/forms"/>
  </ds:schemaRefs>
</ds:datastoreItem>
</file>

<file path=customXml/itemProps3.xml><?xml version="1.0" encoding="utf-8"?>
<ds:datastoreItem xmlns:ds="http://schemas.openxmlformats.org/officeDocument/2006/customXml" ds:itemID="{3EAC1D2E-4850-4CEE-90E8-41E03E9669EC}">
  <ds:schemaRefs>
    <ds:schemaRef ds:uri="http://schemas.microsoft.com/sharepoint/events"/>
  </ds:schemaRefs>
</ds:datastoreItem>
</file>

<file path=customXml/itemProps4.xml><?xml version="1.0" encoding="utf-8"?>
<ds:datastoreItem xmlns:ds="http://schemas.openxmlformats.org/officeDocument/2006/customXml" ds:itemID="{4B0C6504-C782-4DFC-8675-2B8B6FD6C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Supporting Remote Learning: Secondary Math Q &amp; A</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Remote Learning: Secondary Math Q &amp; A, May 13, 2020</dc:title>
  <dc:creator>DESE</dc:creator>
  <cp:lastModifiedBy>Zou, Dong (EOE)</cp:lastModifiedBy>
  <cp:revision>5</cp:revision>
  <dcterms:created xsi:type="dcterms:W3CDTF">2020-05-13T19:10:00Z</dcterms:created>
  <dcterms:modified xsi:type="dcterms:W3CDTF">2020-05-14T20:07:00Z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2020</vt:lpwstr>
  </property>
</Properties>
</file>