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EA0F0" w14:textId="77777777" w:rsidR="000A1B5C" w:rsidRDefault="000F239F">
      <w:pPr>
        <w:pStyle w:val="Heading1"/>
        <w:pBdr>
          <w:left w:val="single" w:sz="48" w:space="3" w:color="95288A"/>
        </w:pBdr>
        <w:shd w:val="clear" w:color="auto" w:fill="1A4684"/>
        <w:spacing w:before="200" w:after="200"/>
        <w:ind w:left="-360"/>
        <w:rPr>
          <w:rFonts w:ascii="Quattrocento Sans" w:eastAsia="Quattrocento Sans" w:hAnsi="Quattrocento Sans" w:cs="Quattrocento Sans"/>
          <w:color w:val="FFFFFF"/>
          <w:sz w:val="46"/>
          <w:szCs w:val="46"/>
        </w:rPr>
      </w:pPr>
      <w:bookmarkStart w:id="0" w:name="_8w4py3hk1gc8" w:colFirst="0" w:colLast="0"/>
      <w:bookmarkEnd w:id="0"/>
      <w:r>
        <w:rPr>
          <w:rFonts w:ascii="Quattrocento Sans" w:eastAsia="Quattrocento Sans" w:hAnsi="Quattrocento Sans" w:cs="Quattrocento Sans"/>
          <w:color w:val="FFFFFF"/>
          <w:sz w:val="46"/>
          <w:szCs w:val="46"/>
        </w:rPr>
        <w:t>Crafting a Common Instructional Vision</w:t>
      </w:r>
    </w:p>
    <w:p w14:paraId="10AEA0F1" w14:textId="77777777" w:rsidR="000A1B5C" w:rsidRDefault="000F239F">
      <w:pPr>
        <w:spacing w:before="200" w:after="20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Throughout this guidebook, you saw many references to deeper learning and/or effective instruction. We will only be able to enact a shared instructional vision if we all understand what “effective instruction” means. Below are a few ways you and your team can define a common instructional vision and support your vision’s implementation. </w:t>
      </w:r>
    </w:p>
    <w:p w14:paraId="10AEA0F2" w14:textId="77777777" w:rsidR="000A1B5C" w:rsidRDefault="000F239F">
      <w:pPr>
        <w:pStyle w:val="Heading2"/>
        <w:pBdr>
          <w:left w:val="single" w:sz="48" w:space="6" w:color="1A4684"/>
        </w:pBdr>
        <w:shd w:val="clear" w:color="auto" w:fill="3D99A3"/>
        <w:spacing w:before="200" w:after="200"/>
        <w:rPr>
          <w:rFonts w:ascii="Quattrocento Sans" w:eastAsia="Quattrocento Sans" w:hAnsi="Quattrocento Sans" w:cs="Quattrocento Sans"/>
          <w:b/>
          <w:color w:val="FFFFFF"/>
          <w:sz w:val="34"/>
          <w:szCs w:val="34"/>
        </w:rPr>
      </w:pPr>
      <w:bookmarkStart w:id="1" w:name="_j2n75pya78su" w:colFirst="0" w:colLast="0"/>
      <w:bookmarkEnd w:id="1"/>
      <w:r>
        <w:rPr>
          <w:rFonts w:ascii="Quattrocento Sans" w:eastAsia="Quattrocento Sans" w:hAnsi="Quattrocento Sans" w:cs="Quattrocento Sans"/>
          <w:b/>
          <w:color w:val="FFFFFF"/>
          <w:sz w:val="34"/>
          <w:szCs w:val="34"/>
        </w:rPr>
        <w:t>Articulate a vision</w:t>
      </w:r>
    </w:p>
    <w:p w14:paraId="10AEA0F3" w14:textId="77777777" w:rsidR="000A1B5C" w:rsidRDefault="000F239F">
      <w:pPr>
        <w:spacing w:after="20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You can start by crafting or revising your vision for what you want your schools to be. What (if any) longer-term next steps will you need to take to ensure your instructional vision promotes deeper learning for all students? </w:t>
      </w:r>
    </w:p>
    <w:p w14:paraId="10AEA0F4" w14:textId="77777777" w:rsidR="000A1B5C" w:rsidRDefault="000F239F" w:rsidP="130B23F1">
      <w:pPr>
        <w:pBdr>
          <w:top w:val="single" w:sz="48" w:space="6" w:color="EFEFEF"/>
          <w:left w:val="single" w:sz="48" w:space="6" w:color="EFEFEF"/>
          <w:bottom w:val="single" w:sz="48" w:space="6" w:color="EFEFEF"/>
          <w:right w:val="single" w:sz="48" w:space="6" w:color="EFEFEF"/>
        </w:pBdr>
        <w:shd w:val="clear" w:color="auto" w:fill="EFEFEF"/>
        <w:spacing w:line="240" w:lineRule="auto"/>
        <w:ind w:left="180"/>
        <w:rPr>
          <w:rFonts w:ascii="Quattrocento Sans" w:eastAsia="Quattrocento Sans" w:hAnsi="Quattrocento Sans" w:cs="Quattrocento Sans"/>
          <w:b/>
          <w:bCs/>
          <w:sz w:val="20"/>
          <w:szCs w:val="20"/>
        </w:rPr>
      </w:pPr>
      <w:r w:rsidRPr="130B23F1">
        <w:rPr>
          <w:rFonts w:ascii="Quattrocento Sans" w:eastAsia="Quattrocento Sans" w:hAnsi="Quattrocento Sans" w:cs="Quattrocento Sans"/>
          <w:i/>
          <w:iCs/>
          <w:sz w:val="20"/>
          <w:szCs w:val="20"/>
        </w:rPr>
        <w:t xml:space="preserve">Example: All students thrive in school, graduate with the skills and knowledge necessary to succeed in their chosen college and/or career, and contribute to civic life in a global community.  Each day in our schools, students achieve mastery of grade-level knowledge and skills, experience learning that matters to them and honors their identity, and connect content to the social context. We create systems that support academic achievement, cultural competence, and sociopolitical awareness. All students, inclusive of Multilingual Learners and students with disabilities, are immersed in grade-level work that is interactive, relevant, and real-world while engaging in an environment where they feel safe and hold a sense of belonging, agency, and value. </w:t>
      </w:r>
    </w:p>
    <w:p w14:paraId="10AEA0F5" w14:textId="77777777" w:rsidR="000A1B5C" w:rsidRDefault="000F239F">
      <w:pPr>
        <w:pStyle w:val="Heading2"/>
        <w:pBdr>
          <w:left w:val="single" w:sz="48" w:space="6" w:color="1A4684"/>
        </w:pBdr>
        <w:shd w:val="clear" w:color="auto" w:fill="3D99A3"/>
        <w:spacing w:before="200" w:after="200"/>
        <w:rPr>
          <w:rFonts w:ascii="Quattrocento Sans" w:eastAsia="Quattrocento Sans" w:hAnsi="Quattrocento Sans" w:cs="Quattrocento Sans"/>
          <w:b/>
          <w:color w:val="FFFFFF"/>
          <w:sz w:val="34"/>
          <w:szCs w:val="34"/>
        </w:rPr>
      </w:pPr>
      <w:bookmarkStart w:id="2" w:name="_wgrgt2aklcza" w:colFirst="0" w:colLast="0"/>
      <w:bookmarkEnd w:id="2"/>
      <w:r>
        <w:rPr>
          <w:rFonts w:ascii="Quattrocento Sans" w:eastAsia="Quattrocento Sans" w:hAnsi="Quattrocento Sans" w:cs="Quattrocento Sans"/>
          <w:b/>
          <w:color w:val="FFFFFF"/>
          <w:sz w:val="34"/>
          <w:szCs w:val="34"/>
        </w:rPr>
        <w:t xml:space="preserve">Define Effective Instructional Practices </w:t>
      </w:r>
    </w:p>
    <w:p w14:paraId="10AEA0F6" w14:textId="77777777" w:rsidR="000A1B5C" w:rsidRDefault="000F239F">
      <w:pPr>
        <w:spacing w:after="40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You can share the summary of effective instructional practices with staff. You may wish to draft an instructional guidebook that includes the components of effective instructional practices. This guidebook can also include the definitions of effective instructional practices and resources related to these practices. </w:t>
      </w:r>
    </w:p>
    <w:p w14:paraId="10AEA0F7" w14:textId="77777777" w:rsidR="000A1B5C" w:rsidRDefault="000F239F">
      <w:pPr>
        <w:pStyle w:val="Heading2"/>
        <w:pBdr>
          <w:left w:val="single" w:sz="48" w:space="6" w:color="1A4684"/>
        </w:pBdr>
        <w:shd w:val="clear" w:color="auto" w:fill="3D99A3"/>
        <w:spacing w:before="200" w:after="200"/>
        <w:rPr>
          <w:rFonts w:ascii="Quattrocento Sans" w:eastAsia="Quattrocento Sans" w:hAnsi="Quattrocento Sans" w:cs="Quattrocento Sans"/>
          <w:b/>
          <w:color w:val="FFFFFF"/>
          <w:sz w:val="34"/>
          <w:szCs w:val="34"/>
        </w:rPr>
      </w:pPr>
      <w:bookmarkStart w:id="3" w:name="_tylf17e950lz" w:colFirst="0" w:colLast="0"/>
      <w:bookmarkEnd w:id="3"/>
      <w:r>
        <w:rPr>
          <w:rFonts w:ascii="Quattrocento Sans" w:eastAsia="Quattrocento Sans" w:hAnsi="Quattrocento Sans" w:cs="Quattrocento Sans"/>
          <w:b/>
          <w:color w:val="FFFFFF"/>
          <w:sz w:val="34"/>
          <w:szCs w:val="34"/>
        </w:rPr>
        <w:t xml:space="preserve">Support Effective Instructional Practices </w:t>
      </w:r>
    </w:p>
    <w:p w14:paraId="10AEA0F8" w14:textId="77777777" w:rsidR="000A1B5C" w:rsidRDefault="000F239F">
      <w:pPr>
        <w:spacing w:after="400" w:line="240" w:lineRule="auto"/>
        <w:rPr>
          <w:rFonts w:ascii="Quattrocento Sans" w:eastAsia="Quattrocento Sans" w:hAnsi="Quattrocento Sans" w:cs="Quattrocento Sans"/>
        </w:rPr>
      </w:pPr>
      <w:r>
        <w:rPr>
          <w:rFonts w:ascii="Quattrocento Sans" w:eastAsia="Quattrocento Sans" w:hAnsi="Quattrocento Sans" w:cs="Quattrocento Sans"/>
        </w:rPr>
        <w:t xml:space="preserve">Once the practices are understood by all, you may want to craft a professional learning plan that supports all staff in the use and application of these practices. You can consider what scaffolds and tiered coaching your staff may need. This support can include professional learning, coaching, and scaffolds such as lesson design templates, videos of practice, and exemplars. </w:t>
      </w:r>
    </w:p>
    <w:p w14:paraId="10AEA0F9" w14:textId="77777777" w:rsidR="000A1B5C" w:rsidRDefault="000F239F">
      <w:pPr>
        <w:pStyle w:val="Heading2"/>
        <w:pBdr>
          <w:left w:val="single" w:sz="48" w:space="6" w:color="1A4684"/>
        </w:pBdr>
        <w:shd w:val="clear" w:color="auto" w:fill="3D99A3"/>
        <w:spacing w:before="200" w:after="200"/>
        <w:rPr>
          <w:rFonts w:ascii="Quattrocento Sans" w:eastAsia="Quattrocento Sans" w:hAnsi="Quattrocento Sans" w:cs="Quattrocento Sans"/>
          <w:b/>
          <w:color w:val="FFFFFF"/>
          <w:sz w:val="34"/>
          <w:szCs w:val="34"/>
        </w:rPr>
      </w:pPr>
      <w:bookmarkStart w:id="4" w:name="_g0wxux6l23wm" w:colFirst="0" w:colLast="0"/>
      <w:bookmarkEnd w:id="4"/>
      <w:r>
        <w:rPr>
          <w:rFonts w:ascii="Quattrocento Sans" w:eastAsia="Quattrocento Sans" w:hAnsi="Quattrocento Sans" w:cs="Quattrocento Sans"/>
          <w:b/>
          <w:color w:val="FFFFFF"/>
          <w:sz w:val="34"/>
          <w:szCs w:val="34"/>
        </w:rPr>
        <w:t xml:space="preserve">Monitor and Implement Effective Instructional Practices </w:t>
      </w:r>
    </w:p>
    <w:p w14:paraId="10AEA0FA" w14:textId="77777777" w:rsidR="000A1B5C" w:rsidRDefault="000F239F">
      <w:pPr>
        <w:spacing w:line="240" w:lineRule="auto"/>
      </w:pPr>
      <w:r>
        <w:rPr>
          <w:rFonts w:ascii="Quattrocento Sans" w:eastAsia="Quattrocento Sans" w:hAnsi="Quattrocento Sans" w:cs="Quattrocento Sans"/>
        </w:rPr>
        <w:t xml:space="preserve">It is important to embed deeper learning and effective instructional practices into your improvement planning process. Through that process, you can define a set of fidelity measures and feedback loops to monitor progress and support implementation. Perhaps you have a lesson review protocol, a learning walk tool, or a feedback survey related to the common instructional practices. </w:t>
      </w:r>
    </w:p>
    <w:sectPr w:rsidR="000A1B5C">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FA1A" w14:textId="77777777" w:rsidR="00897DC8" w:rsidRDefault="00897DC8" w:rsidP="00E35A4B">
      <w:pPr>
        <w:spacing w:line="240" w:lineRule="auto"/>
      </w:pPr>
      <w:r>
        <w:separator/>
      </w:r>
    </w:p>
  </w:endnote>
  <w:endnote w:type="continuationSeparator" w:id="0">
    <w:p w14:paraId="6BC52DE5" w14:textId="77777777" w:rsidR="00897DC8" w:rsidRDefault="00897DC8" w:rsidP="00E3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EA0FF" w14:textId="51815291" w:rsidR="00E35A4B" w:rsidRDefault="00C36F41" w:rsidP="00E35A4B">
    <w:pPr>
      <w:widowControl w:val="0"/>
      <w:pBdr>
        <w:top w:val="nil"/>
        <w:left w:val="nil"/>
        <w:bottom w:val="nil"/>
        <w:right w:val="nil"/>
        <w:between w:val="nil"/>
      </w:pBdr>
      <w:rPr>
        <w:b/>
        <w:color w:val="3D99A3"/>
      </w:rPr>
    </w:pPr>
    <w:r>
      <w:rPr>
        <w:b/>
        <w:noProof/>
        <w:color w:val="3D99A3"/>
      </w:rPr>
      <w:drawing>
        <wp:anchor distT="0" distB="0" distL="114300" distR="114300" simplePos="0" relativeHeight="251660288" behindDoc="0" locked="0" layoutInCell="1" allowOverlap="1" wp14:anchorId="641013EC" wp14:editId="5AD8722C">
          <wp:simplePos x="0" y="0"/>
          <wp:positionH relativeFrom="column">
            <wp:posOffset>3562350</wp:posOffset>
          </wp:positionH>
          <wp:positionV relativeFrom="paragraph">
            <wp:posOffset>131445</wp:posOffset>
          </wp:positionV>
          <wp:extent cx="3205538" cy="457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05538" cy="457200"/>
                  </a:xfrm>
                  <a:prstGeom prst="rect">
                    <a:avLst/>
                  </a:prstGeom>
                </pic:spPr>
              </pic:pic>
            </a:graphicData>
          </a:graphic>
          <wp14:sizeRelH relativeFrom="margin">
            <wp14:pctWidth>0</wp14:pctWidth>
          </wp14:sizeRelH>
          <wp14:sizeRelV relativeFrom="margin">
            <wp14:pctHeight>0</wp14:pctHeight>
          </wp14:sizeRelV>
        </wp:anchor>
      </w:drawing>
    </w:r>
    <w:r w:rsidR="00077B27">
      <w:rPr>
        <w:b/>
        <w:noProof/>
        <w:color w:val="3D99A3"/>
      </w:rPr>
      <mc:AlternateContent>
        <mc:Choice Requires="wps">
          <w:drawing>
            <wp:anchor distT="0" distB="0" distL="114300" distR="114300" simplePos="0" relativeHeight="251659264" behindDoc="0" locked="0" layoutInCell="1" allowOverlap="1" wp14:anchorId="613BA855" wp14:editId="28431FC4">
              <wp:simplePos x="0" y="0"/>
              <wp:positionH relativeFrom="column">
                <wp:posOffset>-9526</wp:posOffset>
              </wp:positionH>
              <wp:positionV relativeFrom="paragraph">
                <wp:posOffset>64770</wp:posOffset>
              </wp:positionV>
              <wp:extent cx="60674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w:pict>
            <v:line w14:anchorId="08DB9487"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1pt" to="4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rJ0wEAAB0EAAAOAAAAZHJzL2Uyb0RvYy54bWysU0uP2yAQvlfqf0DcGztpN62sOHvY1fbS&#10;x6qPH8DCECPxErCx8+87gONEbdVKVS8YZpjvMYx3t5PR5AghKmd7ul61lIDlTih76On3bw+v3lES&#10;E7OCaWehpyeI9Hb/8sVu9B1s3OC0gEAQxMZu9D0dUvJd00Q+gGFx5TxYTEoXDEt4DIdGBDYiutHN&#10;pm23zeiC8MFxiBGj9zVJ9wVfSuDps5QREtE9RW2prKGsT3lt9jvWHQLzg+KzDPYPKgxTFkkXqHuW&#10;GHkO6hcoo3hw0cm04s40TkrFoXhAN+v2JzdfB+aheMHmRL+0Kf4/WP7peGcfA7Zh9LGL/jFkF5MM&#10;Jn9RH5lKs05Ls2BKhGNw227fvtncUMLPueZS6ENM78EZkjc91cpmH6xjxw8xIRlePV/JYW3zGp1W&#10;4kFpXQ55AuBOB3Jk+HZpWhcA/Ww+OlFj25u2nV8Qw/jONfz6HEaSMkcZpVBeEWCukkIZklnVpQdl&#10;l04aqrwvIIkS6HpTVCywlZFxDjat8zAVXLydyyRaWQrbvxfO93NpVbUUV+9/ZF0qCrOzaSk2yrrw&#10;O/bc0ypZ1vso/8p33j45cSrTURI4g8Xh/L/kIb8+l/LLX73/AQAA//8DAFBLAwQUAAYACAAAACEA&#10;Gvbh+NwAAAAIAQAADwAAAGRycy9kb3ducmV2LnhtbEyPQUvDQBCF74L/YRnBW7vb0orGbEoRPQmC&#10;sdjrNDsmwexszG7T6K93xIMe573Hm+/lm8l3aqQhtoEtLOYGFHEVXMu1hd3Lw+waVEzIDrvAZOGT&#10;ImyK87McMxdO/ExjmWolJRwztNCk1Gdax6ohj3EeemLx3sLgMck51NoNeJJy3+mlMVfaY8vyocGe&#10;7hqq3sujt/BRPvrXXbrf4oj9k9nvV1PzFay9vJi2t6ASTekvDD/4gg6FMB3CkV1UnYXZYi1J0c0S&#10;lPg365VsO/wKusj1/wHFNwAAAP//AwBQSwECLQAUAAYACAAAACEAtoM4kv4AAADhAQAAEwAAAAAA&#10;AAAAAAAAAAAAAAAAW0NvbnRlbnRfVHlwZXNdLnhtbFBLAQItABQABgAIAAAAIQA4/SH/1gAAAJQB&#10;AAALAAAAAAAAAAAAAAAAAC8BAABfcmVscy8ucmVsc1BLAQItABQABgAIAAAAIQAjWwrJ0wEAAB0E&#10;AAAOAAAAAAAAAAAAAAAAAC4CAABkcnMvZTJvRG9jLnhtbFBLAQItABQABgAIAAAAIQAa9uH43AAA&#10;AAgBAAAPAAAAAAAAAAAAAAAAAC0EAABkcnMvZG93bnJldi54bWxQSwUGAAAAAAQABADzAAAANgUA&#10;AAAA&#10;" strokecolor="#5a5a5a [2109]" strokeweight="2pt"/>
          </w:pict>
        </mc:Fallback>
      </mc:AlternateContent>
    </w:r>
  </w:p>
  <w:p w14:paraId="10AEA100" w14:textId="77777777" w:rsidR="00E35A4B" w:rsidRDefault="00E35A4B" w:rsidP="00E35A4B">
    <w:pPr>
      <w:widowControl w:val="0"/>
      <w:pBdr>
        <w:top w:val="nil"/>
        <w:left w:val="nil"/>
        <w:bottom w:val="nil"/>
        <w:right w:val="nil"/>
        <w:between w:val="nil"/>
      </w:pBdr>
      <w:rPr>
        <w:b/>
        <w:color w:val="1A4684"/>
      </w:rPr>
    </w:pPr>
    <w:r>
      <w:rPr>
        <w:b/>
        <w:color w:val="1A4684"/>
        <w:sz w:val="20"/>
        <w:szCs w:val="20"/>
      </w:rPr>
      <w:t>Coherence Guidebook: A Pathway to Improvement</w:t>
    </w:r>
  </w:p>
  <w:p w14:paraId="10AEA101" w14:textId="1D04857A" w:rsidR="00E35A4B" w:rsidRDefault="00E35A4B" w:rsidP="00E35A4B">
    <w:pPr>
      <w:pStyle w:val="Footer"/>
    </w:pPr>
    <w:r>
      <w:rPr>
        <w:b/>
        <w:sz w:val="18"/>
        <w:szCs w:val="18"/>
      </w:rPr>
      <w:t>MA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2923" w14:textId="77777777" w:rsidR="00897DC8" w:rsidRDefault="00897DC8" w:rsidP="00E35A4B">
      <w:pPr>
        <w:spacing w:line="240" w:lineRule="auto"/>
      </w:pPr>
      <w:r>
        <w:separator/>
      </w:r>
    </w:p>
  </w:footnote>
  <w:footnote w:type="continuationSeparator" w:id="0">
    <w:p w14:paraId="3A9A459F" w14:textId="77777777" w:rsidR="00897DC8" w:rsidRDefault="00897DC8" w:rsidP="00E35A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5C"/>
    <w:rsid w:val="000038E6"/>
    <w:rsid w:val="00077B27"/>
    <w:rsid w:val="000A1B5C"/>
    <w:rsid w:val="000F239F"/>
    <w:rsid w:val="00345C76"/>
    <w:rsid w:val="00662339"/>
    <w:rsid w:val="007D1D0C"/>
    <w:rsid w:val="00897DC8"/>
    <w:rsid w:val="00AD6614"/>
    <w:rsid w:val="00C36F41"/>
    <w:rsid w:val="00CE75CB"/>
    <w:rsid w:val="00E35A4B"/>
    <w:rsid w:val="00F24C63"/>
    <w:rsid w:val="00F828D6"/>
    <w:rsid w:val="130B2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A0F0"/>
  <w15:docId w15:val="{C47A9712-EC99-3548-995B-71776EA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5A4B"/>
    <w:pPr>
      <w:tabs>
        <w:tab w:val="center" w:pos="4680"/>
        <w:tab w:val="right" w:pos="9360"/>
      </w:tabs>
      <w:spacing w:line="240" w:lineRule="auto"/>
    </w:pPr>
  </w:style>
  <w:style w:type="character" w:customStyle="1" w:styleId="HeaderChar">
    <w:name w:val="Header Char"/>
    <w:basedOn w:val="DefaultParagraphFont"/>
    <w:link w:val="Header"/>
    <w:uiPriority w:val="99"/>
    <w:rsid w:val="00E35A4B"/>
  </w:style>
  <w:style w:type="paragraph" w:styleId="Footer">
    <w:name w:val="footer"/>
    <w:basedOn w:val="Normal"/>
    <w:link w:val="FooterChar"/>
    <w:uiPriority w:val="99"/>
    <w:unhideWhenUsed/>
    <w:rsid w:val="00E35A4B"/>
    <w:pPr>
      <w:tabs>
        <w:tab w:val="center" w:pos="4680"/>
        <w:tab w:val="right" w:pos="9360"/>
      </w:tabs>
      <w:spacing w:line="240" w:lineRule="auto"/>
    </w:pPr>
  </w:style>
  <w:style w:type="character" w:customStyle="1" w:styleId="FooterChar">
    <w:name w:val="Footer Char"/>
    <w:basedOn w:val="DefaultParagraphFont"/>
    <w:link w:val="Footer"/>
    <w:uiPriority w:val="99"/>
    <w:rsid w:val="00E3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Appendix Crafting a Common Instructional Vision</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Crafting a Common Instructional Vision</dc:title>
  <dc:creator>DESE</dc:creator>
  <cp:lastModifiedBy>Zou, Dong (EOE)</cp:lastModifiedBy>
  <cp:revision>3</cp:revision>
  <dcterms:created xsi:type="dcterms:W3CDTF">2022-09-15T19:31:00Z</dcterms:created>
  <dcterms:modified xsi:type="dcterms:W3CDTF">2022-09-15T22:16:00Z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