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68D89" w14:textId="101EDE3D" w:rsidR="00A34965" w:rsidRPr="00F677E5" w:rsidRDefault="00162F53">
      <w:pPr>
        <w:spacing w:line="192" w:lineRule="auto"/>
        <w:rPr>
          <w:rFonts w:ascii="Arial" w:eastAsia="Arial" w:hAnsi="Arial" w:cs="Arial"/>
          <w:b/>
          <w:i/>
          <w:sz w:val="40"/>
          <w:szCs w:val="40"/>
        </w:rPr>
      </w:pPr>
      <w:r w:rsidRPr="00F677E5">
        <w:rPr>
          <w:noProof/>
        </w:rPr>
        <w:drawing>
          <wp:anchor distT="0" distB="0" distL="114300" distR="274320" simplePos="0" relativeHeight="251658240" behindDoc="0" locked="0" layoutInCell="0" hidden="0" allowOverlap="1" wp14:anchorId="66C6F354" wp14:editId="73FE3169">
            <wp:simplePos x="0" y="0"/>
            <wp:positionH relativeFrom="column">
              <wp:posOffset>-273812</wp:posOffset>
            </wp:positionH>
            <wp:positionV relativeFrom="paragraph">
              <wp:posOffset>-329565</wp:posOffset>
            </wp:positionV>
            <wp:extent cx="1090930" cy="1371600"/>
            <wp:effectExtent l="0" t="0" r="0" b="0"/>
            <wp:wrapNone/>
            <wp:docPr id="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2.png">
                      <a:extLst>
                        <a:ext uri="{C183D7F6-B498-43B3-948B-1728B52AA6E4}">
                          <adec:decorative xmlns:adec="http://schemas.microsoft.com/office/drawing/2017/decorative" val="1"/>
                        </a:ext>
                      </a:extLst>
                    </pic:cNvPr>
                    <pic:cNvPicPr preferRelativeResize="0"/>
                  </pic:nvPicPr>
                  <pic:blipFill>
                    <a:blip r:embed="rId12"/>
                    <a:srcRect/>
                    <a:stretch>
                      <a:fillRect/>
                    </a:stretch>
                  </pic:blipFill>
                  <pic:spPr>
                    <a:xfrm>
                      <a:off x="0" y="0"/>
                      <a:ext cx="1090930" cy="1371600"/>
                    </a:xfrm>
                    <a:prstGeom prst="rect">
                      <a:avLst/>
                    </a:prstGeom>
                    <a:ln/>
                  </pic:spPr>
                </pic:pic>
              </a:graphicData>
            </a:graphic>
          </wp:anchor>
        </w:drawing>
      </w:r>
      <w:r w:rsidR="002A5C6E" w:rsidRPr="00F677E5">
        <w:rPr>
          <w:rFonts w:ascii="Arial" w:eastAsia="Arial" w:hAnsi="Arial" w:cs="Arial"/>
          <w:b/>
          <w:i/>
          <w:sz w:val="40"/>
          <w:szCs w:val="40"/>
        </w:rPr>
        <w:t xml:space="preserve">             </w:t>
      </w:r>
      <w:r w:rsidR="00472059" w:rsidRPr="00F677E5">
        <w:rPr>
          <w:rFonts w:ascii="Arial" w:eastAsia="Arial" w:hAnsi="Arial" w:cs="Arial"/>
          <w:b/>
          <w:i/>
          <w:sz w:val="40"/>
          <w:szCs w:val="40"/>
        </w:rPr>
        <w:t>Massachusetts Department of</w:t>
      </w:r>
    </w:p>
    <w:p w14:paraId="4A60BD13" w14:textId="6BBCD53C" w:rsidR="00A34965" w:rsidRPr="00F677E5" w:rsidRDefault="002A5C6E">
      <w:pPr>
        <w:ind w:left="-180"/>
        <w:rPr>
          <w:rFonts w:ascii="Arial" w:eastAsia="Arial" w:hAnsi="Arial" w:cs="Arial"/>
          <w:b/>
          <w:i/>
          <w:sz w:val="50"/>
          <w:szCs w:val="50"/>
        </w:rPr>
      </w:pPr>
      <w:r w:rsidRPr="00F677E5">
        <w:rPr>
          <w:rFonts w:ascii="Arial" w:eastAsia="Arial" w:hAnsi="Arial" w:cs="Arial"/>
          <w:b/>
          <w:i/>
          <w:sz w:val="40"/>
          <w:szCs w:val="40"/>
        </w:rPr>
        <w:t xml:space="preserve">              </w:t>
      </w:r>
      <w:r w:rsidR="00472059" w:rsidRPr="00F677E5">
        <w:rPr>
          <w:rFonts w:ascii="Arial" w:eastAsia="Arial" w:hAnsi="Arial" w:cs="Arial"/>
          <w:b/>
          <w:i/>
          <w:sz w:val="40"/>
          <w:szCs w:val="40"/>
        </w:rPr>
        <w:t>Elementary and Secondary Education</w:t>
      </w:r>
    </w:p>
    <w:p w14:paraId="7C4268DA" w14:textId="77777777" w:rsidR="00A34965" w:rsidRPr="00F677E5" w:rsidRDefault="00472059">
      <w:pPr>
        <w:rPr>
          <w:rFonts w:ascii="Arial" w:eastAsia="Arial" w:hAnsi="Arial" w:cs="Arial"/>
          <w:i/>
        </w:rPr>
      </w:pPr>
      <w:r w:rsidRPr="00F677E5">
        <w:rPr>
          <w:noProof/>
        </w:rPr>
        <mc:AlternateContent>
          <mc:Choice Requires="wps">
            <w:drawing>
              <wp:anchor distT="4294967295" distB="4294967295" distL="114300" distR="114300" simplePos="0" relativeHeight="251658241" behindDoc="0" locked="0" layoutInCell="0" hidden="0" allowOverlap="1" wp14:anchorId="1BB082EE" wp14:editId="2726BB6A">
                <wp:simplePos x="0" y="0"/>
                <wp:positionH relativeFrom="column">
                  <wp:posOffset>914400</wp:posOffset>
                </wp:positionH>
                <wp:positionV relativeFrom="paragraph">
                  <wp:posOffset>68608</wp:posOffset>
                </wp:positionV>
                <wp:extent cx="48006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wps:spPr>
                      <wps:bodyPr/>
                    </wps:wsp>
                  </a:graphicData>
                </a:graphic>
              </wp:anchor>
            </w:drawing>
          </mc:Choice>
          <mc:Fallback xmlns:w16sdtdh="http://schemas.microsoft.com/office/word/2020/wordml/sdtdatahash">
            <w:pict>
              <v:line w14:anchorId="398BB444" id="Straight Connector 1" o:spid="_x0000_s1026" alt="&quot;&quot;" style="position:absolute;z-index:251658241;visibility:visible;mso-wrap-style:square;mso-wrap-distance-left:9pt;mso-wrap-distance-top:-3e-5mm;mso-wrap-distance-right:9pt;mso-wrap-distance-bottom:-3e-5mm;mso-position-horizontal:absolute;mso-position-horizontal-relative:text;mso-position-vertical:absolute;mso-position-vertical-relative:text"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" o:allowincell="f" strokeweight="1pt"/>
            </w:pict>
          </mc:Fallback>
        </mc:AlternateContent>
      </w:r>
    </w:p>
    <w:p w14:paraId="6EB90A31" w14:textId="77777777" w:rsidR="00EB7425" w:rsidRPr="00F677E5" w:rsidRDefault="00472059" w:rsidP="004424B3">
      <w:pPr>
        <w:pStyle w:val="Heading3"/>
        <w:tabs>
          <w:tab w:val="right" w:pos="9000"/>
        </w:tabs>
        <w:ind w:right="360" w:firstLine="720"/>
        <w:jc w:val="right"/>
        <w:rPr>
          <w:sz w:val="16"/>
          <w:szCs w:val="16"/>
        </w:rPr>
      </w:pPr>
      <w:r w:rsidRPr="00F677E5">
        <w:rPr>
          <w:sz w:val="16"/>
          <w:szCs w:val="16"/>
        </w:rPr>
        <w:t xml:space="preserve">75 Pleasant Street, Malden, Massachusetts 02148-4906 </w:t>
      </w:r>
      <w:r w:rsidRPr="00F677E5">
        <w:rPr>
          <w:sz w:val="16"/>
          <w:szCs w:val="16"/>
        </w:rPr>
        <w:tab/>
        <w:t xml:space="preserve">       Telephone: (781) 338-3000                                                                                                                 TTY: N.E.T. Relay 1-800-439-2370</w:t>
      </w:r>
    </w:p>
    <w:p w14:paraId="6E8E3DFE" w14:textId="72D4F49C" w:rsidR="004424B3" w:rsidRPr="00F677E5" w:rsidRDefault="004424B3" w:rsidP="004424B3">
      <w:pPr>
        <w:rPr>
          <w:rFonts w:eastAsia="Arial"/>
        </w:rPr>
        <w:sectPr w:rsidR="004424B3" w:rsidRPr="00F677E5">
          <w:headerReference w:type="even" r:id="rId13"/>
          <w:headerReference w:type="default" r:id="rId14"/>
          <w:footerReference w:type="even" r:id="rId15"/>
          <w:footerReference w:type="default" r:id="rId16"/>
          <w:headerReference w:type="first" r:id="rId17"/>
          <w:footerReference w:type="first" r:id="rId18"/>
          <w:pgSz w:w="12240" w:h="15840"/>
          <w:pgMar w:top="864" w:right="1080" w:bottom="1440" w:left="1800" w:header="576" w:footer="720" w:gutter="0"/>
          <w:pgNumType w:start="1"/>
          <w:cols w:space="720"/>
        </w:sectPr>
      </w:pPr>
    </w:p>
    <w:p w14:paraId="61ED29AA" w14:textId="77777777" w:rsidR="00A34965" w:rsidRPr="00F677E5" w:rsidRDefault="00A34965">
      <w:pPr>
        <w:ind w:left="720"/>
        <w:jc w:val="center"/>
        <w:rPr>
          <w:rFonts w:ascii="Arial" w:eastAsia="Arial" w:hAnsi="Arial" w:cs="Arial"/>
          <w:i/>
          <w:sz w:val="16"/>
          <w:szCs w:val="16"/>
        </w:rPr>
      </w:pPr>
    </w:p>
    <w:tbl>
      <w:tblPr>
        <w:tblW w:w="6073" w:type="dxa"/>
        <w:tblBorders>
          <w:top w:val="nil"/>
          <w:left w:val="nil"/>
          <w:bottom w:val="nil"/>
          <w:right w:val="nil"/>
          <w:insideH w:val="nil"/>
          <w:insideV w:val="nil"/>
        </w:tblBorders>
        <w:tblLayout w:type="fixed"/>
        <w:tblLook w:val="0000" w:firstRow="0" w:lastRow="0" w:firstColumn="0" w:lastColumn="0" w:noHBand="0" w:noVBand="0"/>
      </w:tblPr>
      <w:tblGrid>
        <w:gridCol w:w="1575"/>
        <w:gridCol w:w="4498"/>
      </w:tblGrid>
      <w:tr w:rsidR="00A34965" w:rsidRPr="00F677E5" w14:paraId="6ACECE70" w14:textId="77777777" w:rsidTr="00314A5A">
        <w:trPr>
          <w:trHeight w:val="703"/>
        </w:trPr>
        <w:tc>
          <w:tcPr>
            <w:tcW w:w="1575" w:type="dxa"/>
          </w:tcPr>
          <w:p w14:paraId="62644A47" w14:textId="77777777" w:rsidR="00A34965" w:rsidRPr="00F677E5" w:rsidRDefault="00472059">
            <w:pPr>
              <w:jc w:val="center"/>
              <w:rPr>
                <w:rFonts w:ascii="Arial" w:eastAsia="Arial" w:hAnsi="Arial" w:cs="Arial"/>
                <w:sz w:val="16"/>
                <w:szCs w:val="16"/>
              </w:rPr>
            </w:pPr>
            <w:r w:rsidRPr="00F677E5">
              <w:rPr>
                <w:rFonts w:ascii="Arial" w:eastAsia="Arial" w:hAnsi="Arial" w:cs="Arial"/>
                <w:sz w:val="16"/>
                <w:szCs w:val="16"/>
              </w:rPr>
              <w:t>Jeffrey C. Riley</w:t>
            </w:r>
          </w:p>
          <w:p w14:paraId="3C8278BC" w14:textId="77777777" w:rsidR="00A34965" w:rsidRPr="00F677E5" w:rsidRDefault="00472059">
            <w:pPr>
              <w:jc w:val="center"/>
              <w:rPr>
                <w:rFonts w:ascii="Arial" w:eastAsia="Arial" w:hAnsi="Arial" w:cs="Arial"/>
                <w:i/>
                <w:sz w:val="16"/>
                <w:szCs w:val="16"/>
              </w:rPr>
            </w:pPr>
            <w:r w:rsidRPr="00F677E5">
              <w:rPr>
                <w:rFonts w:ascii="Arial" w:eastAsia="Arial" w:hAnsi="Arial" w:cs="Arial"/>
                <w:i/>
                <w:sz w:val="16"/>
                <w:szCs w:val="16"/>
              </w:rPr>
              <w:t>Commissioner</w:t>
            </w:r>
          </w:p>
        </w:tc>
        <w:tc>
          <w:tcPr>
            <w:tcW w:w="4498" w:type="dxa"/>
          </w:tcPr>
          <w:p w14:paraId="745E9032" w14:textId="77777777" w:rsidR="00A34965" w:rsidRPr="00F677E5" w:rsidRDefault="00A34965">
            <w:pPr>
              <w:jc w:val="center"/>
              <w:rPr>
                <w:rFonts w:ascii="Arial" w:eastAsia="Arial" w:hAnsi="Arial" w:cs="Arial"/>
                <w:i/>
                <w:sz w:val="16"/>
                <w:szCs w:val="16"/>
              </w:rPr>
            </w:pPr>
          </w:p>
        </w:tc>
      </w:tr>
    </w:tbl>
    <w:p w14:paraId="1CF864A6" w14:textId="7D54C02D" w:rsidR="00A34965" w:rsidRPr="00F677E5" w:rsidRDefault="00472059" w:rsidP="00314A5A">
      <w:pPr>
        <w:pStyle w:val="Subtitle"/>
        <w:spacing w:after="200"/>
        <w:ind w:left="0" w:right="0"/>
        <w:rPr>
          <w:rFonts w:ascii="Times New Roman" w:eastAsia="Times New Roman" w:hAnsi="Times New Roman" w:cs="Times New Roman"/>
          <w:b/>
          <w:i w:val="0"/>
          <w:smallCaps/>
          <w:color w:val="000000"/>
          <w:sz w:val="26"/>
          <w:szCs w:val="26"/>
        </w:rPr>
      </w:pPr>
      <w:r w:rsidRPr="00F677E5">
        <w:rPr>
          <w:rFonts w:ascii="Times New Roman" w:eastAsia="Times New Roman" w:hAnsi="Times New Roman" w:cs="Times New Roman"/>
          <w:b/>
          <w:i w:val="0"/>
          <w:smallCaps/>
          <w:color w:val="000000"/>
          <w:sz w:val="26"/>
          <w:szCs w:val="26"/>
        </w:rPr>
        <w:t>Guidance On Education Collaboratives’ Use of Surplus Funds</w:t>
      </w:r>
      <w:r w:rsidR="001A582B">
        <w:rPr>
          <w:rFonts w:ascii="Times New Roman" w:eastAsia="Times New Roman" w:hAnsi="Times New Roman" w:cs="Times New Roman"/>
          <w:b/>
          <w:i w:val="0"/>
          <w:smallCaps/>
          <w:color w:val="000000"/>
          <w:sz w:val="26"/>
          <w:szCs w:val="26"/>
        </w:rPr>
        <w:t xml:space="preserve"> </w:t>
      </w:r>
    </w:p>
    <w:p w14:paraId="0039E384" w14:textId="73AC2B2D" w:rsidR="00A34965" w:rsidRPr="00F677E5" w:rsidRDefault="00A34C5A">
      <w:pPr>
        <w:widowControl/>
        <w:pBdr>
          <w:top w:val="nil"/>
          <w:left w:val="nil"/>
          <w:bottom w:val="nil"/>
          <w:right w:val="nil"/>
          <w:between w:val="nil"/>
        </w:pBdr>
        <w:spacing w:before="120" w:after="280"/>
        <w:ind w:left="1440" w:hanging="1440"/>
        <w:jc w:val="center"/>
        <w:rPr>
          <w:color w:val="000000"/>
        </w:rPr>
      </w:pPr>
      <w:r w:rsidRPr="00671FE4">
        <w:rPr>
          <w:b/>
          <w:bCs/>
          <w:color w:val="000000"/>
        </w:rPr>
        <w:t xml:space="preserve"> </w:t>
      </w:r>
      <w:r w:rsidR="008D5E80" w:rsidRPr="00671FE4">
        <w:rPr>
          <w:b/>
          <w:bCs/>
          <w:color w:val="000000"/>
        </w:rPr>
        <w:t xml:space="preserve">August </w:t>
      </w:r>
      <w:r w:rsidR="00472059" w:rsidRPr="00F677E5">
        <w:rPr>
          <w:b/>
          <w:color w:val="000000"/>
        </w:rPr>
        <w:t>2021</w:t>
      </w:r>
    </w:p>
    <w:bookmarkStart w:id="0" w:name="_gjdgxs" w:colFirst="0" w:colLast="0"/>
    <w:bookmarkEnd w:id="0"/>
    <w:p w14:paraId="0BF49D24" w14:textId="76621415" w:rsidR="00A34965" w:rsidRPr="00F677E5" w:rsidRDefault="00CD6ED3">
      <w:pPr>
        <w:spacing w:after="200"/>
        <w:rPr>
          <w:color w:val="000000" w:themeColor="text1"/>
        </w:rPr>
      </w:pPr>
      <w:r w:rsidRPr="00F677E5">
        <w:fldChar w:fldCharType="begin"/>
      </w:r>
      <w:r w:rsidRPr="00F677E5">
        <w:instrText xml:space="preserve"> HYPERLINK "https://malegislature.gov/Laws/GeneralLaws/PartI/TitleVII/Chapter40/Section4E" \h </w:instrText>
      </w:r>
      <w:r w:rsidRPr="00F677E5">
        <w:fldChar w:fldCharType="separate"/>
      </w:r>
      <w:r w:rsidR="00472059" w:rsidRPr="00F677E5">
        <w:rPr>
          <w:color w:val="0000FF"/>
          <w:u w:val="single"/>
        </w:rPr>
        <w:t>Massachusetts General Law c. 40, § 4E</w:t>
      </w:r>
      <w:r w:rsidRPr="00F677E5">
        <w:rPr>
          <w:color w:val="0000FF"/>
          <w:u w:val="single"/>
        </w:rPr>
        <w:fldChar w:fldCharType="end"/>
      </w:r>
      <w:r w:rsidR="00472059" w:rsidRPr="00F677E5">
        <w:t xml:space="preserve"> </w:t>
      </w:r>
      <w:r w:rsidR="00472059" w:rsidRPr="00F677E5">
        <w:rPr>
          <w:color w:val="000000" w:themeColor="text1"/>
        </w:rPr>
        <w:t xml:space="preserve">permits two or more school committees and or charter school boards of trustees to enter into a written collaborative agreement (agreement) to provide shared programs and services, as long as the primary purpose of these shared programs and services is to complement the educational programs of member school committees and charter school boards in a cost-effective manner. </w:t>
      </w:r>
      <w:r w:rsidR="00610E0B" w:rsidRPr="00F677E5">
        <w:rPr>
          <w:color w:val="000000" w:themeColor="text1"/>
        </w:rPr>
        <w:t xml:space="preserve">Each agreement outlines </w:t>
      </w:r>
      <w:r w:rsidR="00571146" w:rsidRPr="00F677E5">
        <w:rPr>
          <w:color w:val="000000" w:themeColor="text1"/>
        </w:rPr>
        <w:t>board determined</w:t>
      </w:r>
      <w:r w:rsidR="00610E0B" w:rsidRPr="00F677E5">
        <w:rPr>
          <w:color w:val="000000" w:themeColor="text1"/>
        </w:rPr>
        <w:t xml:space="preserve"> policies and </w:t>
      </w:r>
      <w:r w:rsidR="002368C7" w:rsidRPr="00F677E5">
        <w:rPr>
          <w:color w:val="000000" w:themeColor="text1"/>
        </w:rPr>
        <w:t>procedures and</w:t>
      </w:r>
      <w:r w:rsidR="008001CA" w:rsidRPr="00F677E5">
        <w:rPr>
          <w:color w:val="000000" w:themeColor="text1"/>
        </w:rPr>
        <w:t xml:space="preserve"> </w:t>
      </w:r>
      <w:r w:rsidR="00610E0B" w:rsidRPr="00F677E5">
        <w:rPr>
          <w:color w:val="000000" w:themeColor="text1"/>
        </w:rPr>
        <w:t>includ</w:t>
      </w:r>
      <w:r w:rsidR="008001CA" w:rsidRPr="00F677E5">
        <w:rPr>
          <w:color w:val="000000" w:themeColor="text1"/>
        </w:rPr>
        <w:t xml:space="preserve">es </w:t>
      </w:r>
      <w:r w:rsidR="002368C7" w:rsidRPr="00F677E5">
        <w:rPr>
          <w:color w:val="000000" w:themeColor="text1"/>
        </w:rPr>
        <w:t>the</w:t>
      </w:r>
      <w:r w:rsidR="008001CA" w:rsidRPr="00F677E5">
        <w:rPr>
          <w:color w:val="000000" w:themeColor="text1"/>
        </w:rPr>
        <w:t xml:space="preserve"> </w:t>
      </w:r>
      <w:r w:rsidR="00610E0B" w:rsidRPr="00F677E5">
        <w:rPr>
          <w:color w:val="000000" w:themeColor="text1"/>
        </w:rPr>
        <w:t xml:space="preserve">declaration of a limit </w:t>
      </w:r>
      <w:r w:rsidR="008001CA" w:rsidRPr="00F677E5">
        <w:rPr>
          <w:color w:val="000000" w:themeColor="text1"/>
        </w:rPr>
        <w:t xml:space="preserve">to the </w:t>
      </w:r>
      <w:r w:rsidR="0043100E" w:rsidRPr="00F677E5">
        <w:rPr>
          <w:color w:val="000000" w:themeColor="text1"/>
        </w:rPr>
        <w:t>total amount of</w:t>
      </w:r>
      <w:r w:rsidR="00610E0B" w:rsidRPr="00F677E5">
        <w:rPr>
          <w:color w:val="000000" w:themeColor="text1"/>
        </w:rPr>
        <w:t xml:space="preserve"> surplus funds</w:t>
      </w:r>
      <w:r w:rsidR="0043100E" w:rsidRPr="00F677E5">
        <w:rPr>
          <w:color w:val="000000" w:themeColor="text1"/>
        </w:rPr>
        <w:t xml:space="preserve"> that can be carried</w:t>
      </w:r>
      <w:r w:rsidR="002368C7" w:rsidRPr="00F677E5">
        <w:rPr>
          <w:color w:val="000000" w:themeColor="text1"/>
        </w:rPr>
        <w:t xml:space="preserve"> forward in subsequent budget cycles</w:t>
      </w:r>
      <w:r w:rsidR="00610E0B" w:rsidRPr="00F677E5">
        <w:rPr>
          <w:color w:val="000000" w:themeColor="text1"/>
        </w:rPr>
        <w:t xml:space="preserve">. </w:t>
      </w:r>
      <w:hyperlink r:id="rId19">
        <w:r w:rsidR="002652DA" w:rsidRPr="00F677E5">
          <w:rPr>
            <w:color w:val="0000FF"/>
            <w:u w:val="single"/>
          </w:rPr>
          <w:t>The Education Collaborative Regulations, 603 CMR 50.00</w:t>
        </w:r>
      </w:hyperlink>
      <w:r w:rsidR="00A63B94" w:rsidRPr="00F677E5">
        <w:rPr>
          <w:color w:val="0000FF"/>
          <w:u w:val="single"/>
        </w:rPr>
        <w:t xml:space="preserve"> (regulations</w:t>
      </w:r>
      <w:r w:rsidR="00A63B94" w:rsidRPr="00F677E5">
        <w:rPr>
          <w:color w:val="000000" w:themeColor="text1"/>
          <w:u w:val="single"/>
        </w:rPr>
        <w:t>)</w:t>
      </w:r>
      <w:r w:rsidR="002652DA" w:rsidRPr="00F677E5">
        <w:rPr>
          <w:color w:val="000000" w:themeColor="text1"/>
        </w:rPr>
        <w:t xml:space="preserve">, initially developed and adopted by the Massachusetts Board of Elementary and Secondary Education in 2013 and revised in 2020 reflect statutory changes and clarify uniform rules and procedures governing the establishment and operation of educational collaboratives. </w:t>
      </w:r>
      <w:r w:rsidR="00407C23" w:rsidRPr="00F677E5">
        <w:rPr>
          <w:color w:val="000000" w:themeColor="text1"/>
        </w:rPr>
        <w:t xml:space="preserve">Additionally, </w:t>
      </w:r>
      <w:r w:rsidR="0097279C" w:rsidRPr="00F677E5">
        <w:rPr>
          <w:color w:val="000000" w:themeColor="text1"/>
        </w:rPr>
        <w:t xml:space="preserve">the regulations </w:t>
      </w:r>
      <w:r w:rsidR="00A73B89" w:rsidRPr="00F677E5">
        <w:rPr>
          <w:color w:val="000000" w:themeColor="text1"/>
        </w:rPr>
        <w:t xml:space="preserve">outline the </w:t>
      </w:r>
      <w:r w:rsidR="00604768" w:rsidRPr="00F677E5">
        <w:rPr>
          <w:color w:val="000000" w:themeColor="text1"/>
        </w:rPr>
        <w:t xml:space="preserve">25 percent </w:t>
      </w:r>
      <w:r w:rsidR="00A73B89" w:rsidRPr="00F677E5">
        <w:rPr>
          <w:color w:val="000000" w:themeColor="text1"/>
        </w:rPr>
        <w:t xml:space="preserve">limitation on </w:t>
      </w:r>
      <w:r w:rsidR="00FF1940" w:rsidRPr="00F677E5">
        <w:rPr>
          <w:color w:val="000000" w:themeColor="text1"/>
        </w:rPr>
        <w:t xml:space="preserve">the amount of </w:t>
      </w:r>
      <w:r w:rsidR="00A73B89" w:rsidRPr="00F677E5">
        <w:rPr>
          <w:color w:val="000000" w:themeColor="text1"/>
        </w:rPr>
        <w:t>surplus funds</w:t>
      </w:r>
      <w:r w:rsidR="00EA08CF" w:rsidRPr="00F677E5">
        <w:rPr>
          <w:color w:val="000000" w:themeColor="text1"/>
        </w:rPr>
        <w:t xml:space="preserve"> an education collaborative may carry </w:t>
      </w:r>
      <w:r w:rsidR="00FF1940" w:rsidRPr="00F677E5">
        <w:rPr>
          <w:color w:val="000000" w:themeColor="text1"/>
        </w:rPr>
        <w:t>forward to be used in subsequent budget cycles</w:t>
      </w:r>
      <w:r w:rsidR="00EA08CF" w:rsidRPr="00F677E5">
        <w:rPr>
          <w:color w:val="000000" w:themeColor="text1"/>
        </w:rPr>
        <w:t>.</w:t>
      </w:r>
      <w:r w:rsidR="00670FEB" w:rsidRPr="00F677E5">
        <w:rPr>
          <w:rStyle w:val="FootnoteReference"/>
          <w:color w:val="000000" w:themeColor="text1"/>
        </w:rPr>
        <w:footnoteReference w:id="2"/>
      </w:r>
      <w:r w:rsidR="00EA08CF" w:rsidRPr="00F677E5">
        <w:rPr>
          <w:color w:val="000000" w:themeColor="text1"/>
        </w:rPr>
        <w:t xml:space="preserve"> </w:t>
      </w:r>
    </w:p>
    <w:p w14:paraId="423D3556" w14:textId="77BC2248" w:rsidR="00A34965" w:rsidRPr="00F677E5" w:rsidRDefault="00472059">
      <w:pPr>
        <w:spacing w:after="200"/>
        <w:rPr>
          <w:color w:val="000000" w:themeColor="text1"/>
        </w:rPr>
      </w:pPr>
      <w:r w:rsidRPr="00F677E5">
        <w:rPr>
          <w:color w:val="000000" w:themeColor="text1"/>
        </w:rPr>
        <w:t xml:space="preserve">This document provides guidance to the collaborative board of directors (board), regarding the </w:t>
      </w:r>
      <w:r w:rsidR="004B1020" w:rsidRPr="00F677E5">
        <w:rPr>
          <w:color w:val="000000" w:themeColor="text1"/>
        </w:rPr>
        <w:t>determination</w:t>
      </w:r>
      <w:r w:rsidR="00AB5366" w:rsidRPr="00F677E5">
        <w:rPr>
          <w:color w:val="000000" w:themeColor="text1"/>
        </w:rPr>
        <w:t xml:space="preserve"> and </w:t>
      </w:r>
      <w:r w:rsidRPr="00F677E5">
        <w:rPr>
          <w:color w:val="000000" w:themeColor="text1"/>
        </w:rPr>
        <w:t>allowable uses of surplus funds</w:t>
      </w:r>
      <w:r w:rsidR="00A26B92" w:rsidRPr="00F677E5">
        <w:rPr>
          <w:color w:val="000000" w:themeColor="text1"/>
        </w:rPr>
        <w:t xml:space="preserve"> in the collaborative budget</w:t>
      </w:r>
      <w:r w:rsidRPr="00F677E5">
        <w:rPr>
          <w:color w:val="000000" w:themeColor="text1"/>
        </w:rPr>
        <w:t>.</w:t>
      </w:r>
    </w:p>
    <w:p w14:paraId="2EE6C5EB" w14:textId="77777777" w:rsidR="00AB5366" w:rsidRPr="00F677E5" w:rsidRDefault="00AB5366" w:rsidP="00953087">
      <w:pPr>
        <w:widowControl/>
        <w:pBdr>
          <w:top w:val="nil"/>
          <w:left w:val="nil"/>
          <w:bottom w:val="nil"/>
          <w:right w:val="nil"/>
          <w:between w:val="nil"/>
        </w:pBdr>
        <w:contextualSpacing/>
        <w:rPr>
          <w:b/>
          <w:color w:val="000000" w:themeColor="text1"/>
        </w:rPr>
      </w:pPr>
      <w:r w:rsidRPr="00F677E5">
        <w:rPr>
          <w:b/>
          <w:color w:val="000000" w:themeColor="text1"/>
        </w:rPr>
        <w:t>Determination of Surplus</w:t>
      </w:r>
    </w:p>
    <w:p w14:paraId="66CABCC8" w14:textId="1831537D" w:rsidR="009B1B9F" w:rsidRPr="00F677E5" w:rsidRDefault="00F74E16" w:rsidP="00953087">
      <w:pPr>
        <w:widowControl/>
        <w:pBdr>
          <w:top w:val="nil"/>
          <w:left w:val="nil"/>
          <w:bottom w:val="nil"/>
          <w:right w:val="nil"/>
          <w:between w:val="nil"/>
        </w:pBdr>
        <w:spacing w:after="80"/>
        <w:rPr>
          <w:color w:val="000000" w:themeColor="text1"/>
        </w:rPr>
      </w:pPr>
      <w:r w:rsidRPr="00F677E5">
        <w:rPr>
          <w:color w:val="000000" w:themeColor="text1"/>
        </w:rPr>
        <w:t xml:space="preserve">Unexpended </w:t>
      </w:r>
      <w:r w:rsidRPr="00F677E5">
        <w:rPr>
          <w:b/>
          <w:bCs/>
          <w:color w:val="000000" w:themeColor="text1"/>
        </w:rPr>
        <w:t>general</w:t>
      </w:r>
      <w:r w:rsidRPr="00F677E5">
        <w:rPr>
          <w:color w:val="000000" w:themeColor="text1"/>
        </w:rPr>
        <w:t xml:space="preserve"> </w:t>
      </w:r>
      <w:r w:rsidRPr="00F677E5">
        <w:rPr>
          <w:b/>
          <w:bCs/>
          <w:color w:val="000000" w:themeColor="text1"/>
        </w:rPr>
        <w:t>funds</w:t>
      </w:r>
      <w:r w:rsidRPr="00F677E5">
        <w:rPr>
          <w:color w:val="000000" w:themeColor="text1"/>
        </w:rPr>
        <w:t xml:space="preserve"> </w:t>
      </w:r>
      <w:r w:rsidR="00FC787C" w:rsidRPr="00F677E5">
        <w:rPr>
          <w:color w:val="000000" w:themeColor="text1"/>
        </w:rPr>
        <w:t xml:space="preserve">remaining </w:t>
      </w:r>
      <w:r w:rsidRPr="00F677E5">
        <w:rPr>
          <w:color w:val="000000" w:themeColor="text1"/>
        </w:rPr>
        <w:t xml:space="preserve">in the collaborative’s budget at the end of a fiscal year constitute the fiscal year’s surplus. </w:t>
      </w:r>
    </w:p>
    <w:p w14:paraId="49917C78" w14:textId="7DE7A91C" w:rsidR="00F74E16" w:rsidRPr="00F677E5" w:rsidRDefault="00AB5366" w:rsidP="00953087">
      <w:pPr>
        <w:widowControl/>
        <w:pBdr>
          <w:top w:val="nil"/>
          <w:left w:val="nil"/>
          <w:bottom w:val="nil"/>
          <w:right w:val="nil"/>
          <w:between w:val="nil"/>
        </w:pBdr>
        <w:spacing w:before="200" w:after="80"/>
        <w:rPr>
          <w:color w:val="000000" w:themeColor="text1"/>
        </w:rPr>
      </w:pPr>
      <w:r w:rsidRPr="00F677E5">
        <w:rPr>
          <w:color w:val="000000" w:themeColor="text1"/>
        </w:rPr>
        <w:t>For the purposes of determining surplus, general funds are defined as th</w:t>
      </w:r>
      <w:r w:rsidR="003A7283" w:rsidRPr="00F677E5">
        <w:rPr>
          <w:color w:val="000000" w:themeColor="text1"/>
        </w:rPr>
        <w:t>os</w:t>
      </w:r>
      <w:r w:rsidRPr="00F677E5">
        <w:rPr>
          <w:color w:val="000000" w:themeColor="text1"/>
        </w:rPr>
        <w:t>e funds that</w:t>
      </w:r>
      <w:r w:rsidR="00FC787C" w:rsidRPr="00F677E5">
        <w:rPr>
          <w:color w:val="000000" w:themeColor="text1"/>
        </w:rPr>
        <w:t>:</w:t>
      </w:r>
      <w:r w:rsidRPr="00F677E5">
        <w:rPr>
          <w:color w:val="000000" w:themeColor="text1"/>
        </w:rPr>
        <w:t xml:space="preserve"> </w:t>
      </w:r>
    </w:p>
    <w:p w14:paraId="341A8E4F" w14:textId="471E641C" w:rsidR="008D5E80" w:rsidRDefault="00AB5366" w:rsidP="00E5154F">
      <w:pPr>
        <w:pStyle w:val="ListParagraph"/>
        <w:widowControl/>
        <w:numPr>
          <w:ilvl w:val="0"/>
          <w:numId w:val="4"/>
        </w:numPr>
        <w:pBdr>
          <w:top w:val="nil"/>
          <w:left w:val="nil"/>
          <w:bottom w:val="nil"/>
          <w:right w:val="nil"/>
          <w:between w:val="nil"/>
        </w:pBdr>
        <w:rPr>
          <w:color w:val="000000" w:themeColor="text1"/>
        </w:rPr>
        <w:sectPr w:rsidR="008D5E80" w:rsidSect="00EB7425">
          <w:headerReference w:type="even" r:id="rId20"/>
          <w:headerReference w:type="default" r:id="rId21"/>
          <w:headerReference w:type="first" r:id="rId22"/>
          <w:type w:val="continuous"/>
          <w:pgSz w:w="12240" w:h="15840"/>
          <w:pgMar w:top="1440" w:right="1008" w:bottom="1440" w:left="1440" w:header="432" w:footer="432" w:gutter="0"/>
          <w:cols w:space="720"/>
        </w:sectPr>
      </w:pPr>
      <w:r w:rsidRPr="00E5154F">
        <w:rPr>
          <w:color w:val="000000" w:themeColor="text1"/>
        </w:rPr>
        <w:t xml:space="preserve">a collaborative receives from school districts for tuitions, </w:t>
      </w:r>
      <w:r w:rsidR="009961D0" w:rsidRPr="00E5154F">
        <w:rPr>
          <w:color w:val="000000" w:themeColor="text1"/>
        </w:rPr>
        <w:t xml:space="preserve">surcharges, </w:t>
      </w:r>
      <w:r w:rsidRPr="00E5154F">
        <w:rPr>
          <w:color w:val="000000" w:themeColor="text1"/>
        </w:rPr>
        <w:t>dues, fees-for-service</w:t>
      </w:r>
      <w:r w:rsidR="004B1020" w:rsidRPr="00E5154F">
        <w:rPr>
          <w:color w:val="000000" w:themeColor="text1"/>
        </w:rPr>
        <w:t>,</w:t>
      </w:r>
      <w:r w:rsidR="00B8781A" w:rsidRPr="00E5154F">
        <w:rPr>
          <w:color w:val="000000" w:themeColor="text1"/>
        </w:rPr>
        <w:t xml:space="preserve"> and</w:t>
      </w:r>
      <w:r w:rsidR="009964C5" w:rsidRPr="00E5154F">
        <w:rPr>
          <w:color w:val="000000" w:themeColor="text1"/>
        </w:rPr>
        <w:t xml:space="preserve"> </w:t>
      </w:r>
      <w:r w:rsidRPr="00E5154F">
        <w:rPr>
          <w:color w:val="000000" w:themeColor="text1"/>
        </w:rPr>
        <w:t>any related accrued interest on these fund</w:t>
      </w:r>
      <w:r w:rsidR="00823D23">
        <w:rPr>
          <w:color w:val="000000" w:themeColor="text1"/>
        </w:rPr>
        <w:t>s</w:t>
      </w:r>
      <w:r w:rsidR="001E2D8B">
        <w:rPr>
          <w:color w:val="000000" w:themeColor="text1"/>
        </w:rPr>
        <w:t xml:space="preserve">; </w:t>
      </w:r>
      <w:r w:rsidR="00FC787C" w:rsidRPr="00E5154F">
        <w:rPr>
          <w:color w:val="000000" w:themeColor="text1"/>
        </w:rPr>
        <w:t>and</w:t>
      </w:r>
    </w:p>
    <w:p w14:paraId="68EECDA6" w14:textId="2A59E5B4" w:rsidR="00F74E16" w:rsidRPr="00AA163F" w:rsidRDefault="00AB5366" w:rsidP="00FC787C">
      <w:pPr>
        <w:pStyle w:val="ListParagraph"/>
        <w:widowControl/>
        <w:numPr>
          <w:ilvl w:val="0"/>
          <w:numId w:val="4"/>
        </w:numPr>
        <w:pBdr>
          <w:top w:val="nil"/>
          <w:left w:val="nil"/>
          <w:bottom w:val="nil"/>
          <w:right w:val="nil"/>
          <w:between w:val="nil"/>
        </w:pBdr>
        <w:spacing w:after="80"/>
        <w:rPr>
          <w:b/>
          <w:color w:val="000000" w:themeColor="text1"/>
        </w:rPr>
      </w:pPr>
      <w:r w:rsidRPr="00AA163F">
        <w:rPr>
          <w:color w:val="000000" w:themeColor="text1"/>
        </w:rPr>
        <w:lastRenderedPageBreak/>
        <w:t>indirect costs, allowed under certain grant awards that are not restricted to a specific purpose</w:t>
      </w:r>
      <w:r w:rsidR="009B1B9F" w:rsidRPr="00AA163F">
        <w:rPr>
          <w:color w:val="000000" w:themeColor="text1"/>
        </w:rPr>
        <w:t xml:space="preserve"> under the conditions of the funding</w:t>
      </w:r>
      <w:r w:rsidRPr="00AA163F">
        <w:rPr>
          <w:color w:val="000000" w:themeColor="text1"/>
        </w:rPr>
        <w:t xml:space="preserve">, but may be used by the collaborative to support general collaborative programs and activities. </w:t>
      </w:r>
    </w:p>
    <w:p w14:paraId="750154F4" w14:textId="77777777" w:rsidR="009B1B9F" w:rsidRPr="00AA163F" w:rsidRDefault="00AB5366" w:rsidP="009B1B9F">
      <w:pPr>
        <w:widowControl/>
        <w:pBdr>
          <w:top w:val="nil"/>
          <w:left w:val="nil"/>
          <w:bottom w:val="nil"/>
          <w:right w:val="nil"/>
          <w:between w:val="nil"/>
        </w:pBdr>
        <w:spacing w:before="200" w:after="80"/>
        <w:rPr>
          <w:color w:val="000000" w:themeColor="text1"/>
        </w:rPr>
      </w:pPr>
      <w:r w:rsidRPr="00AA163F">
        <w:rPr>
          <w:color w:val="000000" w:themeColor="text1"/>
        </w:rPr>
        <w:t xml:space="preserve">Unexpended funds from these sources, and any other unexpended </w:t>
      </w:r>
      <w:r w:rsidR="002404CB" w:rsidRPr="00AA163F">
        <w:rPr>
          <w:color w:val="000000" w:themeColor="text1"/>
        </w:rPr>
        <w:t xml:space="preserve">and unrestricted </w:t>
      </w:r>
      <w:r w:rsidRPr="00AA163F">
        <w:rPr>
          <w:color w:val="000000" w:themeColor="text1"/>
        </w:rPr>
        <w:t>funds must be included in the surplus determination.</w:t>
      </w:r>
      <w:r w:rsidR="00F74E16" w:rsidRPr="00AA163F">
        <w:rPr>
          <w:color w:val="000000" w:themeColor="text1"/>
        </w:rPr>
        <w:t xml:space="preserve"> </w:t>
      </w:r>
    </w:p>
    <w:p w14:paraId="4F2507F4" w14:textId="5BC96FFD" w:rsidR="009B1B9F" w:rsidRPr="00AA163F" w:rsidRDefault="009B1B9F" w:rsidP="009B1B9F">
      <w:pPr>
        <w:widowControl/>
        <w:pBdr>
          <w:top w:val="nil"/>
          <w:left w:val="nil"/>
          <w:bottom w:val="nil"/>
          <w:right w:val="nil"/>
          <w:between w:val="nil"/>
        </w:pBdr>
        <w:spacing w:before="200" w:after="80"/>
        <w:rPr>
          <w:color w:val="000000" w:themeColor="text1"/>
        </w:rPr>
      </w:pPr>
      <w:r w:rsidRPr="00AA163F">
        <w:rPr>
          <w:color w:val="000000" w:themeColor="text1"/>
        </w:rPr>
        <w:t xml:space="preserve">For the purpose of determining surplus, the following balances </w:t>
      </w:r>
      <w:r w:rsidR="00781BE2" w:rsidRPr="00AA163F">
        <w:rPr>
          <w:color w:val="000000" w:themeColor="text1"/>
        </w:rPr>
        <w:t xml:space="preserve">are not considered </w:t>
      </w:r>
      <w:r w:rsidR="003756F7" w:rsidRPr="00AA163F">
        <w:rPr>
          <w:color w:val="000000" w:themeColor="text1"/>
        </w:rPr>
        <w:t xml:space="preserve">to be general funds and are </w:t>
      </w:r>
      <w:r w:rsidRPr="00AA163F">
        <w:rPr>
          <w:color w:val="000000" w:themeColor="text1"/>
        </w:rPr>
        <w:t>not included in the determination of surplus at the end of a fiscal year:</w:t>
      </w:r>
    </w:p>
    <w:p w14:paraId="710411D6" w14:textId="63AFD44E" w:rsidR="009B1B9F" w:rsidRPr="00AA163F" w:rsidRDefault="00F74E16" w:rsidP="009B1B9F">
      <w:pPr>
        <w:pStyle w:val="ListParagraph"/>
        <w:widowControl/>
        <w:numPr>
          <w:ilvl w:val="0"/>
          <w:numId w:val="7"/>
        </w:numPr>
        <w:pBdr>
          <w:top w:val="nil"/>
          <w:left w:val="nil"/>
          <w:bottom w:val="nil"/>
          <w:right w:val="nil"/>
          <w:between w:val="nil"/>
        </w:pBdr>
        <w:spacing w:before="200" w:after="80"/>
        <w:rPr>
          <w:color w:val="000000" w:themeColor="text1"/>
        </w:rPr>
      </w:pPr>
      <w:r w:rsidRPr="00AA163F">
        <w:rPr>
          <w:color w:val="000000" w:themeColor="text1"/>
        </w:rPr>
        <w:t xml:space="preserve">Grant funds, </w:t>
      </w:r>
      <w:r w:rsidR="00AB3301" w:rsidRPr="00AA163F">
        <w:rPr>
          <w:color w:val="000000" w:themeColor="text1"/>
        </w:rPr>
        <w:t xml:space="preserve">irrevocable </w:t>
      </w:r>
      <w:r w:rsidRPr="00AA163F">
        <w:rPr>
          <w:color w:val="000000" w:themeColor="text1"/>
        </w:rPr>
        <w:t>trust funds</w:t>
      </w:r>
      <w:r w:rsidR="00A57AFF" w:rsidRPr="00AA163F">
        <w:rPr>
          <w:color w:val="000000" w:themeColor="text1"/>
        </w:rPr>
        <w:t>, capi</w:t>
      </w:r>
      <w:r w:rsidR="00F972D0" w:rsidRPr="00AA163F">
        <w:rPr>
          <w:color w:val="000000" w:themeColor="text1"/>
        </w:rPr>
        <w:t>tal</w:t>
      </w:r>
      <w:r w:rsidR="003307F0" w:rsidRPr="00AA163F">
        <w:rPr>
          <w:color w:val="000000" w:themeColor="text1"/>
        </w:rPr>
        <w:t xml:space="preserve"> reserve</w:t>
      </w:r>
      <w:r w:rsidRPr="00AA163F">
        <w:rPr>
          <w:color w:val="000000" w:themeColor="text1"/>
        </w:rPr>
        <w:t xml:space="preserve"> and other funds that contain specific requirements</w:t>
      </w:r>
      <w:r w:rsidR="009B1B9F" w:rsidRPr="00AA163F">
        <w:rPr>
          <w:color w:val="000000" w:themeColor="text1"/>
        </w:rPr>
        <w:t>.</w:t>
      </w:r>
    </w:p>
    <w:p w14:paraId="5A059C7E" w14:textId="5EC971C1" w:rsidR="009B1B9F" w:rsidRPr="00AA163F" w:rsidRDefault="009B1B9F" w:rsidP="00DF7E26">
      <w:pPr>
        <w:pStyle w:val="ListParagraph"/>
        <w:widowControl/>
        <w:numPr>
          <w:ilvl w:val="0"/>
          <w:numId w:val="7"/>
        </w:numPr>
        <w:pBdr>
          <w:top w:val="nil"/>
          <w:left w:val="nil"/>
          <w:bottom w:val="nil"/>
          <w:right w:val="nil"/>
          <w:between w:val="nil"/>
        </w:pBdr>
        <w:spacing w:before="200" w:after="80"/>
        <w:rPr>
          <w:color w:val="000000" w:themeColor="text1"/>
        </w:rPr>
      </w:pPr>
      <w:r w:rsidRPr="00AA163F">
        <w:rPr>
          <w:color w:val="000000" w:themeColor="text1"/>
        </w:rPr>
        <w:t xml:space="preserve">Funds prepaid to the collaborative by a school district for the next year’s tuition or services for students, as is permitted by M.G.L. c. 40, § 4E, are considered encumbered for the upcoming school year for a specific purpose and are not included in the determination of the collaborative’s surplus. </w:t>
      </w:r>
    </w:p>
    <w:p w14:paraId="4A59A176" w14:textId="4DEC702F" w:rsidR="000676BA" w:rsidRPr="00AA163F" w:rsidRDefault="000676BA" w:rsidP="000676BA">
      <w:pPr>
        <w:widowControl/>
        <w:pBdr>
          <w:top w:val="nil"/>
          <w:left w:val="nil"/>
          <w:bottom w:val="nil"/>
          <w:right w:val="nil"/>
          <w:between w:val="nil"/>
        </w:pBdr>
        <w:spacing w:before="200" w:after="80"/>
        <w:rPr>
          <w:color w:val="000000" w:themeColor="text1"/>
        </w:rPr>
      </w:pPr>
      <w:r w:rsidRPr="00AA163F">
        <w:rPr>
          <w:color w:val="000000" w:themeColor="text1"/>
        </w:rPr>
        <w:t>All other funds to support the general purpose of the collaborative, and not restricted to a specific purpose by condition</w:t>
      </w:r>
      <w:r w:rsidR="00EB26E6" w:rsidRPr="00AA163F">
        <w:rPr>
          <w:color w:val="000000" w:themeColor="text1"/>
        </w:rPr>
        <w:t>,</w:t>
      </w:r>
      <w:r w:rsidRPr="00AA163F">
        <w:rPr>
          <w:color w:val="000000" w:themeColor="text1"/>
        </w:rPr>
        <w:t xml:space="preserve"> are considered general funds. </w:t>
      </w:r>
      <w:r w:rsidRPr="00AA163F">
        <w:rPr>
          <w:b/>
          <w:bCs/>
          <w:color w:val="000000" w:themeColor="text1"/>
        </w:rPr>
        <w:t xml:space="preserve">Unexpended general funds </w:t>
      </w:r>
      <w:r w:rsidR="00FC787C" w:rsidRPr="00AA163F">
        <w:rPr>
          <w:b/>
          <w:bCs/>
          <w:color w:val="000000" w:themeColor="text1"/>
        </w:rPr>
        <w:t xml:space="preserve">remaining </w:t>
      </w:r>
      <w:r w:rsidRPr="00AA163F">
        <w:rPr>
          <w:b/>
          <w:bCs/>
          <w:color w:val="000000" w:themeColor="text1"/>
        </w:rPr>
        <w:t xml:space="preserve">in the collaborative’s budget at the end of a fiscal year constitute the fiscal year’s </w:t>
      </w:r>
      <w:r w:rsidR="00542605" w:rsidRPr="00AA163F">
        <w:rPr>
          <w:b/>
          <w:bCs/>
          <w:color w:val="000000" w:themeColor="text1"/>
        </w:rPr>
        <w:t>surplus.</w:t>
      </w:r>
      <w:r w:rsidR="00542605" w:rsidRPr="00AA163F">
        <w:rPr>
          <w:color w:val="000000" w:themeColor="text1"/>
        </w:rPr>
        <w:t xml:space="preserve"> Collaboratives</w:t>
      </w:r>
      <w:r w:rsidR="00955F36" w:rsidRPr="00AA163F">
        <w:rPr>
          <w:color w:val="000000" w:themeColor="text1"/>
        </w:rPr>
        <w:t xml:space="preserve"> must determine this annual surplus, prior to determining cumulative surplus.  </w:t>
      </w:r>
    </w:p>
    <w:p w14:paraId="233A7587" w14:textId="77777777" w:rsidR="00993A7B" w:rsidRPr="00AA163F" w:rsidRDefault="00993A7B" w:rsidP="00993A7B">
      <w:pPr>
        <w:widowControl/>
        <w:pBdr>
          <w:top w:val="nil"/>
          <w:left w:val="nil"/>
          <w:bottom w:val="nil"/>
          <w:right w:val="nil"/>
          <w:between w:val="nil"/>
        </w:pBdr>
        <w:spacing w:before="200"/>
        <w:rPr>
          <w:b/>
          <w:color w:val="000000" w:themeColor="text1"/>
        </w:rPr>
      </w:pPr>
      <w:r w:rsidRPr="00AA163F">
        <w:rPr>
          <w:b/>
          <w:color w:val="000000" w:themeColor="text1"/>
        </w:rPr>
        <w:t xml:space="preserve">Determination of Cumulative Surplus </w:t>
      </w:r>
    </w:p>
    <w:p w14:paraId="30FF3B16" w14:textId="3FF6A2B1" w:rsidR="0010263A" w:rsidRPr="00AA163F" w:rsidRDefault="009D7CC2" w:rsidP="00993A7B">
      <w:pPr>
        <w:widowControl/>
        <w:pBdr>
          <w:top w:val="nil"/>
          <w:left w:val="nil"/>
          <w:bottom w:val="nil"/>
          <w:right w:val="nil"/>
          <w:between w:val="nil"/>
        </w:pBdr>
        <w:spacing w:after="200"/>
        <w:rPr>
          <w:color w:val="000000" w:themeColor="text1"/>
        </w:rPr>
      </w:pPr>
      <w:r w:rsidRPr="00AA163F">
        <w:rPr>
          <w:color w:val="000000" w:themeColor="text1"/>
        </w:rPr>
        <w:t>As defined by regulation, c</w:t>
      </w:r>
      <w:r w:rsidR="0010263A" w:rsidRPr="00AA163F">
        <w:rPr>
          <w:color w:val="000000" w:themeColor="text1"/>
        </w:rPr>
        <w:t>umulative surplus is derived by adding prior year</w:t>
      </w:r>
      <w:r w:rsidR="00810A8C" w:rsidRPr="00AA163F">
        <w:rPr>
          <w:color w:val="000000" w:themeColor="text1"/>
        </w:rPr>
        <w:t>s’</w:t>
      </w:r>
      <w:r w:rsidR="0010263A" w:rsidRPr="00AA163F">
        <w:rPr>
          <w:color w:val="000000" w:themeColor="text1"/>
        </w:rPr>
        <w:t xml:space="preserve"> surplus funds to the current year surplus funds. </w:t>
      </w:r>
    </w:p>
    <w:p w14:paraId="14BB906A" w14:textId="5B581D85" w:rsidR="00993A7B" w:rsidRPr="00AA163F" w:rsidRDefault="00993A7B" w:rsidP="00993A7B">
      <w:pPr>
        <w:widowControl/>
        <w:pBdr>
          <w:top w:val="nil"/>
          <w:left w:val="nil"/>
          <w:bottom w:val="nil"/>
          <w:right w:val="nil"/>
          <w:between w:val="nil"/>
        </w:pBdr>
        <w:spacing w:after="200"/>
        <w:rPr>
          <w:color w:val="000000" w:themeColor="text1"/>
        </w:rPr>
      </w:pPr>
      <w:r w:rsidRPr="00AA163F">
        <w:rPr>
          <w:color w:val="000000" w:themeColor="text1"/>
        </w:rPr>
        <w:t xml:space="preserve">As required by statute and regulation, each board shall annually discuss </w:t>
      </w:r>
      <w:r w:rsidR="00F74E16" w:rsidRPr="00AA163F">
        <w:rPr>
          <w:color w:val="000000" w:themeColor="text1"/>
        </w:rPr>
        <w:t xml:space="preserve">and </w:t>
      </w:r>
      <w:r w:rsidRPr="00AA163F">
        <w:rPr>
          <w:color w:val="000000" w:themeColor="text1"/>
        </w:rPr>
        <w:t>vote to accept the collaborative’s annual independent audit (audit) and any supplementary materials. Upon presentation and acceptance of the audit the fiscal year surplus is added to any retained prior years’ surplus to create the cumulative surplus.</w:t>
      </w:r>
      <w:r w:rsidR="002F18E7" w:rsidRPr="00AA163F">
        <w:rPr>
          <w:color w:val="000000" w:themeColor="text1"/>
        </w:rPr>
        <w:t xml:space="preserve"> Following board approval of the annual independent audit report and designation of the cumulative surplus, the collaborative must submit the audit to the Department of Elementary and Secondary Education and other appropriate state agencies by January 1 of each year.  </w:t>
      </w:r>
      <w:r w:rsidRPr="00AA163F">
        <w:rPr>
          <w:color w:val="000000" w:themeColor="text1"/>
        </w:rPr>
        <w:t xml:space="preserve"> </w:t>
      </w:r>
    </w:p>
    <w:p w14:paraId="5C7EA5F0" w14:textId="7CE8BAE6" w:rsidR="00056A0A" w:rsidRPr="00AA163F" w:rsidRDefault="00955F36" w:rsidP="00056A0A">
      <w:pPr>
        <w:widowControl/>
        <w:pBdr>
          <w:top w:val="nil"/>
          <w:left w:val="nil"/>
          <w:bottom w:val="nil"/>
          <w:right w:val="nil"/>
          <w:between w:val="nil"/>
        </w:pBdr>
        <w:spacing w:before="200" w:after="200"/>
        <w:rPr>
          <w:color w:val="000000" w:themeColor="text1"/>
        </w:rPr>
      </w:pPr>
      <w:r w:rsidRPr="00AA163F">
        <w:rPr>
          <w:color w:val="000000" w:themeColor="text1"/>
        </w:rPr>
        <w:t>Once the audit is accepted, t</w:t>
      </w:r>
      <w:r w:rsidR="00993A7B" w:rsidRPr="00AA163F">
        <w:rPr>
          <w:color w:val="000000" w:themeColor="text1"/>
        </w:rPr>
        <w:t>he collaborative board must consult the collaborative agreement for how and under what conditions cumulative surplus funds may be</w:t>
      </w:r>
      <w:r w:rsidR="003924D9" w:rsidRPr="00AA163F">
        <w:rPr>
          <w:color w:val="000000" w:themeColor="text1"/>
        </w:rPr>
        <w:t>:</w:t>
      </w:r>
    </w:p>
    <w:p w14:paraId="24DD170D" w14:textId="77777777" w:rsidR="00056A0A" w:rsidRPr="00AA163F" w:rsidRDefault="00993A7B" w:rsidP="00056A0A">
      <w:pPr>
        <w:pStyle w:val="ListParagraph"/>
        <w:widowControl/>
        <w:numPr>
          <w:ilvl w:val="0"/>
          <w:numId w:val="6"/>
        </w:numPr>
        <w:pBdr>
          <w:top w:val="nil"/>
          <w:left w:val="nil"/>
          <w:bottom w:val="nil"/>
          <w:right w:val="nil"/>
          <w:between w:val="nil"/>
        </w:pBdr>
        <w:spacing w:before="200" w:after="200"/>
        <w:rPr>
          <w:color w:val="000000" w:themeColor="text1"/>
        </w:rPr>
      </w:pPr>
      <w:r w:rsidRPr="00AA163F">
        <w:rPr>
          <w:color w:val="000000" w:themeColor="text1"/>
        </w:rPr>
        <w:t>used to</w:t>
      </w:r>
      <w:r w:rsidR="00E72BC9" w:rsidRPr="00AA163F">
        <w:rPr>
          <w:color w:val="000000" w:themeColor="text1"/>
        </w:rPr>
        <w:t xml:space="preserve"> support the approved budget</w:t>
      </w:r>
      <w:r w:rsidR="00384F18" w:rsidRPr="00AA163F">
        <w:rPr>
          <w:color w:val="000000" w:themeColor="text1"/>
        </w:rPr>
        <w:t>;</w:t>
      </w:r>
      <w:r w:rsidRPr="00AA163F">
        <w:rPr>
          <w:color w:val="000000" w:themeColor="text1"/>
        </w:rPr>
        <w:t xml:space="preserve"> </w:t>
      </w:r>
    </w:p>
    <w:p w14:paraId="735D1383" w14:textId="77777777" w:rsidR="00056A0A" w:rsidRPr="00AA163F" w:rsidRDefault="00993A7B" w:rsidP="00056A0A">
      <w:pPr>
        <w:pStyle w:val="ListParagraph"/>
        <w:widowControl/>
        <w:numPr>
          <w:ilvl w:val="0"/>
          <w:numId w:val="6"/>
        </w:numPr>
        <w:pBdr>
          <w:top w:val="nil"/>
          <w:left w:val="nil"/>
          <w:bottom w:val="nil"/>
          <w:right w:val="nil"/>
          <w:between w:val="nil"/>
        </w:pBdr>
        <w:spacing w:before="200" w:after="200"/>
        <w:rPr>
          <w:color w:val="000000" w:themeColor="text1"/>
        </w:rPr>
      </w:pPr>
      <w:r w:rsidRPr="00AA163F">
        <w:rPr>
          <w:color w:val="000000" w:themeColor="text1"/>
        </w:rPr>
        <w:t>returned to member districts</w:t>
      </w:r>
      <w:r w:rsidR="00384F18" w:rsidRPr="00AA163F">
        <w:rPr>
          <w:color w:val="000000" w:themeColor="text1"/>
        </w:rPr>
        <w:t>;</w:t>
      </w:r>
      <w:r w:rsidRPr="00AA163F">
        <w:rPr>
          <w:color w:val="000000" w:themeColor="text1"/>
        </w:rPr>
        <w:t xml:space="preserve"> or </w:t>
      </w:r>
    </w:p>
    <w:p w14:paraId="4420DB6D" w14:textId="77777777" w:rsidR="00056A0A" w:rsidRPr="00AA163F" w:rsidRDefault="00993A7B" w:rsidP="00056A0A">
      <w:pPr>
        <w:pStyle w:val="ListParagraph"/>
        <w:widowControl/>
        <w:numPr>
          <w:ilvl w:val="0"/>
          <w:numId w:val="6"/>
        </w:numPr>
        <w:pBdr>
          <w:top w:val="nil"/>
          <w:left w:val="nil"/>
          <w:bottom w:val="nil"/>
          <w:right w:val="nil"/>
          <w:between w:val="nil"/>
        </w:pBdr>
        <w:spacing w:before="200" w:after="200"/>
        <w:rPr>
          <w:color w:val="000000" w:themeColor="text1"/>
        </w:rPr>
      </w:pPr>
      <w:r w:rsidRPr="00AA163F">
        <w:rPr>
          <w:color w:val="000000" w:themeColor="text1"/>
        </w:rPr>
        <w:t xml:space="preserve">credited to support collaborative programs and services offered to member districts. </w:t>
      </w:r>
    </w:p>
    <w:p w14:paraId="7A9FFA36" w14:textId="07571107" w:rsidR="00993A7B" w:rsidRPr="00AA163F" w:rsidRDefault="002D2B4E" w:rsidP="00056A0A">
      <w:pPr>
        <w:widowControl/>
        <w:pBdr>
          <w:top w:val="nil"/>
          <w:left w:val="nil"/>
          <w:bottom w:val="nil"/>
          <w:right w:val="nil"/>
          <w:between w:val="nil"/>
        </w:pBdr>
        <w:spacing w:before="200" w:after="200"/>
        <w:rPr>
          <w:color w:val="000000" w:themeColor="text1"/>
        </w:rPr>
      </w:pPr>
      <w:r w:rsidRPr="00AA163F">
        <w:rPr>
          <w:color w:val="000000" w:themeColor="text1"/>
        </w:rPr>
        <w:t>If the agreement</w:t>
      </w:r>
      <w:r w:rsidR="000E7103" w:rsidRPr="00AA163F">
        <w:rPr>
          <w:color w:val="000000" w:themeColor="text1"/>
        </w:rPr>
        <w:t xml:space="preserve"> contains</w:t>
      </w:r>
      <w:r w:rsidR="005F69EF" w:rsidRPr="00AA163F">
        <w:rPr>
          <w:color w:val="000000" w:themeColor="text1"/>
        </w:rPr>
        <w:t xml:space="preserve"> a board</w:t>
      </w:r>
      <w:r w:rsidR="009B1B9F" w:rsidRPr="00AA163F">
        <w:rPr>
          <w:color w:val="000000" w:themeColor="text1"/>
        </w:rPr>
        <w:t>-</w:t>
      </w:r>
      <w:r w:rsidR="005F69EF" w:rsidRPr="00AA163F">
        <w:rPr>
          <w:color w:val="000000" w:themeColor="text1"/>
        </w:rPr>
        <w:t xml:space="preserve">imposed limitation to the amount of cumulative surplus that is less than </w:t>
      </w:r>
      <w:r w:rsidR="00E805DC" w:rsidRPr="00AA163F">
        <w:rPr>
          <w:color w:val="000000" w:themeColor="text1"/>
        </w:rPr>
        <w:t>25 percent, t</w:t>
      </w:r>
      <w:r w:rsidR="00993A7B" w:rsidRPr="00AA163F">
        <w:rPr>
          <w:color w:val="000000" w:themeColor="text1"/>
        </w:rPr>
        <w:t>he board may</w:t>
      </w:r>
      <w:r w:rsidR="00E72BC9" w:rsidRPr="00AA163F">
        <w:rPr>
          <w:color w:val="000000" w:themeColor="text1"/>
        </w:rPr>
        <w:t xml:space="preserve"> </w:t>
      </w:r>
      <w:r w:rsidR="00993A7B" w:rsidRPr="00AA163F">
        <w:rPr>
          <w:color w:val="000000" w:themeColor="text1"/>
        </w:rPr>
        <w:t xml:space="preserve">vote to retain cumulative surplus funds within the </w:t>
      </w:r>
      <w:r w:rsidR="008E4DBF" w:rsidRPr="00AA163F">
        <w:rPr>
          <w:color w:val="000000" w:themeColor="text1"/>
        </w:rPr>
        <w:t>stated</w:t>
      </w:r>
      <w:r w:rsidR="0064793B" w:rsidRPr="00AA163F">
        <w:rPr>
          <w:color w:val="000000" w:themeColor="text1"/>
        </w:rPr>
        <w:t xml:space="preserve"> </w:t>
      </w:r>
      <w:r w:rsidR="00993A7B" w:rsidRPr="00AA163F">
        <w:rPr>
          <w:color w:val="000000" w:themeColor="text1"/>
        </w:rPr>
        <w:t>agreement limit for general use in budget planning by the collaborative.</w:t>
      </w:r>
    </w:p>
    <w:p w14:paraId="4133F41E" w14:textId="77777777" w:rsidR="00A34965" w:rsidRPr="00AA163F" w:rsidRDefault="00472059">
      <w:pPr>
        <w:rPr>
          <w:b/>
          <w:color w:val="000000" w:themeColor="text1"/>
        </w:rPr>
      </w:pPr>
      <w:r w:rsidRPr="00AA163F">
        <w:rPr>
          <w:b/>
          <w:color w:val="000000" w:themeColor="text1"/>
        </w:rPr>
        <w:t>Collaborative Budgets</w:t>
      </w:r>
    </w:p>
    <w:p w14:paraId="0128EE81" w14:textId="35F602BB" w:rsidR="00A34965" w:rsidRPr="00AA163F" w:rsidRDefault="00472059" w:rsidP="00A602DF">
      <w:pPr>
        <w:widowControl/>
        <w:pBdr>
          <w:top w:val="nil"/>
          <w:left w:val="nil"/>
          <w:bottom w:val="nil"/>
          <w:right w:val="nil"/>
          <w:between w:val="nil"/>
        </w:pBdr>
        <w:spacing w:before="80" w:after="200"/>
        <w:rPr>
          <w:color w:val="000000" w:themeColor="text1"/>
        </w:rPr>
      </w:pPr>
      <w:r w:rsidRPr="00AA163F">
        <w:rPr>
          <w:color w:val="000000" w:themeColor="text1"/>
        </w:rPr>
        <w:t xml:space="preserve">Each </w:t>
      </w:r>
      <w:r w:rsidR="00810A8C" w:rsidRPr="00AA163F">
        <w:rPr>
          <w:color w:val="000000" w:themeColor="text1"/>
        </w:rPr>
        <w:t>c</w:t>
      </w:r>
      <w:r w:rsidRPr="00AA163F">
        <w:rPr>
          <w:color w:val="000000" w:themeColor="text1"/>
        </w:rPr>
        <w:t xml:space="preserve">ollaborative board must annually propose and approve a budget for the upcoming fiscal year. </w:t>
      </w:r>
      <w:r w:rsidR="003470AC" w:rsidRPr="00AA163F">
        <w:rPr>
          <w:color w:val="000000" w:themeColor="text1"/>
        </w:rPr>
        <w:t xml:space="preserve">Proposed budgets must be discussed at a public meeting of the collaborative board, with written advanced notice provided to member districts. </w:t>
      </w:r>
      <w:r w:rsidR="00FC787C" w:rsidRPr="00AA163F">
        <w:rPr>
          <w:color w:val="000000" w:themeColor="text1"/>
        </w:rPr>
        <w:t xml:space="preserve">At least ten </w:t>
      </w:r>
      <w:r w:rsidR="003470AC" w:rsidRPr="00AA163F">
        <w:rPr>
          <w:color w:val="000000" w:themeColor="text1"/>
        </w:rPr>
        <w:t xml:space="preserve">working days after the budget is first proposed to the board, the board must hold a meeting and approve, by at least a majority vote, the </w:t>
      </w:r>
      <w:r w:rsidR="003470AC" w:rsidRPr="00AA163F">
        <w:rPr>
          <w:color w:val="000000" w:themeColor="text1"/>
        </w:rPr>
        <w:lastRenderedPageBreak/>
        <w:t xml:space="preserve">collaborative budget for the upcoming fiscal year. </w:t>
      </w:r>
      <w:r w:rsidRPr="00AA163F">
        <w:rPr>
          <w:color w:val="000000" w:themeColor="text1"/>
        </w:rPr>
        <w:t xml:space="preserve">Among other requirements, the board must follow the process outlined in the collaborative agreement for the development and approval of the budget (as well as the tuition rates, </w:t>
      </w:r>
      <w:r w:rsidR="00A26B92" w:rsidRPr="00AA163F">
        <w:rPr>
          <w:color w:val="000000" w:themeColor="text1"/>
        </w:rPr>
        <w:t xml:space="preserve">surcharges, </w:t>
      </w:r>
      <w:r w:rsidRPr="00AA163F">
        <w:rPr>
          <w:color w:val="000000" w:themeColor="text1"/>
        </w:rPr>
        <w:t xml:space="preserve">membership dues and fees-for-service). </w:t>
      </w:r>
      <w:r w:rsidR="008665E2" w:rsidRPr="00AA163F">
        <w:rPr>
          <w:color w:val="000000" w:themeColor="text1"/>
        </w:rPr>
        <w:t xml:space="preserve">The collaborative budget should reflect all planned financial activity, and certain expenditures and revenues must be segregated in the collaborative budget. </w:t>
      </w:r>
      <w:r w:rsidRPr="00AA163F">
        <w:rPr>
          <w:color w:val="000000" w:themeColor="text1"/>
        </w:rPr>
        <w:t xml:space="preserve">Board members have a fiduciary responsibly to monitor the budget throughout the year. </w:t>
      </w:r>
    </w:p>
    <w:p w14:paraId="50E6DBF6" w14:textId="77777777" w:rsidR="00A34965" w:rsidRPr="00AA163F" w:rsidRDefault="00472059">
      <w:pPr>
        <w:widowControl/>
        <w:pBdr>
          <w:top w:val="nil"/>
          <w:left w:val="nil"/>
          <w:bottom w:val="nil"/>
          <w:right w:val="nil"/>
          <w:between w:val="nil"/>
        </w:pBdr>
        <w:spacing w:before="200"/>
        <w:rPr>
          <w:b/>
          <w:color w:val="000000" w:themeColor="text1"/>
        </w:rPr>
      </w:pPr>
      <w:bookmarkStart w:id="1" w:name="_30j0zll" w:colFirst="0" w:colLast="0"/>
      <w:bookmarkEnd w:id="1"/>
      <w:r w:rsidRPr="00AA163F">
        <w:rPr>
          <w:b/>
          <w:color w:val="000000" w:themeColor="text1"/>
        </w:rPr>
        <w:t>Use of Cumulative Surplus in Budget Planning</w:t>
      </w:r>
    </w:p>
    <w:p w14:paraId="1524F1B5" w14:textId="50630FCD" w:rsidR="00955F36" w:rsidRPr="00AA163F" w:rsidRDefault="00472059">
      <w:pPr>
        <w:spacing w:after="200"/>
        <w:rPr>
          <w:color w:val="000000" w:themeColor="text1"/>
        </w:rPr>
      </w:pPr>
      <w:r w:rsidRPr="00AA163F">
        <w:rPr>
          <w:color w:val="000000" w:themeColor="text1"/>
        </w:rPr>
        <w:t>As outlined in 603 CMR 50.07</w:t>
      </w:r>
      <w:r w:rsidR="008A4FBE" w:rsidRPr="00AA163F">
        <w:rPr>
          <w:color w:val="000000" w:themeColor="text1"/>
        </w:rPr>
        <w:t>(9</w:t>
      </w:r>
      <w:r w:rsidRPr="00AA163F">
        <w:rPr>
          <w:color w:val="000000" w:themeColor="text1"/>
        </w:rPr>
        <w:t xml:space="preserve">), </w:t>
      </w:r>
      <w:r w:rsidR="00E87400" w:rsidRPr="00AA163F">
        <w:rPr>
          <w:color w:val="000000" w:themeColor="text1"/>
        </w:rPr>
        <w:t>a</w:t>
      </w:r>
      <w:r w:rsidR="00852668" w:rsidRPr="00AA163F">
        <w:rPr>
          <w:color w:val="000000" w:themeColor="text1"/>
        </w:rPr>
        <w:t>t the close of the fiscal year, unexpended general funds may be carried forward and used in subsequent budget cycles</w:t>
      </w:r>
      <w:r w:rsidR="00955F36" w:rsidRPr="00AA163F">
        <w:rPr>
          <w:color w:val="000000" w:themeColor="text1"/>
        </w:rPr>
        <w:t xml:space="preserve"> </w:t>
      </w:r>
      <w:r w:rsidRPr="00AA163F">
        <w:rPr>
          <w:color w:val="000000" w:themeColor="text1"/>
        </w:rPr>
        <w:t xml:space="preserve">up to the </w:t>
      </w:r>
      <w:r w:rsidR="00D615CD" w:rsidRPr="00AA163F">
        <w:rPr>
          <w:color w:val="000000" w:themeColor="text1"/>
        </w:rPr>
        <w:t xml:space="preserve">amount equal to or less than </w:t>
      </w:r>
      <w:r w:rsidRPr="00AA163F">
        <w:rPr>
          <w:color w:val="000000" w:themeColor="text1"/>
        </w:rPr>
        <w:t xml:space="preserve">25 percent </w:t>
      </w:r>
      <w:r w:rsidR="00A46A81" w:rsidRPr="00AA163F">
        <w:rPr>
          <w:color w:val="000000" w:themeColor="text1"/>
        </w:rPr>
        <w:t>of the audited fiscal year’s general fund expenditures</w:t>
      </w:r>
      <w:r w:rsidR="00F45ECA" w:rsidRPr="00AA163F">
        <w:rPr>
          <w:color w:val="000000" w:themeColor="text1"/>
        </w:rPr>
        <w:t>.</w:t>
      </w:r>
      <w:r w:rsidRPr="00AA163F">
        <w:rPr>
          <w:color w:val="000000" w:themeColor="text1"/>
        </w:rPr>
        <w:t xml:space="preserve"> The board, in accordance with the collaborative agreement and all relevant laws, may use these funds to</w:t>
      </w:r>
      <w:r w:rsidR="004C4D7D" w:rsidRPr="00AA163F">
        <w:rPr>
          <w:color w:val="000000" w:themeColor="text1"/>
        </w:rPr>
        <w:t>:</w:t>
      </w:r>
    </w:p>
    <w:p w14:paraId="406531F4" w14:textId="55CDFB2A" w:rsidR="00955F36" w:rsidRPr="00AA163F" w:rsidRDefault="00472059" w:rsidP="00955F36">
      <w:pPr>
        <w:pStyle w:val="ListParagraph"/>
        <w:numPr>
          <w:ilvl w:val="0"/>
          <w:numId w:val="8"/>
        </w:numPr>
        <w:spacing w:after="200"/>
        <w:rPr>
          <w:color w:val="000000" w:themeColor="text1"/>
        </w:rPr>
      </w:pPr>
      <w:r w:rsidRPr="00AA163F">
        <w:rPr>
          <w:color w:val="000000" w:themeColor="text1"/>
        </w:rPr>
        <w:t>support any budgeted item, including creating a new program or service</w:t>
      </w:r>
      <w:r w:rsidR="0075188E">
        <w:rPr>
          <w:color w:val="000000" w:themeColor="text1"/>
        </w:rPr>
        <w:t>;</w:t>
      </w:r>
    </w:p>
    <w:p w14:paraId="0BF34695" w14:textId="5A294CC1" w:rsidR="00955F36" w:rsidRPr="00AA163F" w:rsidRDefault="00472059" w:rsidP="00955F36">
      <w:pPr>
        <w:pStyle w:val="ListParagraph"/>
        <w:numPr>
          <w:ilvl w:val="0"/>
          <w:numId w:val="8"/>
        </w:numPr>
        <w:spacing w:after="200"/>
        <w:rPr>
          <w:color w:val="000000" w:themeColor="text1"/>
        </w:rPr>
      </w:pPr>
      <w:r w:rsidRPr="00AA163F">
        <w:rPr>
          <w:color w:val="000000" w:themeColor="text1"/>
        </w:rPr>
        <w:t>enhanc</w:t>
      </w:r>
      <w:r w:rsidR="00955F36" w:rsidRPr="00AA163F">
        <w:rPr>
          <w:color w:val="000000" w:themeColor="text1"/>
        </w:rPr>
        <w:t>e</w:t>
      </w:r>
      <w:r w:rsidRPr="00AA163F">
        <w:rPr>
          <w:color w:val="000000" w:themeColor="text1"/>
        </w:rPr>
        <w:t xml:space="preserve"> an existing program or service</w:t>
      </w:r>
      <w:r w:rsidR="0075188E">
        <w:rPr>
          <w:color w:val="000000" w:themeColor="text1"/>
        </w:rPr>
        <w:t>;</w:t>
      </w:r>
      <w:r w:rsidRPr="00AA163F">
        <w:rPr>
          <w:color w:val="000000" w:themeColor="text1"/>
        </w:rPr>
        <w:t xml:space="preserve"> </w:t>
      </w:r>
    </w:p>
    <w:p w14:paraId="1D753B0B" w14:textId="7D72616D" w:rsidR="00C04F5F" w:rsidRPr="00AA163F" w:rsidRDefault="00472059" w:rsidP="00955F36">
      <w:pPr>
        <w:pStyle w:val="ListParagraph"/>
        <w:numPr>
          <w:ilvl w:val="0"/>
          <w:numId w:val="8"/>
        </w:numPr>
        <w:spacing w:after="200"/>
        <w:rPr>
          <w:color w:val="000000" w:themeColor="text1"/>
        </w:rPr>
      </w:pPr>
      <w:r w:rsidRPr="00AA163F">
        <w:rPr>
          <w:color w:val="000000" w:themeColor="text1"/>
        </w:rPr>
        <w:t>support an unexpected expense</w:t>
      </w:r>
      <w:r w:rsidR="0075188E">
        <w:rPr>
          <w:color w:val="000000" w:themeColor="text1"/>
        </w:rPr>
        <w:t>;</w:t>
      </w:r>
      <w:r w:rsidRPr="00AA163F">
        <w:rPr>
          <w:color w:val="000000" w:themeColor="text1"/>
        </w:rPr>
        <w:t xml:space="preserve"> </w:t>
      </w:r>
    </w:p>
    <w:p w14:paraId="7AA156C3" w14:textId="28108038" w:rsidR="00C04F5F" w:rsidRPr="00AA163F" w:rsidRDefault="00472059" w:rsidP="00955F36">
      <w:pPr>
        <w:pStyle w:val="ListParagraph"/>
        <w:numPr>
          <w:ilvl w:val="0"/>
          <w:numId w:val="8"/>
        </w:numPr>
        <w:spacing w:after="200"/>
        <w:rPr>
          <w:color w:val="000000" w:themeColor="text1"/>
        </w:rPr>
      </w:pPr>
      <w:r w:rsidRPr="00AA163F">
        <w:rPr>
          <w:color w:val="000000" w:themeColor="text1"/>
        </w:rPr>
        <w:t>stabiliz</w:t>
      </w:r>
      <w:r w:rsidR="00C04F5F" w:rsidRPr="00AA163F">
        <w:rPr>
          <w:color w:val="000000" w:themeColor="text1"/>
        </w:rPr>
        <w:t>e</w:t>
      </w:r>
      <w:r w:rsidRPr="00AA163F">
        <w:rPr>
          <w:color w:val="000000" w:themeColor="text1"/>
        </w:rPr>
        <w:t xml:space="preserve"> tuitions</w:t>
      </w:r>
      <w:r w:rsidR="0075188E">
        <w:rPr>
          <w:color w:val="000000" w:themeColor="text1"/>
        </w:rPr>
        <w:t>;</w:t>
      </w:r>
    </w:p>
    <w:p w14:paraId="79E61C40" w14:textId="1C13B44B" w:rsidR="00C04F5F" w:rsidRPr="00AA163F" w:rsidRDefault="00472059" w:rsidP="00955F36">
      <w:pPr>
        <w:pStyle w:val="ListParagraph"/>
        <w:numPr>
          <w:ilvl w:val="0"/>
          <w:numId w:val="8"/>
        </w:numPr>
        <w:spacing w:after="200"/>
        <w:rPr>
          <w:color w:val="000000" w:themeColor="text1"/>
        </w:rPr>
      </w:pPr>
      <w:r w:rsidRPr="00AA163F">
        <w:rPr>
          <w:color w:val="000000" w:themeColor="text1"/>
        </w:rPr>
        <w:t>support a contingency line-item</w:t>
      </w:r>
      <w:r w:rsidR="0075188E">
        <w:rPr>
          <w:color w:val="000000" w:themeColor="text1"/>
        </w:rPr>
        <w:t>;</w:t>
      </w:r>
    </w:p>
    <w:p w14:paraId="471E0CFC" w14:textId="3AF873D1" w:rsidR="00C04F5F" w:rsidRPr="00AA163F" w:rsidRDefault="00472059" w:rsidP="00955F36">
      <w:pPr>
        <w:pStyle w:val="ListParagraph"/>
        <w:numPr>
          <w:ilvl w:val="0"/>
          <w:numId w:val="8"/>
        </w:numPr>
        <w:spacing w:after="200"/>
        <w:rPr>
          <w:color w:val="000000" w:themeColor="text1"/>
        </w:rPr>
      </w:pPr>
      <w:r w:rsidRPr="00AA163F">
        <w:rPr>
          <w:color w:val="000000" w:themeColor="text1"/>
        </w:rPr>
        <w:t>refund</w:t>
      </w:r>
      <w:r w:rsidR="006D0F70" w:rsidRPr="00AA163F">
        <w:rPr>
          <w:color w:val="000000" w:themeColor="text1"/>
        </w:rPr>
        <w:t xml:space="preserve"> </w:t>
      </w:r>
      <w:r w:rsidRPr="00AA163F">
        <w:rPr>
          <w:color w:val="000000" w:themeColor="text1"/>
        </w:rPr>
        <w:t>member districts</w:t>
      </w:r>
      <w:r w:rsidR="0075188E">
        <w:rPr>
          <w:color w:val="000000" w:themeColor="text1"/>
        </w:rPr>
        <w:t>;</w:t>
      </w:r>
      <w:r w:rsidRPr="00AA163F">
        <w:rPr>
          <w:color w:val="000000" w:themeColor="text1"/>
        </w:rPr>
        <w:t xml:space="preserve"> </w:t>
      </w:r>
      <w:r w:rsidR="0075188E">
        <w:rPr>
          <w:color w:val="000000" w:themeColor="text1"/>
        </w:rPr>
        <w:t>and/</w:t>
      </w:r>
      <w:r w:rsidRPr="00AA163F">
        <w:rPr>
          <w:color w:val="000000" w:themeColor="text1"/>
        </w:rPr>
        <w:t xml:space="preserve">or </w:t>
      </w:r>
    </w:p>
    <w:p w14:paraId="439157D1" w14:textId="687FF935" w:rsidR="00A34965" w:rsidRPr="00AA163F" w:rsidRDefault="00472059" w:rsidP="004C4D7D">
      <w:pPr>
        <w:pStyle w:val="ListParagraph"/>
        <w:numPr>
          <w:ilvl w:val="0"/>
          <w:numId w:val="8"/>
        </w:numPr>
        <w:spacing w:after="200"/>
        <w:rPr>
          <w:color w:val="000000" w:themeColor="text1"/>
        </w:rPr>
      </w:pPr>
      <w:r w:rsidRPr="00AA163F">
        <w:rPr>
          <w:color w:val="000000" w:themeColor="text1"/>
        </w:rPr>
        <w:t>suppor</w:t>
      </w:r>
      <w:r w:rsidR="00C04F5F" w:rsidRPr="00AA163F">
        <w:rPr>
          <w:color w:val="000000" w:themeColor="text1"/>
        </w:rPr>
        <w:t>t</w:t>
      </w:r>
      <w:r w:rsidR="006D0F70" w:rsidRPr="00AA163F">
        <w:rPr>
          <w:color w:val="000000" w:themeColor="text1"/>
        </w:rPr>
        <w:t xml:space="preserve"> </w:t>
      </w:r>
      <w:r w:rsidRPr="00AA163F">
        <w:rPr>
          <w:color w:val="000000" w:themeColor="text1"/>
        </w:rPr>
        <w:t xml:space="preserve">deposits into to a reserved or irrevocable trust. </w:t>
      </w:r>
    </w:p>
    <w:p w14:paraId="275E1775" w14:textId="77777777" w:rsidR="0011437D" w:rsidRPr="00AA163F" w:rsidRDefault="00472059" w:rsidP="00060A9C">
      <w:pPr>
        <w:widowControl/>
        <w:pBdr>
          <w:top w:val="nil"/>
          <w:left w:val="nil"/>
          <w:bottom w:val="nil"/>
          <w:right w:val="nil"/>
          <w:between w:val="nil"/>
        </w:pBdr>
        <w:spacing w:before="200" w:after="80"/>
        <w:rPr>
          <w:color w:val="000000" w:themeColor="text1"/>
        </w:rPr>
      </w:pPr>
      <w:r w:rsidRPr="00AA163F">
        <w:rPr>
          <w:color w:val="000000" w:themeColor="text1"/>
        </w:rPr>
        <w:t xml:space="preserve">All expenditures in a collaborative budget must have sufficient revenues to support the expenditures.  If the collaborative board votes to use cumulative surplus to support planned expenditures in the approved budget or in a budget amendment, </w:t>
      </w:r>
      <w:r w:rsidR="00056A0A" w:rsidRPr="00AA163F">
        <w:rPr>
          <w:color w:val="000000" w:themeColor="text1"/>
        </w:rPr>
        <w:t>these surplus funds should be identified as a revenue source in the budget and</w:t>
      </w:r>
      <w:r w:rsidR="00A80521" w:rsidRPr="00AA163F">
        <w:rPr>
          <w:color w:val="000000" w:themeColor="text1"/>
        </w:rPr>
        <w:t xml:space="preserve"> included in the budget information provided to </w:t>
      </w:r>
      <w:r w:rsidRPr="00AA163F">
        <w:rPr>
          <w:color w:val="000000" w:themeColor="text1"/>
        </w:rPr>
        <w:t>the member districts</w:t>
      </w:r>
      <w:r w:rsidR="00E10AA5" w:rsidRPr="00AA163F">
        <w:rPr>
          <w:color w:val="000000" w:themeColor="text1"/>
        </w:rPr>
        <w:t>.</w:t>
      </w:r>
      <w:r w:rsidR="00060A9C" w:rsidRPr="00AA163F">
        <w:rPr>
          <w:color w:val="000000" w:themeColor="text1"/>
        </w:rPr>
        <w:t xml:space="preserve"> </w:t>
      </w:r>
    </w:p>
    <w:p w14:paraId="2A2CFD53" w14:textId="2B036D89" w:rsidR="00060A9C" w:rsidRPr="00AA163F" w:rsidRDefault="00060A9C" w:rsidP="009E48FA">
      <w:pPr>
        <w:widowControl/>
        <w:pBdr>
          <w:top w:val="nil"/>
          <w:left w:val="nil"/>
          <w:bottom w:val="nil"/>
          <w:right w:val="nil"/>
          <w:between w:val="nil"/>
        </w:pBdr>
        <w:spacing w:before="200" w:after="80"/>
        <w:rPr>
          <w:color w:val="000000" w:themeColor="text1"/>
        </w:rPr>
      </w:pPr>
      <w:r w:rsidRPr="00AA163F">
        <w:rPr>
          <w:color w:val="000000" w:themeColor="text1"/>
        </w:rPr>
        <w:t>Deposits to an approved capital reserve fund or deposits to a</w:t>
      </w:r>
      <w:r w:rsidR="00F01E9A" w:rsidRPr="00AA163F">
        <w:rPr>
          <w:color w:val="000000" w:themeColor="text1"/>
        </w:rPr>
        <w:t>n</w:t>
      </w:r>
      <w:r w:rsidR="00F34E4F" w:rsidRPr="00AA163F">
        <w:rPr>
          <w:color w:val="000000" w:themeColor="text1"/>
        </w:rPr>
        <w:t xml:space="preserve"> irrevocable</w:t>
      </w:r>
      <w:r w:rsidRPr="00AA163F">
        <w:rPr>
          <w:color w:val="000000" w:themeColor="text1"/>
        </w:rPr>
        <w:t xml:space="preserve"> trust </w:t>
      </w:r>
      <w:r w:rsidR="007C2A66" w:rsidRPr="00AA163F">
        <w:rPr>
          <w:color w:val="000000" w:themeColor="text1"/>
        </w:rPr>
        <w:t xml:space="preserve">fund </w:t>
      </w:r>
      <w:r w:rsidR="002E12B4" w:rsidRPr="00AA163F">
        <w:rPr>
          <w:color w:val="000000" w:themeColor="text1"/>
        </w:rPr>
        <w:t>for reti</w:t>
      </w:r>
      <w:r w:rsidR="003A2F11" w:rsidRPr="00AA163F">
        <w:rPr>
          <w:color w:val="000000" w:themeColor="text1"/>
        </w:rPr>
        <w:t xml:space="preserve">ree benefits </w:t>
      </w:r>
      <w:r w:rsidRPr="00AA163F">
        <w:rPr>
          <w:color w:val="000000" w:themeColor="text1"/>
        </w:rPr>
        <w:t xml:space="preserve">are considered </w:t>
      </w:r>
      <w:r w:rsidR="00BE7F25" w:rsidRPr="00AA163F">
        <w:rPr>
          <w:color w:val="000000" w:themeColor="text1"/>
        </w:rPr>
        <w:t>to be</w:t>
      </w:r>
      <w:r w:rsidR="0011437D" w:rsidRPr="00AA163F">
        <w:rPr>
          <w:color w:val="000000" w:themeColor="text1"/>
        </w:rPr>
        <w:t xml:space="preserve"> expenditure(s) in the fiscal year in which the deposit(s) are made.</w:t>
      </w:r>
      <w:r w:rsidRPr="00AA163F">
        <w:rPr>
          <w:color w:val="000000" w:themeColor="text1"/>
        </w:rPr>
        <w:t xml:space="preserve"> </w:t>
      </w:r>
    </w:p>
    <w:p w14:paraId="48E801CB" w14:textId="7DBA661F" w:rsidR="00A34965" w:rsidRPr="00AA163F" w:rsidRDefault="00472059">
      <w:pPr>
        <w:spacing w:after="80"/>
        <w:rPr>
          <w:color w:val="000000" w:themeColor="text1"/>
        </w:rPr>
      </w:pPr>
      <w:r w:rsidRPr="00AA163F">
        <w:rPr>
          <w:color w:val="000000" w:themeColor="text1"/>
        </w:rPr>
        <w:t xml:space="preserve">The collaborative board may transfer </w:t>
      </w:r>
      <w:r w:rsidR="00822628" w:rsidRPr="00AA163F">
        <w:rPr>
          <w:color w:val="000000" w:themeColor="text1"/>
        </w:rPr>
        <w:t xml:space="preserve">surplus </w:t>
      </w:r>
      <w:r w:rsidRPr="00AA163F">
        <w:rPr>
          <w:color w:val="000000" w:themeColor="text1"/>
        </w:rPr>
        <w:t>funds to a contingency line-item in a fiscal year’s budget for a reserve for extraordinary and unanticipated expenditures, however:</w:t>
      </w:r>
    </w:p>
    <w:p w14:paraId="0799A24A" w14:textId="77777777" w:rsidR="00A34965" w:rsidRPr="00AA163F" w:rsidRDefault="00472059" w:rsidP="00DB58F1">
      <w:pPr>
        <w:numPr>
          <w:ilvl w:val="1"/>
          <w:numId w:val="9"/>
        </w:numPr>
        <w:pBdr>
          <w:top w:val="nil"/>
          <w:left w:val="nil"/>
          <w:bottom w:val="nil"/>
          <w:right w:val="nil"/>
          <w:between w:val="nil"/>
        </w:pBdr>
        <w:ind w:left="810" w:hanging="450"/>
        <w:rPr>
          <w:color w:val="000000" w:themeColor="text1"/>
        </w:rPr>
      </w:pPr>
      <w:r w:rsidRPr="00AA163F">
        <w:rPr>
          <w:color w:val="000000" w:themeColor="text1"/>
        </w:rPr>
        <w:t>unexpended amounts in a contingency line-item will revert to surplus at the end of the fiscal year;</w:t>
      </w:r>
    </w:p>
    <w:p w14:paraId="3D4E4B16" w14:textId="70466D58" w:rsidR="00A34965" w:rsidRPr="00AA163F" w:rsidRDefault="00472059" w:rsidP="00DB58F1">
      <w:pPr>
        <w:numPr>
          <w:ilvl w:val="1"/>
          <w:numId w:val="9"/>
        </w:numPr>
        <w:pBdr>
          <w:top w:val="nil"/>
          <w:left w:val="nil"/>
          <w:bottom w:val="nil"/>
          <w:right w:val="nil"/>
          <w:between w:val="nil"/>
        </w:pBdr>
        <w:ind w:left="810" w:hanging="450"/>
        <w:rPr>
          <w:color w:val="000000" w:themeColor="text1"/>
        </w:rPr>
      </w:pPr>
      <w:r w:rsidRPr="00AA163F">
        <w:rPr>
          <w:color w:val="000000" w:themeColor="text1"/>
        </w:rPr>
        <w:t>funds in a contingency line-item may only be used if the collaborative board approves a line-item transfer to move funds to another line-item established for a planned expenditure or deposit</w:t>
      </w:r>
      <w:r w:rsidR="00A80521" w:rsidRPr="00AA163F">
        <w:rPr>
          <w:color w:val="000000" w:themeColor="text1"/>
        </w:rPr>
        <w:t xml:space="preserve">, </w:t>
      </w:r>
      <w:r w:rsidR="00150A67" w:rsidRPr="00AA163F">
        <w:rPr>
          <w:color w:val="000000" w:themeColor="text1"/>
        </w:rPr>
        <w:t>i.e.,</w:t>
      </w:r>
      <w:r w:rsidR="00A80521" w:rsidRPr="00AA163F">
        <w:rPr>
          <w:color w:val="000000" w:themeColor="text1"/>
        </w:rPr>
        <w:t xml:space="preserve"> expenditures may not be made directly from a contingency line item;</w:t>
      </w:r>
    </w:p>
    <w:p w14:paraId="7FA357B7" w14:textId="09D5BF75" w:rsidR="00A34965" w:rsidRPr="00AA163F" w:rsidRDefault="00472059" w:rsidP="00DB58F1">
      <w:pPr>
        <w:numPr>
          <w:ilvl w:val="1"/>
          <w:numId w:val="9"/>
        </w:numPr>
        <w:pBdr>
          <w:top w:val="nil"/>
          <w:left w:val="nil"/>
          <w:bottom w:val="nil"/>
          <w:right w:val="nil"/>
          <w:between w:val="nil"/>
        </w:pBdr>
        <w:spacing w:after="200"/>
        <w:ind w:left="810" w:hanging="450"/>
        <w:rPr>
          <w:color w:val="000000" w:themeColor="text1"/>
        </w:rPr>
      </w:pPr>
      <w:r w:rsidRPr="00AA163F">
        <w:rPr>
          <w:color w:val="000000" w:themeColor="text1"/>
        </w:rPr>
        <w:t xml:space="preserve">once funds are moved through a line-item transfer from a contingency line-item to a line-item that is restricted/reserved for a specific purpose (e.g., capital reserve, irrevocable trust, OPEB), they must remain in the restricted line-item as these funds cannot be reintroduced into the annual operating budget or revert to surplus. </w:t>
      </w:r>
    </w:p>
    <w:p w14:paraId="386907AF" w14:textId="77777777" w:rsidR="00A34965" w:rsidRPr="00AA163F" w:rsidRDefault="00472059">
      <w:pPr>
        <w:spacing w:before="200"/>
        <w:rPr>
          <w:b/>
          <w:color w:val="000000" w:themeColor="text1"/>
        </w:rPr>
      </w:pPr>
      <w:r w:rsidRPr="00AA163F">
        <w:rPr>
          <w:b/>
          <w:color w:val="000000" w:themeColor="text1"/>
        </w:rPr>
        <w:t>Budget Amendments</w:t>
      </w:r>
    </w:p>
    <w:p w14:paraId="30589653" w14:textId="39F2B313" w:rsidR="00A34965" w:rsidRPr="00AA163F" w:rsidRDefault="00472059">
      <w:pPr>
        <w:spacing w:after="200"/>
        <w:rPr>
          <w:color w:val="000000" w:themeColor="text1"/>
        </w:rPr>
      </w:pPr>
      <w:r w:rsidRPr="00AA163F">
        <w:rPr>
          <w:color w:val="000000" w:themeColor="text1"/>
        </w:rPr>
        <w:t>The board may elect</w:t>
      </w:r>
      <w:r w:rsidR="00954DB4" w:rsidRPr="00AA163F">
        <w:rPr>
          <w:color w:val="000000" w:themeColor="text1"/>
        </w:rPr>
        <w:t>,</w:t>
      </w:r>
      <w:r w:rsidRPr="00AA163F">
        <w:rPr>
          <w:color w:val="000000" w:themeColor="text1"/>
        </w:rPr>
        <w:t xml:space="preserve"> through a formal budget amendment, to amend its current year’s budget to reflect the use of cumulative surplus as a revenue source or to support subsequent budget cycles. The budget amendment must be approved by the collaborative board in accordance with the provisions of law, regulations, and the collaborative agreement. Increases or decreases to the budget, line-item changes or changes in the tuition or fee structure all constitute budget amendments and must be discussed and approved at an open meeting of the collaborative board.  </w:t>
      </w:r>
    </w:p>
    <w:p w14:paraId="2107A14C" w14:textId="39D399C6" w:rsidR="00331BA9" w:rsidRPr="00AA163F" w:rsidRDefault="00472059">
      <w:pPr>
        <w:spacing w:after="200"/>
        <w:rPr>
          <w:color w:val="000000" w:themeColor="text1"/>
        </w:rPr>
      </w:pPr>
      <w:r w:rsidRPr="00AA163F">
        <w:rPr>
          <w:color w:val="000000" w:themeColor="text1"/>
        </w:rPr>
        <w:lastRenderedPageBreak/>
        <w:t>Collaborative boards considering a budget amendment to use surplus or any other general funds</w:t>
      </w:r>
      <w:r w:rsidRPr="00AA163F">
        <w:rPr>
          <w:color w:val="000000" w:themeColor="text1"/>
          <w:u w:val="single"/>
        </w:rPr>
        <w:t xml:space="preserve"> </w:t>
      </w:r>
      <w:r w:rsidRPr="00AA163F">
        <w:rPr>
          <w:color w:val="000000" w:themeColor="text1"/>
        </w:rPr>
        <w:t>to increase their budget to support a deposit to an OPEB trust</w:t>
      </w:r>
      <w:r w:rsidR="0077636F" w:rsidRPr="00AA163F">
        <w:rPr>
          <w:color w:val="000000" w:themeColor="text1"/>
        </w:rPr>
        <w:t>,</w:t>
      </w:r>
      <w:r w:rsidR="00954DB4" w:rsidRPr="00AA163F">
        <w:rPr>
          <w:color w:val="000000" w:themeColor="text1"/>
        </w:rPr>
        <w:t xml:space="preserve"> </w:t>
      </w:r>
      <w:r w:rsidRPr="00AA163F">
        <w:rPr>
          <w:color w:val="000000" w:themeColor="text1"/>
        </w:rPr>
        <w:t xml:space="preserve">capital reserve </w:t>
      </w:r>
      <w:r w:rsidR="00A13233" w:rsidRPr="00AA163F">
        <w:rPr>
          <w:color w:val="000000" w:themeColor="text1"/>
        </w:rPr>
        <w:t xml:space="preserve">or an irrevocable trust </w:t>
      </w:r>
      <w:r w:rsidR="008E5986" w:rsidRPr="00AA163F">
        <w:rPr>
          <w:color w:val="000000" w:themeColor="text1"/>
        </w:rPr>
        <w:t xml:space="preserve">fund </w:t>
      </w:r>
      <w:r w:rsidR="00A13233" w:rsidRPr="00AA163F">
        <w:rPr>
          <w:color w:val="000000" w:themeColor="text1"/>
        </w:rPr>
        <w:t>for retiree benefits</w:t>
      </w:r>
      <w:r w:rsidR="00CF6D59" w:rsidRPr="00AA163F">
        <w:rPr>
          <w:color w:val="000000" w:themeColor="text1"/>
        </w:rPr>
        <w:t xml:space="preserve">, </w:t>
      </w:r>
      <w:r w:rsidRPr="00AA163F">
        <w:rPr>
          <w:color w:val="000000" w:themeColor="text1"/>
        </w:rPr>
        <w:t xml:space="preserve">should be aware that once these funds are earmarked for such a deposit, they </w:t>
      </w:r>
      <w:r w:rsidRPr="00AA163F">
        <w:rPr>
          <w:color w:val="000000" w:themeColor="text1"/>
          <w:u w:val="single"/>
        </w:rPr>
        <w:t>cannot be reintroduced</w:t>
      </w:r>
      <w:r w:rsidRPr="00AA163F">
        <w:rPr>
          <w:color w:val="000000" w:themeColor="text1"/>
        </w:rPr>
        <w:t xml:space="preserve"> into the annual operating budget or revert to surplus.</w:t>
      </w:r>
    </w:p>
    <w:p w14:paraId="75BE83E8" w14:textId="77777777" w:rsidR="00A34965" w:rsidRPr="00AA163F" w:rsidRDefault="00472059" w:rsidP="003154FF">
      <w:pPr>
        <w:rPr>
          <w:b/>
          <w:color w:val="000000" w:themeColor="text1"/>
        </w:rPr>
      </w:pPr>
      <w:r w:rsidRPr="00AA163F">
        <w:rPr>
          <w:b/>
          <w:color w:val="000000" w:themeColor="text1"/>
        </w:rPr>
        <w:t>Cumulative Surplus Funds in Excess of the Regulatory Limit</w:t>
      </w:r>
    </w:p>
    <w:p w14:paraId="28D74DC6" w14:textId="3D26F245" w:rsidR="00A34965" w:rsidRPr="00AA163F" w:rsidRDefault="007F5B2D">
      <w:pPr>
        <w:widowControl/>
        <w:spacing w:after="120"/>
        <w:ind w:right="115"/>
        <w:rPr>
          <w:color w:val="000000" w:themeColor="text1"/>
        </w:rPr>
      </w:pPr>
      <w:r w:rsidRPr="00AA163F">
        <w:rPr>
          <w:color w:val="000000" w:themeColor="text1"/>
        </w:rPr>
        <w:t>Cumulative</w:t>
      </w:r>
      <w:r w:rsidR="00472059" w:rsidRPr="00AA163F">
        <w:rPr>
          <w:color w:val="000000" w:themeColor="text1"/>
        </w:rPr>
        <w:t xml:space="preserve"> surplus funds in excess of the agreement limit or 25 percent </w:t>
      </w:r>
      <w:r w:rsidR="00C502AF" w:rsidRPr="00AA163F">
        <w:rPr>
          <w:color w:val="000000" w:themeColor="text1"/>
        </w:rPr>
        <w:t>of the audited year’s general fund expenditures</w:t>
      </w:r>
      <w:r w:rsidR="00352F31" w:rsidRPr="00AA163F">
        <w:rPr>
          <w:color w:val="000000" w:themeColor="text1"/>
        </w:rPr>
        <w:t xml:space="preserve">, </w:t>
      </w:r>
      <w:r w:rsidR="00472059" w:rsidRPr="00AA163F">
        <w:rPr>
          <w:color w:val="000000" w:themeColor="text1"/>
        </w:rPr>
        <w:t xml:space="preserve">must be returned or credited to member districts consistent </w:t>
      </w:r>
      <w:r w:rsidR="00E44941" w:rsidRPr="00AA163F">
        <w:rPr>
          <w:color w:val="000000" w:themeColor="text1"/>
        </w:rPr>
        <w:t>603 CMR 50.07(</w:t>
      </w:r>
      <w:r w:rsidR="008B218D" w:rsidRPr="00AA163F">
        <w:rPr>
          <w:color w:val="000000" w:themeColor="text1"/>
        </w:rPr>
        <w:t xml:space="preserve">9) and </w:t>
      </w:r>
      <w:r w:rsidR="00472059" w:rsidRPr="00AA163F">
        <w:rPr>
          <w:color w:val="000000" w:themeColor="text1"/>
        </w:rPr>
        <w:t>with the process outlined in the collaborative agreement and in the following ways:</w:t>
      </w:r>
    </w:p>
    <w:p w14:paraId="66CF6D62" w14:textId="3726671D" w:rsidR="00A34965" w:rsidRPr="00AA163F" w:rsidRDefault="00472059">
      <w:pPr>
        <w:widowControl/>
        <w:numPr>
          <w:ilvl w:val="0"/>
          <w:numId w:val="1"/>
        </w:numPr>
        <w:spacing w:before="80" w:after="80"/>
        <w:ind w:left="720" w:right="115"/>
        <w:rPr>
          <w:color w:val="000000" w:themeColor="text1"/>
        </w:rPr>
      </w:pPr>
      <w:r w:rsidRPr="005A0044">
        <w:rPr>
          <w:b/>
          <w:color w:val="000000" w:themeColor="text1"/>
          <w:u w:val="single"/>
        </w:rPr>
        <w:t>Credited</w:t>
      </w:r>
      <w:r w:rsidRPr="005A0044">
        <w:rPr>
          <w:bCs/>
          <w:color w:val="000000" w:themeColor="text1"/>
          <w:u w:val="single"/>
        </w:rPr>
        <w:t xml:space="preserve"> to member districts for tuition, services, et</w:t>
      </w:r>
      <w:r w:rsidRPr="005A0044">
        <w:rPr>
          <w:color w:val="000000" w:themeColor="text1"/>
          <w:u w:val="single"/>
        </w:rPr>
        <w:t>c</w:t>
      </w:r>
      <w:r w:rsidRPr="00AA163F">
        <w:rPr>
          <w:color w:val="000000" w:themeColor="text1"/>
        </w:rPr>
        <w:t xml:space="preserve">. </w:t>
      </w:r>
      <w:r w:rsidR="00B90660" w:rsidRPr="00AA163F">
        <w:rPr>
          <w:color w:val="000000" w:themeColor="text1"/>
        </w:rPr>
        <w:t>These credits</w:t>
      </w:r>
      <w:r w:rsidR="00B736E3" w:rsidRPr="00AA163F">
        <w:rPr>
          <w:color w:val="000000" w:themeColor="text1"/>
        </w:rPr>
        <w:t xml:space="preserve"> </w:t>
      </w:r>
      <w:r w:rsidRPr="00AA163F">
        <w:rPr>
          <w:color w:val="000000" w:themeColor="text1"/>
        </w:rPr>
        <w:t>must be used by the end of the fiscal year in which the vote is taken.</w:t>
      </w:r>
    </w:p>
    <w:p w14:paraId="3EA43B3E" w14:textId="72028C0A" w:rsidR="00A34965" w:rsidRPr="00AA163F" w:rsidRDefault="00472059">
      <w:pPr>
        <w:widowControl/>
        <w:numPr>
          <w:ilvl w:val="0"/>
          <w:numId w:val="1"/>
        </w:numPr>
        <w:spacing w:before="80" w:after="80"/>
        <w:ind w:left="720" w:right="115"/>
        <w:rPr>
          <w:color w:val="000000" w:themeColor="text1"/>
        </w:rPr>
      </w:pPr>
      <w:r w:rsidRPr="00AA163F">
        <w:rPr>
          <w:b/>
          <w:color w:val="000000" w:themeColor="text1"/>
          <w:u w:val="single"/>
        </w:rPr>
        <w:t>Deposited</w:t>
      </w:r>
      <w:r w:rsidRPr="00AA163F">
        <w:rPr>
          <w:color w:val="000000" w:themeColor="text1"/>
          <w:u w:val="single"/>
        </w:rPr>
        <w:t xml:space="preserve"> to an </w:t>
      </w:r>
      <w:r w:rsidR="00DA1F03" w:rsidRPr="00AA163F">
        <w:rPr>
          <w:color w:val="000000" w:themeColor="text1"/>
          <w:u w:val="single"/>
        </w:rPr>
        <w:t>irr</w:t>
      </w:r>
      <w:r w:rsidR="006B4D6B" w:rsidRPr="00AA163F">
        <w:rPr>
          <w:color w:val="000000" w:themeColor="text1"/>
          <w:u w:val="single"/>
        </w:rPr>
        <w:t>evocable</w:t>
      </w:r>
      <w:r w:rsidR="00DA1F03" w:rsidRPr="00AA163F">
        <w:rPr>
          <w:color w:val="000000" w:themeColor="text1"/>
          <w:u w:val="single"/>
        </w:rPr>
        <w:t xml:space="preserve"> </w:t>
      </w:r>
      <w:r w:rsidRPr="00AA163F">
        <w:rPr>
          <w:color w:val="000000" w:themeColor="text1"/>
          <w:u w:val="single"/>
        </w:rPr>
        <w:t>trust and/or reserve fund</w:t>
      </w:r>
      <w:r w:rsidR="002825E3" w:rsidRPr="00AA163F">
        <w:rPr>
          <w:color w:val="000000" w:themeColor="text1"/>
        </w:rPr>
        <w:t>.</w:t>
      </w:r>
      <w:r w:rsidR="00B736E3" w:rsidRPr="00AA163F">
        <w:rPr>
          <w:color w:val="000000" w:themeColor="text1"/>
        </w:rPr>
        <w:t xml:space="preserve"> </w:t>
      </w:r>
      <w:r w:rsidR="00630038" w:rsidRPr="00AA163F">
        <w:rPr>
          <w:color w:val="000000" w:themeColor="text1"/>
        </w:rPr>
        <w:t>These deposits</w:t>
      </w:r>
      <w:r w:rsidR="00674EC2" w:rsidRPr="00AA163F">
        <w:rPr>
          <w:color w:val="000000" w:themeColor="text1"/>
        </w:rPr>
        <w:t xml:space="preserve"> must be allocated</w:t>
      </w:r>
      <w:r w:rsidRPr="00AA163F">
        <w:rPr>
          <w:color w:val="000000" w:themeColor="text1"/>
        </w:rPr>
        <w:t xml:space="preserve"> </w:t>
      </w:r>
      <w:r w:rsidR="00674EC2" w:rsidRPr="00AA163F">
        <w:rPr>
          <w:color w:val="000000" w:themeColor="text1"/>
        </w:rPr>
        <w:t xml:space="preserve">by board vote </w:t>
      </w:r>
      <w:r w:rsidRPr="00AA163F">
        <w:rPr>
          <w:color w:val="000000" w:themeColor="text1"/>
        </w:rPr>
        <w:t xml:space="preserve">to an approved capital reserve fund and/or to </w:t>
      </w:r>
      <w:r w:rsidR="002367AD" w:rsidRPr="00AA163F">
        <w:rPr>
          <w:color w:val="000000" w:themeColor="text1"/>
        </w:rPr>
        <w:t>an irrevocable</w:t>
      </w:r>
      <w:r w:rsidRPr="00AA163F">
        <w:rPr>
          <w:color w:val="000000" w:themeColor="text1"/>
        </w:rPr>
        <w:t xml:space="preserve"> trust for retiree benefits. Once allocated, such funds are no longer available to the collaborative for any other purpose. Deposits must be made within 30 days after the vote of the collaborative board.</w:t>
      </w:r>
    </w:p>
    <w:p w14:paraId="1D351FD3" w14:textId="6F39B767" w:rsidR="00202817" w:rsidRPr="00AA163F" w:rsidRDefault="00472059" w:rsidP="00661BD2">
      <w:pPr>
        <w:widowControl/>
        <w:numPr>
          <w:ilvl w:val="0"/>
          <w:numId w:val="1"/>
        </w:numPr>
        <w:spacing w:after="80"/>
        <w:ind w:left="720" w:right="115"/>
        <w:rPr>
          <w:color w:val="000000" w:themeColor="text1"/>
        </w:rPr>
      </w:pPr>
      <w:r w:rsidRPr="00AA163F">
        <w:rPr>
          <w:b/>
          <w:color w:val="000000" w:themeColor="text1"/>
          <w:u w:val="single"/>
        </w:rPr>
        <w:t>Returned</w:t>
      </w:r>
      <w:r w:rsidRPr="00AA163F">
        <w:rPr>
          <w:color w:val="000000" w:themeColor="text1"/>
          <w:u w:val="single"/>
        </w:rPr>
        <w:t xml:space="preserve"> to the school districts/town</w:t>
      </w:r>
      <w:r w:rsidR="00CB48DF" w:rsidRPr="00AA163F">
        <w:rPr>
          <w:color w:val="000000" w:themeColor="text1"/>
          <w:u w:val="single"/>
        </w:rPr>
        <w:t>s</w:t>
      </w:r>
      <w:r w:rsidR="00CB48DF" w:rsidRPr="00AA163F">
        <w:rPr>
          <w:color w:val="000000" w:themeColor="text1"/>
        </w:rPr>
        <w:t>.</w:t>
      </w:r>
      <w:r w:rsidRPr="00AA163F">
        <w:rPr>
          <w:color w:val="000000" w:themeColor="text1"/>
        </w:rPr>
        <w:t xml:space="preserve"> </w:t>
      </w:r>
      <w:r w:rsidR="00CB48DF" w:rsidRPr="00AA163F">
        <w:rPr>
          <w:color w:val="000000" w:themeColor="text1"/>
        </w:rPr>
        <w:t>T</w:t>
      </w:r>
      <w:r w:rsidRPr="00AA163F">
        <w:rPr>
          <w:color w:val="000000" w:themeColor="text1"/>
        </w:rPr>
        <w:t>he collaborative board must follow the process as outlined in the collaborative agreement for returning surplus funds to member districts. The return of funds must be made within 30 days after the vote of the collaborative board.</w:t>
      </w:r>
    </w:p>
    <w:p w14:paraId="2A22BA53" w14:textId="268F8044" w:rsidR="00661BD2" w:rsidRPr="00AA163F" w:rsidRDefault="002C1361" w:rsidP="00ED4938">
      <w:pPr>
        <w:widowControl/>
        <w:spacing w:before="120" w:after="200"/>
        <w:ind w:right="115"/>
        <w:rPr>
          <w:color w:val="000000" w:themeColor="text1"/>
        </w:rPr>
      </w:pPr>
      <w:r>
        <w:rPr>
          <w:color w:val="000000" w:themeColor="text1"/>
        </w:rPr>
        <w:t xml:space="preserve">Collaborative </w:t>
      </w:r>
      <w:r w:rsidR="002817E5">
        <w:rPr>
          <w:color w:val="000000" w:themeColor="text1"/>
        </w:rPr>
        <w:t xml:space="preserve">boards </w:t>
      </w:r>
      <w:r w:rsidR="00776963">
        <w:rPr>
          <w:color w:val="000000" w:themeColor="text1"/>
        </w:rPr>
        <w:t>must use the c</w:t>
      </w:r>
      <w:r w:rsidR="000D538A">
        <w:rPr>
          <w:color w:val="000000" w:themeColor="text1"/>
        </w:rPr>
        <w:t xml:space="preserve">umulative surplus worksheet </w:t>
      </w:r>
      <w:r w:rsidR="00D01C55">
        <w:rPr>
          <w:color w:val="000000" w:themeColor="text1"/>
        </w:rPr>
        <w:t>on page 5 of this g</w:t>
      </w:r>
      <w:r w:rsidR="00B11C9F">
        <w:rPr>
          <w:color w:val="000000" w:themeColor="text1"/>
        </w:rPr>
        <w:t>uidance</w:t>
      </w:r>
      <w:r w:rsidR="00555D75">
        <w:rPr>
          <w:color w:val="000000" w:themeColor="text1"/>
        </w:rPr>
        <w:t xml:space="preserve"> to</w:t>
      </w:r>
      <w:r w:rsidR="00E22B3B">
        <w:rPr>
          <w:color w:val="000000" w:themeColor="text1"/>
        </w:rPr>
        <w:t xml:space="preserve"> assist with the</w:t>
      </w:r>
      <w:r w:rsidR="00555D75">
        <w:rPr>
          <w:color w:val="000000" w:themeColor="text1"/>
        </w:rPr>
        <w:t xml:space="preserve"> </w:t>
      </w:r>
      <w:r w:rsidR="00DF1394">
        <w:rPr>
          <w:color w:val="000000" w:themeColor="text1"/>
        </w:rPr>
        <w:t>determin</w:t>
      </w:r>
      <w:r w:rsidR="00D9248F">
        <w:rPr>
          <w:color w:val="000000" w:themeColor="text1"/>
        </w:rPr>
        <w:t xml:space="preserve">ation </w:t>
      </w:r>
      <w:r w:rsidR="00F900D5">
        <w:rPr>
          <w:color w:val="000000" w:themeColor="text1"/>
        </w:rPr>
        <w:t>of</w:t>
      </w:r>
      <w:r w:rsidR="00CD2031">
        <w:rPr>
          <w:color w:val="000000" w:themeColor="text1"/>
        </w:rPr>
        <w:t xml:space="preserve"> </w:t>
      </w:r>
      <w:r w:rsidR="003F307D" w:rsidRPr="00AA163F">
        <w:rPr>
          <w:color w:val="000000" w:themeColor="text1"/>
        </w:rPr>
        <w:t xml:space="preserve">the </w:t>
      </w:r>
      <w:r w:rsidR="007D11E0">
        <w:rPr>
          <w:color w:val="000000" w:themeColor="text1"/>
        </w:rPr>
        <w:t xml:space="preserve">collaborative’s </w:t>
      </w:r>
      <w:r w:rsidR="00B84098" w:rsidRPr="00AA163F">
        <w:rPr>
          <w:color w:val="000000" w:themeColor="text1"/>
        </w:rPr>
        <w:t xml:space="preserve">annual </w:t>
      </w:r>
      <w:r w:rsidR="003138F5" w:rsidRPr="00AA163F">
        <w:rPr>
          <w:color w:val="000000" w:themeColor="text1"/>
        </w:rPr>
        <w:t>cumulative surplus</w:t>
      </w:r>
      <w:r w:rsidR="00F93BDA">
        <w:rPr>
          <w:color w:val="000000" w:themeColor="text1"/>
        </w:rPr>
        <w:t>.  Addit</w:t>
      </w:r>
      <w:r w:rsidR="00B67CF8">
        <w:rPr>
          <w:color w:val="000000" w:themeColor="text1"/>
        </w:rPr>
        <w:t>ionally</w:t>
      </w:r>
      <w:r w:rsidR="004C2A85">
        <w:rPr>
          <w:color w:val="000000" w:themeColor="text1"/>
        </w:rPr>
        <w:t>, th</w:t>
      </w:r>
      <w:r w:rsidR="00902B22">
        <w:rPr>
          <w:color w:val="000000" w:themeColor="text1"/>
        </w:rPr>
        <w:t>is</w:t>
      </w:r>
      <w:r w:rsidR="004C2A85">
        <w:rPr>
          <w:color w:val="000000" w:themeColor="text1"/>
        </w:rPr>
        <w:t xml:space="preserve"> worksheet</w:t>
      </w:r>
      <w:r w:rsidR="008A5FE9">
        <w:rPr>
          <w:color w:val="000000" w:themeColor="text1"/>
        </w:rPr>
        <w:t xml:space="preserve"> </w:t>
      </w:r>
      <w:r w:rsidR="002C3245">
        <w:rPr>
          <w:color w:val="000000" w:themeColor="text1"/>
        </w:rPr>
        <w:t>articulat</w:t>
      </w:r>
      <w:r w:rsidR="00231834">
        <w:rPr>
          <w:color w:val="000000" w:themeColor="text1"/>
        </w:rPr>
        <w:t>e</w:t>
      </w:r>
      <w:r w:rsidR="008B7336">
        <w:rPr>
          <w:color w:val="000000" w:themeColor="text1"/>
        </w:rPr>
        <w:t>s</w:t>
      </w:r>
      <w:r w:rsidR="00C63352">
        <w:rPr>
          <w:color w:val="000000" w:themeColor="text1"/>
        </w:rPr>
        <w:t xml:space="preserve"> the permissible</w:t>
      </w:r>
      <w:r w:rsidR="008A6BE6">
        <w:rPr>
          <w:color w:val="000000" w:themeColor="text1"/>
        </w:rPr>
        <w:t xml:space="preserve"> uses of</w:t>
      </w:r>
      <w:r w:rsidR="002C3245">
        <w:rPr>
          <w:color w:val="000000" w:themeColor="text1"/>
        </w:rPr>
        <w:t xml:space="preserve"> </w:t>
      </w:r>
      <w:r w:rsidR="00A624DF" w:rsidRPr="00AA163F">
        <w:rPr>
          <w:color w:val="000000" w:themeColor="text1"/>
        </w:rPr>
        <w:t>cumulative surplus</w:t>
      </w:r>
      <w:r w:rsidR="000016FB">
        <w:rPr>
          <w:color w:val="000000" w:themeColor="text1"/>
        </w:rPr>
        <w:t xml:space="preserve"> in excess of the 25 percent limitation</w:t>
      </w:r>
      <w:r w:rsidR="00A624DF" w:rsidRPr="00AA163F">
        <w:rPr>
          <w:color w:val="000000" w:themeColor="text1"/>
        </w:rPr>
        <w:t>.</w:t>
      </w:r>
    </w:p>
    <w:p w14:paraId="3D18E2EC" w14:textId="77777777" w:rsidR="00A34965" w:rsidRPr="00AA163F" w:rsidRDefault="00472059">
      <w:pPr>
        <w:pStyle w:val="Heading1"/>
        <w:jc w:val="left"/>
        <w:rPr>
          <w:color w:val="000000" w:themeColor="text1"/>
        </w:rPr>
      </w:pPr>
      <w:r w:rsidRPr="00AA163F">
        <w:rPr>
          <w:color w:val="000000" w:themeColor="text1"/>
        </w:rPr>
        <w:t>Waiver Requests:</w:t>
      </w:r>
    </w:p>
    <w:p w14:paraId="280A50DA" w14:textId="23EC262D" w:rsidR="00392F8D" w:rsidRPr="00AA163F" w:rsidRDefault="00472059">
      <w:pPr>
        <w:rPr>
          <w:color w:val="000000"/>
        </w:rPr>
      </w:pPr>
      <w:r w:rsidRPr="00AA163F">
        <w:rPr>
          <w:color w:val="000000" w:themeColor="text1"/>
        </w:rPr>
        <w:t>Upon written request from a collaborative or member district, the commissioner may waive the applicability of provisions of 603 CMR 50.00. Written requests for waivers relative to surplus determinations should be submitted to the</w:t>
      </w:r>
      <w:r w:rsidR="00671FE4">
        <w:rPr>
          <w:color w:val="000000" w:themeColor="text1"/>
        </w:rPr>
        <w:t xml:space="preserve"> </w:t>
      </w:r>
      <w:hyperlink r:id="rId23" w:history="1">
        <w:r w:rsidR="00671FE4" w:rsidRPr="00276E09">
          <w:rPr>
            <w:rStyle w:val="Hyperlink"/>
          </w:rPr>
          <w:t>educationcollaborativeteam@mass.gov</w:t>
        </w:r>
      </w:hyperlink>
      <w:r w:rsidR="00671FE4">
        <w:rPr>
          <w:color w:val="000000" w:themeColor="text1"/>
        </w:rPr>
        <w:t>.</w:t>
      </w:r>
      <w:r w:rsidRPr="00AA163F">
        <w:rPr>
          <w:color w:val="000000" w:themeColor="text1"/>
        </w:rPr>
        <w:t xml:space="preserve"> </w:t>
      </w:r>
    </w:p>
    <w:p w14:paraId="74C14284" w14:textId="77777777" w:rsidR="00392F8D" w:rsidRPr="00AA163F" w:rsidRDefault="00392F8D">
      <w:pPr>
        <w:rPr>
          <w:color w:val="000000"/>
        </w:rPr>
      </w:pPr>
    </w:p>
    <w:p w14:paraId="38F53307" w14:textId="77777777" w:rsidR="00471EF4" w:rsidRPr="00AA163F" w:rsidRDefault="00471EF4">
      <w:pPr>
        <w:rPr>
          <w:color w:val="000000"/>
        </w:rPr>
      </w:pPr>
    </w:p>
    <w:bookmarkStart w:id="2" w:name="_MON_1687591540"/>
    <w:bookmarkEnd w:id="2"/>
    <w:p w14:paraId="2EB1188C" w14:textId="4457B66C" w:rsidR="00A20778" w:rsidRDefault="003D725C" w:rsidP="00807322">
      <w:pPr>
        <w:rPr>
          <w:b/>
          <w:bCs/>
          <w:color w:val="000000"/>
          <w:sz w:val="28"/>
          <w:szCs w:val="28"/>
        </w:rPr>
      </w:pPr>
      <w:r w:rsidRPr="00AA163F">
        <w:rPr>
          <w:color w:val="000000"/>
        </w:rPr>
        <w:object w:dxaOrig="11450" w:dyaOrig="14151" w14:anchorId="64A71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o activate the worksheet double click inside the table below, or right-click, then choose &quot;Open Worksheet Object.&quot; Enter the values and corresponding page numbers in the FY21 financial statements (FS) into the worksheet. Formulas have been embedded within certain fields, to assist with the calculation of the FY21 cumulative surplus and its corresponding percentage of the collaborative’s reported FY21 general fund expenditures. When completed, the worksheet should reflect the collaborative board's determination of surplus, and the assignment of any cumulative surplus, in excess of the 25 percent limitation, prior to uploading it to the ESE Security Portal along with the required FY21 Annual Independent Audit Report submission. All requested documents must be received no later than January 1, 2022." style="width:465.75pt;height:678pt" o:ole="">
            <v:imagedata r:id="rId24" o:title=""/>
          </v:shape>
          <o:OLEObject Type="Embed" ProgID="Excel.Sheet.12" ShapeID="_x0000_i1025" DrawAspect="Content" ObjectID="_1690729459" r:id="rId25"/>
        </w:object>
      </w:r>
    </w:p>
    <w:sectPr w:rsidR="00A20778" w:rsidSect="008D5E80">
      <w:footerReference w:type="default" r:id="rId26"/>
      <w:pgSz w:w="12240" w:h="15840"/>
      <w:pgMar w:top="1440" w:right="1008"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7EFD9" w14:textId="77777777" w:rsidR="00F401B8" w:rsidRDefault="00F401B8">
      <w:r>
        <w:separator/>
      </w:r>
    </w:p>
  </w:endnote>
  <w:endnote w:type="continuationSeparator" w:id="0">
    <w:p w14:paraId="46998212" w14:textId="77777777" w:rsidR="00F401B8" w:rsidRDefault="00F401B8">
      <w:r>
        <w:continuationSeparator/>
      </w:r>
    </w:p>
  </w:endnote>
  <w:endnote w:type="continuationNotice" w:id="1">
    <w:p w14:paraId="7DA60474" w14:textId="77777777" w:rsidR="00F401B8" w:rsidRDefault="00F40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86FAB" w14:textId="77777777" w:rsidR="00A34965" w:rsidRDefault="00A3496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22451" w14:textId="60D42F10" w:rsidR="00A34965" w:rsidRDefault="00A34965">
    <w:pPr>
      <w:pBdr>
        <w:top w:val="nil"/>
        <w:left w:val="nil"/>
        <w:bottom w:val="nil"/>
        <w:right w:val="nil"/>
        <w:between w:val="nil"/>
      </w:pBdr>
      <w:tabs>
        <w:tab w:val="center" w:pos="4680"/>
        <w:tab w:val="right" w:pos="9360"/>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99C0B" w14:textId="77777777" w:rsidR="00A34965" w:rsidRDefault="00A34965">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7510A" w14:textId="77777777" w:rsidR="008D5E80" w:rsidRDefault="008D5E80">
    <w:pPr>
      <w:pBdr>
        <w:top w:val="nil"/>
        <w:left w:val="nil"/>
        <w:bottom w:val="nil"/>
        <w:right w:val="nil"/>
        <w:between w:val="nil"/>
      </w:pBdr>
      <w:tabs>
        <w:tab w:val="center" w:pos="4680"/>
        <w:tab w:val="right" w:pos="9360"/>
      </w:tabs>
      <w:rPr>
        <w:color w:val="000000"/>
        <w:sz w:val="20"/>
        <w:szCs w:val="20"/>
      </w:rPr>
    </w:pPr>
    <w:r>
      <w:rPr>
        <w:color w:val="000000"/>
        <w:sz w:val="20"/>
        <w:szCs w:val="20"/>
      </w:rPr>
      <w:t>Collaboratives’ Use of Surplus Funds rev2021</w:t>
    </w:r>
    <w:r>
      <w:rPr>
        <w:color w:val="000000"/>
        <w:sz w:val="20"/>
        <w:szCs w:val="20"/>
      </w:rPr>
      <w:tab/>
    </w:r>
    <w:r>
      <w:rPr>
        <w:color w:val="000000"/>
        <w:sz w:val="20"/>
        <w:szCs w:val="20"/>
      </w:rPr>
      <w:tab/>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Pr>
        <w:noProof/>
        <w:color w:val="000000"/>
        <w:sz w:val="20"/>
        <w:szCs w:val="20"/>
      </w:rPr>
      <w:t>2</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6D394" w14:textId="77777777" w:rsidR="00F401B8" w:rsidRDefault="00F401B8">
      <w:r>
        <w:separator/>
      </w:r>
    </w:p>
  </w:footnote>
  <w:footnote w:type="continuationSeparator" w:id="0">
    <w:p w14:paraId="44E003EB" w14:textId="77777777" w:rsidR="00F401B8" w:rsidRDefault="00F401B8">
      <w:r>
        <w:continuationSeparator/>
      </w:r>
    </w:p>
  </w:footnote>
  <w:footnote w:type="continuationNotice" w:id="1">
    <w:p w14:paraId="538EB5BE" w14:textId="77777777" w:rsidR="00F401B8" w:rsidRDefault="00F401B8"/>
  </w:footnote>
  <w:footnote w:id="2">
    <w:p w14:paraId="7647137C" w14:textId="3B7BB478" w:rsidR="00670FEB" w:rsidRPr="00604768" w:rsidRDefault="00670FEB">
      <w:pPr>
        <w:pStyle w:val="FootnoteText"/>
      </w:pPr>
      <w:r w:rsidRPr="00324AD6">
        <w:rPr>
          <w:rStyle w:val="FootnoteReference"/>
          <w:color w:val="000000" w:themeColor="text1"/>
        </w:rPr>
        <w:footnoteRef/>
      </w:r>
      <w:r w:rsidR="00CF1DE4" w:rsidRPr="00324AD6">
        <w:rPr>
          <w:color w:val="000000" w:themeColor="text1"/>
        </w:rPr>
        <w:t xml:space="preserve"> </w:t>
      </w:r>
      <w:r w:rsidR="00543C7B" w:rsidRPr="00324AD6">
        <w:rPr>
          <w:b/>
          <w:bCs/>
          <w:color w:val="000000" w:themeColor="text1"/>
          <w:sz w:val="18"/>
          <w:szCs w:val="18"/>
        </w:rPr>
        <w:t>50.07</w:t>
      </w:r>
      <w:r w:rsidR="00CF1DE4" w:rsidRPr="00324AD6">
        <w:rPr>
          <w:b/>
          <w:bCs/>
          <w:color w:val="000000" w:themeColor="text1"/>
          <w:sz w:val="18"/>
          <w:szCs w:val="18"/>
        </w:rPr>
        <w:t>(</w:t>
      </w:r>
      <w:r w:rsidR="00543C7B" w:rsidRPr="00324AD6">
        <w:rPr>
          <w:b/>
          <w:bCs/>
          <w:color w:val="000000" w:themeColor="text1"/>
          <w:sz w:val="18"/>
          <w:szCs w:val="18"/>
        </w:rPr>
        <w:t>9) Limitation on Surplus Funds:</w:t>
      </w:r>
      <w:r w:rsidR="00543C7B" w:rsidRPr="00324AD6">
        <w:rPr>
          <w:color w:val="000000" w:themeColor="text1"/>
          <w:sz w:val="18"/>
          <w:szCs w:val="18"/>
        </w:rPr>
        <w:t xml:space="preserve"> At the close of the fiscal year, unexpended general funds may be carried forward and used in subsequent budget cycles. These unexpended general funds are determined to be the current surplus. Cumulative surplus is derived by adding prior year surplus funds to the current year surplus funds. The collaborative agreement shall include a limit on the amount of cumulative surplus funds that may be maintained by the collaborative. The collaborative board of directors shall annually approve by majority vote the dollar amount designated as cumulative surplus. The board of directors shall vote annually to retain the cumulative surplus funds for the collaborative's use or return all, or some portion, of the funds to the member districts. The collaborative agreement shall address how and under what conditions such surplus funds may be returned to member districts or credited to support programs and services offered to member districts and how such funds will be allocated to such member district(s) upon the withdrawal of a member district or the termination of the collaborative. The determination of surplus funds shall not include funds deposited in a capital reserve as provided for in 603 CMR 50.07(10), funds deposited in trust in accordance with M.G.L. c. 32B, § 20, or funds prepaid to the collaborative for tuition or services in accordance with M.G.L. c. 40, § 4E</w:t>
      </w:r>
      <w:r w:rsidR="00543C7B" w:rsidRPr="00F320EB">
        <w:rPr>
          <w:b/>
          <w:bCs/>
          <w:color w:val="000000" w:themeColor="text1"/>
          <w:sz w:val="18"/>
          <w:szCs w:val="18"/>
        </w:rPr>
        <w:t>. In no event shall such cumulative surplus funds exceed 25 percent of the previous fiscal year's general fund expenditures.</w:t>
      </w:r>
      <w:r w:rsidR="00604768">
        <w:rPr>
          <w:color w:val="000000" w:themeColor="text1"/>
          <w:sz w:val="18"/>
          <w:szCs w:val="18"/>
        </w:rPr>
        <w:t xml:space="preserve"> [Emphasis added]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2DE6A" w14:textId="392A7059" w:rsidR="00A34965" w:rsidRDefault="00A3496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7C319" w14:textId="2C24C6FF" w:rsidR="00A34965" w:rsidRDefault="00A3496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7D320" w14:textId="7A26AF92" w:rsidR="00A34965" w:rsidRDefault="00A34965">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C577C" w14:textId="18B21029" w:rsidR="00CD6ED3" w:rsidRDefault="00CD6E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033BB" w14:textId="0222B856" w:rsidR="00AA79CB" w:rsidRPr="00AA79CB" w:rsidRDefault="00AA79CB" w:rsidP="00AA79CB">
    <w:pPr>
      <w:pStyle w:val="Header"/>
      <w:rPr>
        <w:rFonts w:eastAsia="Calibr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F9C86" w14:textId="19F2F51D" w:rsidR="00CD6ED3" w:rsidRDefault="00CD6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7976"/>
    <w:multiLevelType w:val="hybridMultilevel"/>
    <w:tmpl w:val="D5CC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F5ECB"/>
    <w:multiLevelType w:val="multilevel"/>
    <w:tmpl w:val="CE26204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
      <w:lvlJc w:val="left"/>
      <w:pPr>
        <w:ind w:left="2520" w:hanging="360"/>
      </w:pPr>
      <w:rPr>
        <w:rFonts w:ascii="Symbol" w:hAnsi="Symbol" w:hint="default"/>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313D3FFB"/>
    <w:multiLevelType w:val="hybridMultilevel"/>
    <w:tmpl w:val="6F9E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E30D4D"/>
    <w:multiLevelType w:val="hybridMultilevel"/>
    <w:tmpl w:val="EBBAE80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15:restartNumberingAfterBreak="0">
    <w:nsid w:val="4F703DB0"/>
    <w:multiLevelType w:val="multilevel"/>
    <w:tmpl w:val="7638DC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5AAE0831"/>
    <w:multiLevelType w:val="hybridMultilevel"/>
    <w:tmpl w:val="BE6E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603BD0"/>
    <w:multiLevelType w:val="hybridMultilevel"/>
    <w:tmpl w:val="D380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A7DF3"/>
    <w:multiLevelType w:val="multilevel"/>
    <w:tmpl w:val="341ED2F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
      <w:lvlJc w:val="left"/>
      <w:pPr>
        <w:ind w:left="2520" w:hanging="360"/>
      </w:pPr>
      <w:rPr>
        <w:rFonts w:ascii="Noto Sans Symbols" w:eastAsia="Noto Sans Symbols" w:hAnsi="Noto Sans Symbols" w:cs="Noto Sans Symbols"/>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 w15:restartNumberingAfterBreak="0">
    <w:nsid w:val="76770523"/>
    <w:multiLevelType w:val="hybridMultilevel"/>
    <w:tmpl w:val="735E6C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7"/>
  </w:num>
  <w:num w:numId="3">
    <w:abstractNumId w:val="8"/>
  </w:num>
  <w:num w:numId="4">
    <w:abstractNumId w:val="6"/>
  </w:num>
  <w:num w:numId="5">
    <w:abstractNumId w:val="2"/>
  </w:num>
  <w:num w:numId="6">
    <w:abstractNumId w:val="0"/>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965"/>
    <w:rsid w:val="000016FB"/>
    <w:rsid w:val="00001729"/>
    <w:rsid w:val="00010532"/>
    <w:rsid w:val="000129CA"/>
    <w:rsid w:val="00014940"/>
    <w:rsid w:val="00021FFB"/>
    <w:rsid w:val="00030385"/>
    <w:rsid w:val="000425B1"/>
    <w:rsid w:val="00043AB2"/>
    <w:rsid w:val="00043CB4"/>
    <w:rsid w:val="00044FFC"/>
    <w:rsid w:val="00050A3C"/>
    <w:rsid w:val="00056A0A"/>
    <w:rsid w:val="00060A9C"/>
    <w:rsid w:val="000660F6"/>
    <w:rsid w:val="000676BA"/>
    <w:rsid w:val="00067A43"/>
    <w:rsid w:val="0007089E"/>
    <w:rsid w:val="00077029"/>
    <w:rsid w:val="0009124C"/>
    <w:rsid w:val="00095FD7"/>
    <w:rsid w:val="000A0DEF"/>
    <w:rsid w:val="000C09E4"/>
    <w:rsid w:val="000C23A7"/>
    <w:rsid w:val="000C353F"/>
    <w:rsid w:val="000C4C61"/>
    <w:rsid w:val="000C5EB1"/>
    <w:rsid w:val="000D3175"/>
    <w:rsid w:val="000D4A23"/>
    <w:rsid w:val="000D538A"/>
    <w:rsid w:val="000D647F"/>
    <w:rsid w:val="000E2214"/>
    <w:rsid w:val="000E7103"/>
    <w:rsid w:val="000F7977"/>
    <w:rsid w:val="0010263A"/>
    <w:rsid w:val="0011437D"/>
    <w:rsid w:val="001262AE"/>
    <w:rsid w:val="0012790C"/>
    <w:rsid w:val="001467F0"/>
    <w:rsid w:val="00150A67"/>
    <w:rsid w:val="00152219"/>
    <w:rsid w:val="00162F53"/>
    <w:rsid w:val="00164C3D"/>
    <w:rsid w:val="00164FCA"/>
    <w:rsid w:val="00181C1D"/>
    <w:rsid w:val="00182443"/>
    <w:rsid w:val="001A13D4"/>
    <w:rsid w:val="001A582B"/>
    <w:rsid w:val="001B3699"/>
    <w:rsid w:val="001B6245"/>
    <w:rsid w:val="001C5DF2"/>
    <w:rsid w:val="001C7B81"/>
    <w:rsid w:val="001D5CD5"/>
    <w:rsid w:val="001E2D8B"/>
    <w:rsid w:val="001E315A"/>
    <w:rsid w:val="001E4C5E"/>
    <w:rsid w:val="001E52FB"/>
    <w:rsid w:val="00202817"/>
    <w:rsid w:val="00206412"/>
    <w:rsid w:val="002073EE"/>
    <w:rsid w:val="00207A17"/>
    <w:rsid w:val="002128D1"/>
    <w:rsid w:val="00217923"/>
    <w:rsid w:val="00217B44"/>
    <w:rsid w:val="00227A97"/>
    <w:rsid w:val="00231550"/>
    <w:rsid w:val="00231834"/>
    <w:rsid w:val="002367AD"/>
    <w:rsid w:val="002368C7"/>
    <w:rsid w:val="002404CB"/>
    <w:rsid w:val="00240A09"/>
    <w:rsid w:val="00243C80"/>
    <w:rsid w:val="002644C5"/>
    <w:rsid w:val="002652DA"/>
    <w:rsid w:val="002764AE"/>
    <w:rsid w:val="00276A6A"/>
    <w:rsid w:val="00276E09"/>
    <w:rsid w:val="002773DE"/>
    <w:rsid w:val="002817E5"/>
    <w:rsid w:val="002825E3"/>
    <w:rsid w:val="00290536"/>
    <w:rsid w:val="00291D7D"/>
    <w:rsid w:val="00295E94"/>
    <w:rsid w:val="002A5C6E"/>
    <w:rsid w:val="002C087F"/>
    <w:rsid w:val="002C1361"/>
    <w:rsid w:val="002C3245"/>
    <w:rsid w:val="002D2B4E"/>
    <w:rsid w:val="002D4DFB"/>
    <w:rsid w:val="002E0918"/>
    <w:rsid w:val="002E1190"/>
    <w:rsid w:val="002E12B4"/>
    <w:rsid w:val="002E7684"/>
    <w:rsid w:val="002F1348"/>
    <w:rsid w:val="002F18E7"/>
    <w:rsid w:val="003138F5"/>
    <w:rsid w:val="00314A5A"/>
    <w:rsid w:val="003154FF"/>
    <w:rsid w:val="00315E17"/>
    <w:rsid w:val="00324A5F"/>
    <w:rsid w:val="00324AD6"/>
    <w:rsid w:val="003307F0"/>
    <w:rsid w:val="00331BA9"/>
    <w:rsid w:val="003470AC"/>
    <w:rsid w:val="00352F31"/>
    <w:rsid w:val="00354049"/>
    <w:rsid w:val="0036185C"/>
    <w:rsid w:val="00364449"/>
    <w:rsid w:val="00364D37"/>
    <w:rsid w:val="0036620B"/>
    <w:rsid w:val="00370417"/>
    <w:rsid w:val="00370876"/>
    <w:rsid w:val="003756F7"/>
    <w:rsid w:val="00382A1D"/>
    <w:rsid w:val="00384F18"/>
    <w:rsid w:val="003864FE"/>
    <w:rsid w:val="003924D9"/>
    <w:rsid w:val="00392F8D"/>
    <w:rsid w:val="003A2F11"/>
    <w:rsid w:val="003A3C64"/>
    <w:rsid w:val="003A7283"/>
    <w:rsid w:val="003A7777"/>
    <w:rsid w:val="003B012F"/>
    <w:rsid w:val="003D6AF0"/>
    <w:rsid w:val="003D725C"/>
    <w:rsid w:val="003F307D"/>
    <w:rsid w:val="00407C23"/>
    <w:rsid w:val="004132E7"/>
    <w:rsid w:val="0041508A"/>
    <w:rsid w:val="00417FAB"/>
    <w:rsid w:val="0042155C"/>
    <w:rsid w:val="00425D67"/>
    <w:rsid w:val="0043100E"/>
    <w:rsid w:val="00431797"/>
    <w:rsid w:val="004328CD"/>
    <w:rsid w:val="00434648"/>
    <w:rsid w:val="00435D82"/>
    <w:rsid w:val="0043732D"/>
    <w:rsid w:val="004424B3"/>
    <w:rsid w:val="00471EF4"/>
    <w:rsid w:val="00472059"/>
    <w:rsid w:val="00475CF9"/>
    <w:rsid w:val="00476EE4"/>
    <w:rsid w:val="00480280"/>
    <w:rsid w:val="004812E6"/>
    <w:rsid w:val="00481CFF"/>
    <w:rsid w:val="00484724"/>
    <w:rsid w:val="004865C7"/>
    <w:rsid w:val="0048677F"/>
    <w:rsid w:val="00487696"/>
    <w:rsid w:val="0049105B"/>
    <w:rsid w:val="004A1D75"/>
    <w:rsid w:val="004A1DCE"/>
    <w:rsid w:val="004A3866"/>
    <w:rsid w:val="004A7B79"/>
    <w:rsid w:val="004B1020"/>
    <w:rsid w:val="004C0A22"/>
    <w:rsid w:val="004C2A85"/>
    <w:rsid w:val="004C4725"/>
    <w:rsid w:val="004C4D7D"/>
    <w:rsid w:val="004C6A06"/>
    <w:rsid w:val="004E39CF"/>
    <w:rsid w:val="004E7FDC"/>
    <w:rsid w:val="005003F3"/>
    <w:rsid w:val="00505FD5"/>
    <w:rsid w:val="005200C3"/>
    <w:rsid w:val="00526B5B"/>
    <w:rsid w:val="0053298A"/>
    <w:rsid w:val="00533890"/>
    <w:rsid w:val="00534D6C"/>
    <w:rsid w:val="005371BA"/>
    <w:rsid w:val="00542605"/>
    <w:rsid w:val="00543C7B"/>
    <w:rsid w:val="00555D75"/>
    <w:rsid w:val="00566EF6"/>
    <w:rsid w:val="00571146"/>
    <w:rsid w:val="0057360D"/>
    <w:rsid w:val="00573E98"/>
    <w:rsid w:val="00580577"/>
    <w:rsid w:val="00581B43"/>
    <w:rsid w:val="00593314"/>
    <w:rsid w:val="005A0044"/>
    <w:rsid w:val="005A2CD3"/>
    <w:rsid w:val="005A37AC"/>
    <w:rsid w:val="005A3A63"/>
    <w:rsid w:val="005B74E2"/>
    <w:rsid w:val="005C4786"/>
    <w:rsid w:val="005C6B02"/>
    <w:rsid w:val="005C6D96"/>
    <w:rsid w:val="005C7473"/>
    <w:rsid w:val="005D2C63"/>
    <w:rsid w:val="005D6652"/>
    <w:rsid w:val="005D6E69"/>
    <w:rsid w:val="005E4CEE"/>
    <w:rsid w:val="005E7093"/>
    <w:rsid w:val="005F69EF"/>
    <w:rsid w:val="00601989"/>
    <w:rsid w:val="00604295"/>
    <w:rsid w:val="00604768"/>
    <w:rsid w:val="006068D0"/>
    <w:rsid w:val="00610E0B"/>
    <w:rsid w:val="00614343"/>
    <w:rsid w:val="0062616B"/>
    <w:rsid w:val="00630038"/>
    <w:rsid w:val="00631032"/>
    <w:rsid w:val="0063516A"/>
    <w:rsid w:val="0064793B"/>
    <w:rsid w:val="00651A64"/>
    <w:rsid w:val="00652FA4"/>
    <w:rsid w:val="00661BD2"/>
    <w:rsid w:val="00670814"/>
    <w:rsid w:val="00670FEB"/>
    <w:rsid w:val="00671FE4"/>
    <w:rsid w:val="00674EC2"/>
    <w:rsid w:val="0067505A"/>
    <w:rsid w:val="00682A9F"/>
    <w:rsid w:val="00690FCE"/>
    <w:rsid w:val="006A42AF"/>
    <w:rsid w:val="006B4073"/>
    <w:rsid w:val="006B4A95"/>
    <w:rsid w:val="006B4D6B"/>
    <w:rsid w:val="006C1944"/>
    <w:rsid w:val="006D0F70"/>
    <w:rsid w:val="006D1D16"/>
    <w:rsid w:val="006D424B"/>
    <w:rsid w:val="006D6889"/>
    <w:rsid w:val="006E06D1"/>
    <w:rsid w:val="006F227B"/>
    <w:rsid w:val="006F3807"/>
    <w:rsid w:val="006F789A"/>
    <w:rsid w:val="0073117B"/>
    <w:rsid w:val="00735E82"/>
    <w:rsid w:val="00735EF9"/>
    <w:rsid w:val="00743DEA"/>
    <w:rsid w:val="00743ED4"/>
    <w:rsid w:val="00744405"/>
    <w:rsid w:val="00745962"/>
    <w:rsid w:val="0075188E"/>
    <w:rsid w:val="007604A0"/>
    <w:rsid w:val="00761B8A"/>
    <w:rsid w:val="00767172"/>
    <w:rsid w:val="00771389"/>
    <w:rsid w:val="007719E5"/>
    <w:rsid w:val="00774728"/>
    <w:rsid w:val="0077636F"/>
    <w:rsid w:val="00776963"/>
    <w:rsid w:val="00781AB2"/>
    <w:rsid w:val="00781BE2"/>
    <w:rsid w:val="007B132E"/>
    <w:rsid w:val="007B4560"/>
    <w:rsid w:val="007C2A66"/>
    <w:rsid w:val="007C5DCB"/>
    <w:rsid w:val="007D11E0"/>
    <w:rsid w:val="007D3946"/>
    <w:rsid w:val="007D4AC4"/>
    <w:rsid w:val="007D557F"/>
    <w:rsid w:val="007D79E8"/>
    <w:rsid w:val="007E342F"/>
    <w:rsid w:val="007E5211"/>
    <w:rsid w:val="007E7645"/>
    <w:rsid w:val="007F5B2D"/>
    <w:rsid w:val="008001CA"/>
    <w:rsid w:val="008003F7"/>
    <w:rsid w:val="00804748"/>
    <w:rsid w:val="00807322"/>
    <w:rsid w:val="00810A8C"/>
    <w:rsid w:val="00816145"/>
    <w:rsid w:val="00822190"/>
    <w:rsid w:val="00822628"/>
    <w:rsid w:val="00823D23"/>
    <w:rsid w:val="0082632F"/>
    <w:rsid w:val="00846222"/>
    <w:rsid w:val="00852668"/>
    <w:rsid w:val="008541EB"/>
    <w:rsid w:val="0085481D"/>
    <w:rsid w:val="00864F5F"/>
    <w:rsid w:val="008665E2"/>
    <w:rsid w:val="008725AC"/>
    <w:rsid w:val="008771F7"/>
    <w:rsid w:val="00882651"/>
    <w:rsid w:val="00884A6C"/>
    <w:rsid w:val="00890B24"/>
    <w:rsid w:val="008932D6"/>
    <w:rsid w:val="00895CE0"/>
    <w:rsid w:val="008A4FBE"/>
    <w:rsid w:val="008A5FE9"/>
    <w:rsid w:val="008A6BE6"/>
    <w:rsid w:val="008B218D"/>
    <w:rsid w:val="008B28CD"/>
    <w:rsid w:val="008B7336"/>
    <w:rsid w:val="008C2FED"/>
    <w:rsid w:val="008C38BA"/>
    <w:rsid w:val="008C3C24"/>
    <w:rsid w:val="008D345F"/>
    <w:rsid w:val="008D500A"/>
    <w:rsid w:val="008D5E09"/>
    <w:rsid w:val="008D5E80"/>
    <w:rsid w:val="008D7EF9"/>
    <w:rsid w:val="008E4DBF"/>
    <w:rsid w:val="008E5227"/>
    <w:rsid w:val="008E5986"/>
    <w:rsid w:val="00900474"/>
    <w:rsid w:val="00902B22"/>
    <w:rsid w:val="00903213"/>
    <w:rsid w:val="0090524D"/>
    <w:rsid w:val="0092302C"/>
    <w:rsid w:val="00927003"/>
    <w:rsid w:val="0093186D"/>
    <w:rsid w:val="00947C07"/>
    <w:rsid w:val="0095199C"/>
    <w:rsid w:val="00953087"/>
    <w:rsid w:val="00954DB4"/>
    <w:rsid w:val="00955F36"/>
    <w:rsid w:val="009663DA"/>
    <w:rsid w:val="0097279C"/>
    <w:rsid w:val="00972B92"/>
    <w:rsid w:val="00974998"/>
    <w:rsid w:val="00980494"/>
    <w:rsid w:val="0098107E"/>
    <w:rsid w:val="00983A08"/>
    <w:rsid w:val="00986348"/>
    <w:rsid w:val="00987BB1"/>
    <w:rsid w:val="0099088E"/>
    <w:rsid w:val="009911CA"/>
    <w:rsid w:val="00993A7B"/>
    <w:rsid w:val="009961D0"/>
    <w:rsid w:val="009964C5"/>
    <w:rsid w:val="009B1B9F"/>
    <w:rsid w:val="009C082E"/>
    <w:rsid w:val="009D7CC2"/>
    <w:rsid w:val="009E3E8C"/>
    <w:rsid w:val="009E48FA"/>
    <w:rsid w:val="009E5D31"/>
    <w:rsid w:val="009E617D"/>
    <w:rsid w:val="009F4291"/>
    <w:rsid w:val="009F76BD"/>
    <w:rsid w:val="00A10AE7"/>
    <w:rsid w:val="00A13233"/>
    <w:rsid w:val="00A15E55"/>
    <w:rsid w:val="00A20778"/>
    <w:rsid w:val="00A26B92"/>
    <w:rsid w:val="00A26D4E"/>
    <w:rsid w:val="00A27D6E"/>
    <w:rsid w:val="00A32A97"/>
    <w:rsid w:val="00A33E8D"/>
    <w:rsid w:val="00A34965"/>
    <w:rsid w:val="00A34C5A"/>
    <w:rsid w:val="00A34EBC"/>
    <w:rsid w:val="00A3589E"/>
    <w:rsid w:val="00A42499"/>
    <w:rsid w:val="00A46A81"/>
    <w:rsid w:val="00A478BA"/>
    <w:rsid w:val="00A5257C"/>
    <w:rsid w:val="00A57AFF"/>
    <w:rsid w:val="00A602DF"/>
    <w:rsid w:val="00A624DF"/>
    <w:rsid w:val="00A63B94"/>
    <w:rsid w:val="00A7126C"/>
    <w:rsid w:val="00A73B89"/>
    <w:rsid w:val="00A74240"/>
    <w:rsid w:val="00A800A7"/>
    <w:rsid w:val="00A80521"/>
    <w:rsid w:val="00A96CCC"/>
    <w:rsid w:val="00AA163F"/>
    <w:rsid w:val="00AA17EF"/>
    <w:rsid w:val="00AA5B10"/>
    <w:rsid w:val="00AA79CB"/>
    <w:rsid w:val="00AB288A"/>
    <w:rsid w:val="00AB3301"/>
    <w:rsid w:val="00AB5366"/>
    <w:rsid w:val="00AB76EA"/>
    <w:rsid w:val="00AC1F9E"/>
    <w:rsid w:val="00AD60F2"/>
    <w:rsid w:val="00AF6881"/>
    <w:rsid w:val="00B010AC"/>
    <w:rsid w:val="00B034EE"/>
    <w:rsid w:val="00B03CBC"/>
    <w:rsid w:val="00B0711D"/>
    <w:rsid w:val="00B11C9F"/>
    <w:rsid w:val="00B12792"/>
    <w:rsid w:val="00B21ADC"/>
    <w:rsid w:val="00B27D85"/>
    <w:rsid w:val="00B40B53"/>
    <w:rsid w:val="00B412BA"/>
    <w:rsid w:val="00B50C3E"/>
    <w:rsid w:val="00B53109"/>
    <w:rsid w:val="00B55ECB"/>
    <w:rsid w:val="00B67CF8"/>
    <w:rsid w:val="00B72F7E"/>
    <w:rsid w:val="00B736E3"/>
    <w:rsid w:val="00B81DC0"/>
    <w:rsid w:val="00B82B40"/>
    <w:rsid w:val="00B84098"/>
    <w:rsid w:val="00B863DD"/>
    <w:rsid w:val="00B86E25"/>
    <w:rsid w:val="00B8781A"/>
    <w:rsid w:val="00B90660"/>
    <w:rsid w:val="00B933E8"/>
    <w:rsid w:val="00BA2820"/>
    <w:rsid w:val="00BB1F69"/>
    <w:rsid w:val="00BB3BF4"/>
    <w:rsid w:val="00BC19C2"/>
    <w:rsid w:val="00BC1FD3"/>
    <w:rsid w:val="00BD0DC3"/>
    <w:rsid w:val="00BD137D"/>
    <w:rsid w:val="00BE0D58"/>
    <w:rsid w:val="00BE4179"/>
    <w:rsid w:val="00BE7CBB"/>
    <w:rsid w:val="00BE7F25"/>
    <w:rsid w:val="00BF20F0"/>
    <w:rsid w:val="00BF474F"/>
    <w:rsid w:val="00C04F5F"/>
    <w:rsid w:val="00C055CC"/>
    <w:rsid w:val="00C14361"/>
    <w:rsid w:val="00C25EF8"/>
    <w:rsid w:val="00C30B52"/>
    <w:rsid w:val="00C332BC"/>
    <w:rsid w:val="00C42266"/>
    <w:rsid w:val="00C502AF"/>
    <w:rsid w:val="00C63352"/>
    <w:rsid w:val="00C74C3F"/>
    <w:rsid w:val="00C74E0A"/>
    <w:rsid w:val="00C755BB"/>
    <w:rsid w:val="00C77364"/>
    <w:rsid w:val="00C775D9"/>
    <w:rsid w:val="00C862FC"/>
    <w:rsid w:val="00C902B0"/>
    <w:rsid w:val="00C958FC"/>
    <w:rsid w:val="00C971D6"/>
    <w:rsid w:val="00CA097B"/>
    <w:rsid w:val="00CB4271"/>
    <w:rsid w:val="00CB48DF"/>
    <w:rsid w:val="00CC570A"/>
    <w:rsid w:val="00CC6CED"/>
    <w:rsid w:val="00CD2031"/>
    <w:rsid w:val="00CD6ED3"/>
    <w:rsid w:val="00CF1DE4"/>
    <w:rsid w:val="00CF3E03"/>
    <w:rsid w:val="00CF6D59"/>
    <w:rsid w:val="00D01C55"/>
    <w:rsid w:val="00D05943"/>
    <w:rsid w:val="00D06EBA"/>
    <w:rsid w:val="00D22B18"/>
    <w:rsid w:val="00D40CD1"/>
    <w:rsid w:val="00D43E64"/>
    <w:rsid w:val="00D45849"/>
    <w:rsid w:val="00D615CD"/>
    <w:rsid w:val="00D73B35"/>
    <w:rsid w:val="00D9248F"/>
    <w:rsid w:val="00D97B01"/>
    <w:rsid w:val="00DA0086"/>
    <w:rsid w:val="00DA1F03"/>
    <w:rsid w:val="00DA7F28"/>
    <w:rsid w:val="00DB0126"/>
    <w:rsid w:val="00DB58F1"/>
    <w:rsid w:val="00DC65CD"/>
    <w:rsid w:val="00DD2D41"/>
    <w:rsid w:val="00DD5D14"/>
    <w:rsid w:val="00DF1394"/>
    <w:rsid w:val="00DF1569"/>
    <w:rsid w:val="00DF7C2B"/>
    <w:rsid w:val="00DF7E26"/>
    <w:rsid w:val="00E030E7"/>
    <w:rsid w:val="00E06BD5"/>
    <w:rsid w:val="00E10AA5"/>
    <w:rsid w:val="00E133E3"/>
    <w:rsid w:val="00E22B3B"/>
    <w:rsid w:val="00E23A3C"/>
    <w:rsid w:val="00E340BD"/>
    <w:rsid w:val="00E44941"/>
    <w:rsid w:val="00E5154F"/>
    <w:rsid w:val="00E52ACA"/>
    <w:rsid w:val="00E57EF7"/>
    <w:rsid w:val="00E62959"/>
    <w:rsid w:val="00E716AC"/>
    <w:rsid w:val="00E71742"/>
    <w:rsid w:val="00E72BC9"/>
    <w:rsid w:val="00E757D8"/>
    <w:rsid w:val="00E76067"/>
    <w:rsid w:val="00E7761A"/>
    <w:rsid w:val="00E805DC"/>
    <w:rsid w:val="00E80623"/>
    <w:rsid w:val="00E87400"/>
    <w:rsid w:val="00E901BF"/>
    <w:rsid w:val="00E907E1"/>
    <w:rsid w:val="00EA08CF"/>
    <w:rsid w:val="00EA5D9A"/>
    <w:rsid w:val="00EA5E1A"/>
    <w:rsid w:val="00EA5F0D"/>
    <w:rsid w:val="00EA63DE"/>
    <w:rsid w:val="00EB26E6"/>
    <w:rsid w:val="00EB3942"/>
    <w:rsid w:val="00EB6B35"/>
    <w:rsid w:val="00EB7425"/>
    <w:rsid w:val="00EB7C03"/>
    <w:rsid w:val="00EC12A9"/>
    <w:rsid w:val="00EC56C4"/>
    <w:rsid w:val="00EC74B5"/>
    <w:rsid w:val="00ED26DE"/>
    <w:rsid w:val="00ED4938"/>
    <w:rsid w:val="00EE0D46"/>
    <w:rsid w:val="00EE1E55"/>
    <w:rsid w:val="00F01E9A"/>
    <w:rsid w:val="00F037BE"/>
    <w:rsid w:val="00F058C1"/>
    <w:rsid w:val="00F078F3"/>
    <w:rsid w:val="00F12465"/>
    <w:rsid w:val="00F1266E"/>
    <w:rsid w:val="00F26334"/>
    <w:rsid w:val="00F26E36"/>
    <w:rsid w:val="00F320EB"/>
    <w:rsid w:val="00F34E4F"/>
    <w:rsid w:val="00F35294"/>
    <w:rsid w:val="00F362E3"/>
    <w:rsid w:val="00F401B8"/>
    <w:rsid w:val="00F45ECA"/>
    <w:rsid w:val="00F47363"/>
    <w:rsid w:val="00F55311"/>
    <w:rsid w:val="00F61B15"/>
    <w:rsid w:val="00F677E5"/>
    <w:rsid w:val="00F72444"/>
    <w:rsid w:val="00F73BCF"/>
    <w:rsid w:val="00F74E16"/>
    <w:rsid w:val="00F900D5"/>
    <w:rsid w:val="00F93BDA"/>
    <w:rsid w:val="00F94773"/>
    <w:rsid w:val="00F94F15"/>
    <w:rsid w:val="00F972D0"/>
    <w:rsid w:val="00FA4DDE"/>
    <w:rsid w:val="00FB07C9"/>
    <w:rsid w:val="00FB44CB"/>
    <w:rsid w:val="00FB56F1"/>
    <w:rsid w:val="00FC45F4"/>
    <w:rsid w:val="00FC4C37"/>
    <w:rsid w:val="00FC787C"/>
    <w:rsid w:val="00FD5DA0"/>
    <w:rsid w:val="00FD7683"/>
    <w:rsid w:val="00FD76F7"/>
    <w:rsid w:val="00FF1940"/>
    <w:rsid w:val="00FF2D53"/>
    <w:rsid w:val="00FF4075"/>
    <w:rsid w:val="00FF47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EF779"/>
  <w15:docId w15:val="{35A07C87-7A0D-418F-ABB9-78265304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center" w:pos="4680"/>
      </w:tabs>
      <w:jc w:val="center"/>
      <w:outlineLvl w:val="0"/>
    </w:pPr>
    <w:rPr>
      <w:b/>
    </w:rPr>
  </w:style>
  <w:style w:type="paragraph" w:styleId="Heading2">
    <w:name w:val="heading 2"/>
    <w:basedOn w:val="Normal"/>
    <w:next w:val="Normal"/>
    <w:uiPriority w:val="9"/>
    <w:unhideWhenUsed/>
    <w:qFormat/>
    <w:pPr>
      <w:keepNext/>
      <w:ind w:left="720"/>
      <w:jc w:val="right"/>
      <w:outlineLvl w:val="1"/>
    </w:pPr>
    <w:rPr>
      <w:rFonts w:ascii="Arial" w:eastAsia="Arial" w:hAnsi="Arial" w:cs="Arial"/>
      <w:i/>
      <w:sz w:val="18"/>
      <w:szCs w:val="18"/>
    </w:rPr>
  </w:style>
  <w:style w:type="paragraph" w:styleId="Heading3">
    <w:name w:val="heading 3"/>
    <w:basedOn w:val="Normal"/>
    <w:next w:val="Normal"/>
    <w:uiPriority w:val="9"/>
    <w:unhideWhenUsed/>
    <w:qFormat/>
    <w:pPr>
      <w:keepNext/>
      <w:tabs>
        <w:tab w:val="left" w:pos="5400"/>
      </w:tabs>
      <w:ind w:left="720"/>
      <w:outlineLvl w:val="2"/>
    </w:pPr>
    <w:rPr>
      <w:rFonts w:ascii="Arial" w:eastAsia="Arial" w:hAnsi="Arial" w:cs="Arial"/>
      <w:i/>
      <w:sz w:val="18"/>
      <w:szCs w:val="1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ind w:left="1440" w:hanging="1440"/>
      <w:jc w:val="center"/>
    </w:pPr>
    <w:rPr>
      <w:rFonts w:ascii="Calibri" w:eastAsia="Calibri" w:hAnsi="Calibri" w:cs="Calibri"/>
      <w:b/>
      <w:sz w:val="28"/>
      <w:szCs w:val="28"/>
    </w:rPr>
  </w:style>
  <w:style w:type="paragraph" w:styleId="Subtitle">
    <w:name w:val="Subtitle"/>
    <w:basedOn w:val="Normal"/>
    <w:next w:val="Normal"/>
    <w:uiPriority w:val="11"/>
    <w:qFormat/>
    <w:pPr>
      <w:widowControl/>
      <w:ind w:left="115" w:right="115"/>
      <w:jc w:val="center"/>
    </w:pPr>
    <w:rPr>
      <w:rFonts w:ascii="Cambria" w:eastAsia="Cambria" w:hAnsi="Cambria" w:cs="Cambria"/>
      <w:i/>
      <w:color w:val="4F81B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21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AD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44405"/>
    <w:rPr>
      <w:b/>
      <w:bCs/>
    </w:rPr>
  </w:style>
  <w:style w:type="character" w:customStyle="1" w:styleId="CommentSubjectChar">
    <w:name w:val="Comment Subject Char"/>
    <w:basedOn w:val="CommentTextChar"/>
    <w:link w:val="CommentSubject"/>
    <w:uiPriority w:val="99"/>
    <w:semiHidden/>
    <w:rsid w:val="00744405"/>
    <w:rPr>
      <w:b/>
      <w:bCs/>
      <w:sz w:val="20"/>
      <w:szCs w:val="20"/>
    </w:rPr>
  </w:style>
  <w:style w:type="paragraph" w:styleId="Revision">
    <w:name w:val="Revision"/>
    <w:hidden/>
    <w:uiPriority w:val="99"/>
    <w:semiHidden/>
    <w:rsid w:val="00C958FC"/>
    <w:pPr>
      <w:widowControl/>
    </w:pPr>
  </w:style>
  <w:style w:type="paragraph" w:styleId="ListParagraph">
    <w:name w:val="List Paragraph"/>
    <w:basedOn w:val="Normal"/>
    <w:uiPriority w:val="34"/>
    <w:qFormat/>
    <w:rsid w:val="00F35294"/>
    <w:pPr>
      <w:ind w:left="720"/>
      <w:contextualSpacing/>
    </w:pPr>
  </w:style>
  <w:style w:type="paragraph" w:styleId="Header">
    <w:name w:val="header"/>
    <w:basedOn w:val="Normal"/>
    <w:link w:val="HeaderChar"/>
    <w:uiPriority w:val="99"/>
    <w:unhideWhenUsed/>
    <w:rsid w:val="00B40B53"/>
    <w:pPr>
      <w:tabs>
        <w:tab w:val="center" w:pos="4680"/>
        <w:tab w:val="right" w:pos="9360"/>
      </w:tabs>
    </w:pPr>
  </w:style>
  <w:style w:type="character" w:customStyle="1" w:styleId="HeaderChar">
    <w:name w:val="Header Char"/>
    <w:basedOn w:val="DefaultParagraphFont"/>
    <w:link w:val="Header"/>
    <w:uiPriority w:val="99"/>
    <w:rsid w:val="00B40B53"/>
  </w:style>
  <w:style w:type="paragraph" w:styleId="Footer">
    <w:name w:val="footer"/>
    <w:basedOn w:val="Normal"/>
    <w:link w:val="FooterChar"/>
    <w:uiPriority w:val="99"/>
    <w:unhideWhenUsed/>
    <w:rsid w:val="00324A5F"/>
    <w:pPr>
      <w:tabs>
        <w:tab w:val="center" w:pos="4680"/>
        <w:tab w:val="right" w:pos="9360"/>
      </w:tabs>
    </w:pPr>
  </w:style>
  <w:style w:type="character" w:customStyle="1" w:styleId="FooterChar">
    <w:name w:val="Footer Char"/>
    <w:basedOn w:val="DefaultParagraphFont"/>
    <w:link w:val="Footer"/>
    <w:uiPriority w:val="99"/>
    <w:rsid w:val="00324A5F"/>
  </w:style>
  <w:style w:type="paragraph" w:styleId="FootnoteText">
    <w:name w:val="footnote text"/>
    <w:basedOn w:val="Normal"/>
    <w:link w:val="FootnoteTextChar"/>
    <w:uiPriority w:val="99"/>
    <w:semiHidden/>
    <w:unhideWhenUsed/>
    <w:rsid w:val="00670FEB"/>
    <w:rPr>
      <w:sz w:val="20"/>
      <w:szCs w:val="20"/>
    </w:rPr>
  </w:style>
  <w:style w:type="character" w:customStyle="1" w:styleId="FootnoteTextChar">
    <w:name w:val="Footnote Text Char"/>
    <w:basedOn w:val="DefaultParagraphFont"/>
    <w:link w:val="FootnoteText"/>
    <w:uiPriority w:val="99"/>
    <w:semiHidden/>
    <w:rsid w:val="00670FEB"/>
    <w:rPr>
      <w:sz w:val="20"/>
      <w:szCs w:val="20"/>
    </w:rPr>
  </w:style>
  <w:style w:type="character" w:styleId="FootnoteReference">
    <w:name w:val="footnote reference"/>
    <w:basedOn w:val="DefaultParagraphFont"/>
    <w:uiPriority w:val="99"/>
    <w:semiHidden/>
    <w:unhideWhenUsed/>
    <w:rsid w:val="00670FEB"/>
    <w:rPr>
      <w:vertAlign w:val="superscript"/>
    </w:rPr>
  </w:style>
  <w:style w:type="character" w:styleId="Hyperlink">
    <w:name w:val="Hyperlink"/>
    <w:basedOn w:val="DefaultParagraphFont"/>
    <w:uiPriority w:val="99"/>
    <w:unhideWhenUsed/>
    <w:rsid w:val="00276E09"/>
    <w:rPr>
      <w:color w:val="0000FF" w:themeColor="hyperlink"/>
      <w:u w:val="single"/>
    </w:rPr>
  </w:style>
  <w:style w:type="character" w:styleId="UnresolvedMention">
    <w:name w:val="Unresolved Mention"/>
    <w:basedOn w:val="DefaultParagraphFont"/>
    <w:uiPriority w:val="99"/>
    <w:semiHidden/>
    <w:unhideWhenUsed/>
    <w:rsid w:val="00276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massgov-my.sharepoint.com/personal/leee_delorenzo_mass_gov/Documents/Document%20Review%202021/educationcollaborativeteam@mass.gov"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doe.mass.edu/lawsregs/603cmr50.html?section=al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DESE-231-73037</_dlc_DocId>
    <_dlc_DocIdUrl xmlns="733efe1c-5bbe-4968-87dc-d400e65c879f">
      <Url>https://sharepoint.doemass.org/ese/webteam/cps/_layouts/DocIdRedir.aspx?ID=DESE-231-73037</Url>
      <Description>DESE-231-73037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2DFE4-0DE8-4838-BBA0-B719E9099534}">
  <ds:schemaRefs>
    <ds:schemaRef ds:uri="http://schemas.microsoft.com/sharepoint/events"/>
  </ds:schemaRefs>
</ds:datastoreItem>
</file>

<file path=customXml/itemProps2.xml><?xml version="1.0" encoding="utf-8"?>
<ds:datastoreItem xmlns:ds="http://schemas.openxmlformats.org/officeDocument/2006/customXml" ds:itemID="{9501849C-E159-4520-899D-97638DF89412}">
  <ds:schemaRefs>
    <ds:schemaRef ds:uri="http://schemas.microsoft.com/sharepoint/v3/contenttype/forms"/>
  </ds:schemaRefs>
</ds:datastoreItem>
</file>

<file path=customXml/itemProps3.xml><?xml version="1.0" encoding="utf-8"?>
<ds:datastoreItem xmlns:ds="http://schemas.openxmlformats.org/officeDocument/2006/customXml" ds:itemID="{57BA3162-B02A-487A-AA7F-575F011A50A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BE8B75B-CE46-4EF7-BF31-59A879A1E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C60C4A-D286-4BC2-8F88-D0D66B88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Guidance on Education Collaboratives’ Use of Surplus Funds</vt:lpstr>
    </vt:vector>
  </TitlesOfParts>
  <Company/>
  <LinksUpToDate>false</LinksUpToDate>
  <CharactersWithSpaces>10914</CharactersWithSpaces>
  <SharedDoc>false</SharedDoc>
  <HLinks>
    <vt:vector size="18" baseType="variant">
      <vt:variant>
        <vt:i4>5439597</vt:i4>
      </vt:variant>
      <vt:variant>
        <vt:i4>6</vt:i4>
      </vt:variant>
      <vt:variant>
        <vt:i4>0</vt:i4>
      </vt:variant>
      <vt:variant>
        <vt:i4>5</vt:i4>
      </vt:variant>
      <vt:variant>
        <vt:lpwstr>mailto:educationcollaborativeteam@mass.gov</vt:lpwstr>
      </vt:variant>
      <vt:variant>
        <vt:lpwstr/>
      </vt:variant>
      <vt:variant>
        <vt:i4>3014691</vt:i4>
      </vt:variant>
      <vt:variant>
        <vt:i4>3</vt:i4>
      </vt:variant>
      <vt:variant>
        <vt:i4>0</vt:i4>
      </vt:variant>
      <vt:variant>
        <vt:i4>5</vt:i4>
      </vt:variant>
      <vt:variant>
        <vt:lpwstr>https://www.doe.mass.edu/lawsregs/603cmr50.html?section=all</vt:lpwstr>
      </vt:variant>
      <vt:variant>
        <vt:lpwstr/>
      </vt:variant>
      <vt:variant>
        <vt:i4>720983</vt:i4>
      </vt:variant>
      <vt:variant>
        <vt:i4>0</vt:i4>
      </vt:variant>
      <vt:variant>
        <vt:i4>0</vt:i4>
      </vt:variant>
      <vt:variant>
        <vt:i4>5</vt:i4>
      </vt:variant>
      <vt:variant>
        <vt:lpwstr>https://malegislature.gov/Laws/GeneralLaws/PartI/TitleVII/Chapter40/Section4E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Education Collaboratives' Use of Surplus Funds</dc:title>
  <dc:subject/>
  <dc:creator>DESE</dc:creator>
  <cp:keywords/>
  <cp:lastModifiedBy>Zou, Dong (EOE)</cp:lastModifiedBy>
  <cp:revision>6</cp:revision>
  <cp:lastPrinted>2021-07-13T18:07:00Z</cp:lastPrinted>
  <dcterms:created xsi:type="dcterms:W3CDTF">2021-08-17T12:48:00Z</dcterms:created>
  <dcterms:modified xsi:type="dcterms:W3CDTF">2021-08-17T22:18:00Z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17 2021</vt:lpwstr>
  </property>
</Properties>
</file>