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571" w:rsidRDefault="00A24571" w:rsidP="00A24571">
      <w:pPr>
        <w:pStyle w:val="Heading1"/>
        <w:jc w:val="center"/>
        <w:rPr>
          <w:rFonts w:ascii="Calibri" w:hAnsi="Calibri"/>
          <w:sz w:val="36"/>
          <w:szCs w:val="36"/>
        </w:rPr>
      </w:pPr>
      <w:bookmarkStart w:id="0" w:name="_Toc481485204"/>
      <w:r w:rsidRPr="00A24571">
        <w:rPr>
          <w:rFonts w:ascii="Calibri" w:hAnsi="Calibri"/>
          <w:noProof/>
          <w:sz w:val="36"/>
          <w:szCs w:val="36"/>
          <w:lang w:eastAsia="zh-CN"/>
        </w:rPr>
        <w:drawing>
          <wp:anchor distT="0" distB="0" distL="114300" distR="114300" simplePos="0" relativeHeight="251642880" behindDoc="0" locked="0" layoutInCell="1" allowOverlap="1" wp14:anchorId="1FDE2D0C" wp14:editId="2972FBC1">
            <wp:simplePos x="0" y="0"/>
            <wp:positionH relativeFrom="column">
              <wp:posOffset>306764</wp:posOffset>
            </wp:positionH>
            <wp:positionV relativeFrom="paragraph">
              <wp:posOffset>478465</wp:posOffset>
            </wp:positionV>
            <wp:extent cx="5275329" cy="2573079"/>
            <wp:effectExtent l="19050" t="0" r="1521" b="0"/>
            <wp:wrapNone/>
            <wp:docPr id="224" name="Picture 2"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 Master Logo"/>
                    <pic:cNvPicPr>
                      <a:picLocks noChangeAspect="1" noChangeArrowheads="1"/>
                    </pic:cNvPicPr>
                  </pic:nvPicPr>
                  <pic:blipFill>
                    <a:blip r:embed="rId12" cstate="print"/>
                    <a:srcRect/>
                    <a:stretch>
                      <a:fillRect/>
                    </a:stretch>
                  </pic:blipFill>
                  <pic:spPr bwMode="auto">
                    <a:xfrm>
                      <a:off x="0" y="0"/>
                      <a:ext cx="5275329" cy="2573079"/>
                    </a:xfrm>
                    <a:prstGeom prst="rect">
                      <a:avLst/>
                    </a:prstGeom>
                    <a:noFill/>
                    <a:ln w="9525">
                      <a:noFill/>
                      <a:miter lim="800000"/>
                      <a:headEnd/>
                      <a:tailEnd/>
                    </a:ln>
                  </pic:spPr>
                </pic:pic>
              </a:graphicData>
            </a:graphic>
          </wp:anchor>
        </w:drawing>
      </w:r>
      <w:bookmarkStart w:id="1" w:name="_Toc508363266"/>
      <w:bookmarkStart w:id="2" w:name="_Toc508363290"/>
      <w:bookmarkStart w:id="3" w:name="_Toc508966936"/>
      <w:bookmarkStart w:id="4" w:name="_Toc508966957"/>
      <w:bookmarkStart w:id="5" w:name="_Toc509240727"/>
      <w:bookmarkStart w:id="6" w:name="_Toc509241519"/>
      <w:bookmarkStart w:id="7" w:name="_Toc509831706"/>
      <w:bookmarkStart w:id="8" w:name="_Toc509831750"/>
      <w:bookmarkStart w:id="9" w:name="_Toc509831783"/>
      <w:bookmarkStart w:id="10" w:name="_Toc509831816"/>
      <w:r w:rsidR="005071E1">
        <w:rPr>
          <w:rFonts w:ascii="Calibri" w:hAnsi="Calibri"/>
          <w:sz w:val="36"/>
          <w:szCs w:val="36"/>
        </w:rPr>
        <w:softHyphen/>
      </w:r>
      <w:r w:rsidR="005071E1">
        <w:rPr>
          <w:rFonts w:ascii="Calibri" w:hAnsi="Calibri"/>
          <w:sz w:val="36"/>
          <w:szCs w:val="36"/>
        </w:rPr>
        <w:softHyphen/>
      </w:r>
      <w:r w:rsidR="005071E1">
        <w:rPr>
          <w:rFonts w:ascii="Calibri" w:hAnsi="Calibri"/>
          <w:sz w:val="36"/>
          <w:szCs w:val="36"/>
        </w:rPr>
        <w:softHyphen/>
      </w:r>
      <w:r w:rsidR="005071E1">
        <w:rPr>
          <w:rFonts w:ascii="Calibri" w:hAnsi="Calibri"/>
          <w:sz w:val="36"/>
          <w:szCs w:val="36"/>
        </w:rPr>
        <w:softHyphen/>
      </w:r>
      <w:r w:rsidR="00223907">
        <w:rPr>
          <w:rFonts w:ascii="Calibri" w:hAnsi="Calibri"/>
          <w:sz w:val="36"/>
          <w:szCs w:val="36"/>
        </w:rPr>
        <w:softHyphen/>
      </w:r>
      <w:r w:rsidR="00223907">
        <w:rPr>
          <w:rFonts w:ascii="Calibri" w:hAnsi="Calibri"/>
          <w:sz w:val="36"/>
          <w:szCs w:val="36"/>
        </w:rPr>
        <w:softHyphen/>
      </w:r>
      <w:bookmarkEnd w:id="1"/>
      <w:bookmarkEnd w:id="2"/>
      <w:bookmarkEnd w:id="3"/>
      <w:bookmarkEnd w:id="4"/>
      <w:bookmarkEnd w:id="5"/>
      <w:bookmarkEnd w:id="6"/>
      <w:bookmarkEnd w:id="7"/>
      <w:bookmarkEnd w:id="8"/>
      <w:bookmarkEnd w:id="9"/>
      <w:bookmarkEnd w:id="10"/>
    </w:p>
    <w:p w:rsidR="00A24571" w:rsidRDefault="00A24571" w:rsidP="00E2621A">
      <w:pPr>
        <w:pStyle w:val="Heading1"/>
        <w:rPr>
          <w:rFonts w:ascii="Calibri" w:hAnsi="Calibri"/>
          <w:sz w:val="36"/>
          <w:szCs w:val="36"/>
        </w:rPr>
      </w:pPr>
    </w:p>
    <w:p w:rsidR="00A24571" w:rsidRDefault="00A24571" w:rsidP="00E2621A">
      <w:pPr>
        <w:pStyle w:val="Heading1"/>
        <w:rPr>
          <w:rFonts w:ascii="Calibri" w:hAnsi="Calibri"/>
          <w:sz w:val="36"/>
          <w:szCs w:val="36"/>
        </w:rPr>
      </w:pPr>
    </w:p>
    <w:p w:rsidR="00A24571" w:rsidRDefault="00A24571" w:rsidP="00E2621A">
      <w:pPr>
        <w:pStyle w:val="Heading1"/>
        <w:rPr>
          <w:rFonts w:ascii="Calibri" w:hAnsi="Calibri"/>
          <w:sz w:val="36"/>
          <w:szCs w:val="36"/>
        </w:rPr>
      </w:pPr>
    </w:p>
    <w:p w:rsidR="00A24571" w:rsidRDefault="00A24571" w:rsidP="00E2621A">
      <w:pPr>
        <w:pStyle w:val="Heading1"/>
        <w:rPr>
          <w:rFonts w:ascii="Calibri" w:hAnsi="Calibri"/>
          <w:sz w:val="36"/>
          <w:szCs w:val="36"/>
        </w:rPr>
      </w:pPr>
    </w:p>
    <w:p w:rsidR="00A24571" w:rsidRDefault="00A24571" w:rsidP="00E2621A">
      <w:pPr>
        <w:pStyle w:val="Heading1"/>
        <w:rPr>
          <w:rFonts w:ascii="Calibri" w:hAnsi="Calibri"/>
          <w:sz w:val="36"/>
          <w:szCs w:val="36"/>
        </w:rPr>
      </w:pPr>
    </w:p>
    <w:p w:rsidR="00A24571" w:rsidRPr="001E3603" w:rsidRDefault="00A24571" w:rsidP="001E3603">
      <w:pPr>
        <w:tabs>
          <w:tab w:val="left" w:pos="2110"/>
        </w:tabs>
        <w:ind w:left="720"/>
        <w:jc w:val="center"/>
        <w:rPr>
          <w:rFonts w:ascii="Calibri" w:hAnsi="Calibri"/>
          <w:b/>
          <w:sz w:val="64"/>
          <w:szCs w:val="64"/>
        </w:rPr>
      </w:pPr>
      <w:r w:rsidRPr="001E3603">
        <w:rPr>
          <w:rFonts w:ascii="Calibri" w:hAnsi="Calibri"/>
          <w:b/>
          <w:sz w:val="64"/>
          <w:szCs w:val="64"/>
        </w:rPr>
        <w:t xml:space="preserve">Massachusetts </w:t>
      </w:r>
      <w:r w:rsidR="001E3603">
        <w:rPr>
          <w:rFonts w:ascii="Calibri" w:hAnsi="Calibri"/>
          <w:b/>
          <w:sz w:val="64"/>
          <w:szCs w:val="64"/>
        </w:rPr>
        <w:br/>
      </w:r>
      <w:r w:rsidRPr="001E3603">
        <w:rPr>
          <w:rFonts w:ascii="Calibri" w:hAnsi="Calibri"/>
          <w:b/>
          <w:sz w:val="64"/>
          <w:szCs w:val="64"/>
        </w:rPr>
        <w:t>State Equity Plan Update</w:t>
      </w:r>
    </w:p>
    <w:p w:rsidR="00A24571" w:rsidRDefault="00A24571" w:rsidP="001E3603">
      <w:pPr>
        <w:tabs>
          <w:tab w:val="left" w:pos="2110"/>
        </w:tabs>
        <w:ind w:left="720"/>
        <w:jc w:val="center"/>
        <w:rPr>
          <w:rFonts w:ascii="Calibri" w:hAnsi="Calibri"/>
          <w:b/>
          <w:sz w:val="72"/>
        </w:rPr>
      </w:pPr>
      <w:r w:rsidRPr="001E3603">
        <w:rPr>
          <w:rFonts w:ascii="Calibri" w:hAnsi="Calibri"/>
          <w:b/>
          <w:sz w:val="64"/>
          <w:szCs w:val="64"/>
        </w:rPr>
        <w:t>2018</w:t>
      </w:r>
    </w:p>
    <w:p w:rsidR="00A24571" w:rsidRDefault="00A24571" w:rsidP="001E3603">
      <w:pPr>
        <w:tabs>
          <w:tab w:val="left" w:pos="2110"/>
        </w:tabs>
        <w:ind w:left="720"/>
        <w:jc w:val="center"/>
        <w:rPr>
          <w:rFonts w:ascii="Calibri" w:hAnsi="Calibri"/>
          <w:b/>
          <w:sz w:val="72"/>
        </w:rPr>
      </w:pPr>
    </w:p>
    <w:p w:rsidR="00A24571" w:rsidRPr="002E148B" w:rsidRDefault="00A24571" w:rsidP="001E3603">
      <w:pPr>
        <w:tabs>
          <w:tab w:val="left" w:pos="2110"/>
        </w:tabs>
        <w:ind w:left="720"/>
        <w:contextualSpacing/>
        <w:jc w:val="center"/>
        <w:rPr>
          <w:rFonts w:ascii="Calibri" w:hAnsi="Calibri"/>
        </w:rPr>
      </w:pPr>
      <w:r>
        <w:rPr>
          <w:rFonts w:ascii="Calibri" w:hAnsi="Calibri"/>
        </w:rPr>
        <w:t>Center for Instructional Support</w:t>
      </w:r>
    </w:p>
    <w:p w:rsidR="00A24571" w:rsidRDefault="00A24571" w:rsidP="00BB482B">
      <w:pPr>
        <w:tabs>
          <w:tab w:val="left" w:pos="2110"/>
        </w:tabs>
        <w:ind w:left="2160"/>
        <w:jc w:val="center"/>
        <w:rPr>
          <w:rFonts w:ascii="Calibri" w:hAnsi="Calibri"/>
          <w:b/>
          <w:sz w:val="72"/>
        </w:rPr>
      </w:pPr>
    </w:p>
    <w:p w:rsidR="00A24571" w:rsidRDefault="00A24571" w:rsidP="00A24571">
      <w:pPr>
        <w:pStyle w:val="AgencyTitle"/>
        <w:suppressOverlap/>
        <w:rPr>
          <w:rFonts w:ascii="Calibri" w:hAnsi="Calibri"/>
          <w:sz w:val="19"/>
          <w:szCs w:val="19"/>
        </w:rPr>
      </w:pPr>
    </w:p>
    <w:p w:rsidR="00A24571" w:rsidRDefault="00A24571" w:rsidP="00A24571">
      <w:pPr>
        <w:pStyle w:val="AgencyTitle"/>
        <w:suppressOverlap/>
        <w:rPr>
          <w:rFonts w:ascii="Calibri" w:hAnsi="Calibri"/>
          <w:sz w:val="19"/>
          <w:szCs w:val="19"/>
        </w:rPr>
      </w:pPr>
    </w:p>
    <w:p w:rsidR="00A24571" w:rsidRDefault="00A24571" w:rsidP="00A24571">
      <w:pPr>
        <w:pStyle w:val="AgencyTitle"/>
        <w:suppressOverlap/>
        <w:rPr>
          <w:rFonts w:ascii="Calibri" w:hAnsi="Calibri"/>
          <w:sz w:val="19"/>
          <w:szCs w:val="19"/>
        </w:rPr>
      </w:pPr>
    </w:p>
    <w:p w:rsidR="00A24571" w:rsidRDefault="005F100A" w:rsidP="00A24571">
      <w:pPr>
        <w:pStyle w:val="AgencyTitle"/>
        <w:suppressOverlap/>
        <w:rPr>
          <w:rFonts w:ascii="Calibri" w:hAnsi="Calibri"/>
          <w:sz w:val="19"/>
          <w:szCs w:val="19"/>
        </w:rPr>
      </w:pPr>
      <w:r>
        <w:rPr>
          <w:rFonts w:ascii="Calibri" w:hAnsi="Calibri"/>
          <w:noProof/>
          <w:lang w:eastAsia="zh-CN"/>
        </w:rPr>
        <mc:AlternateContent>
          <mc:Choice Requires="wps">
            <w:drawing>
              <wp:anchor distT="0" distB="0" distL="114300" distR="114300" simplePos="0" relativeHeight="251659264" behindDoc="0" locked="0" layoutInCell="1" allowOverlap="1" wp14:anchorId="3B30DF26" wp14:editId="3756230B">
                <wp:simplePos x="0" y="0"/>
                <wp:positionH relativeFrom="column">
                  <wp:posOffset>246490</wp:posOffset>
                </wp:positionH>
                <wp:positionV relativeFrom="paragraph">
                  <wp:posOffset>23164</wp:posOffset>
                </wp:positionV>
                <wp:extent cx="5051425" cy="1168841"/>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1425" cy="1168841"/>
                        </a:xfrm>
                        <a:prstGeom prst="rect">
                          <a:avLst/>
                        </a:prstGeom>
                        <a:solidFill>
                          <a:schemeClr val="accent6">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A24571" w:rsidRDefault="002E3D26" w:rsidP="00E11402">
                            <w:pPr>
                              <w:pStyle w:val="AgencyTitle"/>
                              <w:suppressOverlap/>
                              <w:rPr>
                                <w:rFonts w:ascii="Calibri" w:hAnsi="Calibri"/>
                                <w:sz w:val="12"/>
                                <w:szCs w:val="12"/>
                              </w:rPr>
                            </w:pPr>
                          </w:p>
                          <w:p w:rsidR="002E3D26" w:rsidRPr="00A24571" w:rsidRDefault="002E3D26" w:rsidP="00E11402">
                            <w:pPr>
                              <w:pStyle w:val="AgencyTitle"/>
                              <w:suppressOverlap/>
                              <w:rPr>
                                <w:rFonts w:ascii="Calibri" w:hAnsi="Calibri"/>
                                <w:sz w:val="24"/>
                              </w:rPr>
                            </w:pPr>
                            <w:r w:rsidRPr="00A24571">
                              <w:rPr>
                                <w:rFonts w:ascii="Calibri" w:hAnsi="Calibri"/>
                                <w:sz w:val="24"/>
                              </w:rPr>
                              <w:t>Massachusetts Department of Elementary and Secondary Education</w:t>
                            </w:r>
                          </w:p>
                          <w:p w:rsidR="002E3D26" w:rsidRPr="00A24571" w:rsidRDefault="002E3D26" w:rsidP="00E11402">
                            <w:pPr>
                              <w:pStyle w:val="arial9"/>
                              <w:suppressOverlap/>
                              <w:rPr>
                                <w:rFonts w:ascii="Calibri" w:hAnsi="Calibri"/>
                                <w:snapToGrid w:val="0"/>
                                <w:sz w:val="24"/>
                              </w:rPr>
                            </w:pPr>
                            <w:r w:rsidRPr="00A24571">
                              <w:rPr>
                                <w:rFonts w:ascii="Calibri" w:hAnsi="Calibri"/>
                                <w:snapToGrid w:val="0"/>
                                <w:sz w:val="24"/>
                              </w:rPr>
                              <w:t>75 Pleasant Street, Malden, MA 02148-4906</w:t>
                            </w:r>
                          </w:p>
                          <w:p w:rsidR="002E3D26" w:rsidRPr="00A24571" w:rsidRDefault="002E3D26" w:rsidP="00E11402">
                            <w:pPr>
                              <w:pStyle w:val="arial9"/>
                              <w:suppressOverlap/>
                              <w:rPr>
                                <w:rFonts w:ascii="Calibri" w:hAnsi="Calibri"/>
                                <w:snapToGrid w:val="0"/>
                                <w:sz w:val="24"/>
                              </w:rPr>
                            </w:pPr>
                            <w:r w:rsidRPr="00A24571">
                              <w:rPr>
                                <w:rFonts w:ascii="Calibri" w:hAnsi="Calibri"/>
                                <w:snapToGrid w:val="0"/>
                                <w:sz w:val="24"/>
                              </w:rPr>
                              <w:t>Phone 781-338-</w:t>
                            </w:r>
                            <w:proofErr w:type="gramStart"/>
                            <w:r w:rsidRPr="00A24571">
                              <w:rPr>
                                <w:rFonts w:ascii="Calibri" w:hAnsi="Calibri"/>
                                <w:snapToGrid w:val="0"/>
                                <w:sz w:val="24"/>
                              </w:rPr>
                              <w:t>3000  TTY</w:t>
                            </w:r>
                            <w:proofErr w:type="gramEnd"/>
                            <w:r w:rsidRPr="00A24571">
                              <w:rPr>
                                <w:rFonts w:ascii="Calibri" w:hAnsi="Calibri"/>
                                <w:snapToGrid w:val="0"/>
                                <w:sz w:val="24"/>
                              </w:rPr>
                              <w:t>: N.E.T. Relay 800-439-2370</w:t>
                            </w:r>
                          </w:p>
                          <w:p w:rsidR="002E3D26" w:rsidRDefault="002E3D26" w:rsidP="00E11402">
                            <w:pPr>
                              <w:rPr>
                                <w:rFonts w:ascii="Calibri" w:hAnsi="Calibri"/>
                                <w:snapToGrid w:val="0"/>
                              </w:rPr>
                            </w:pPr>
                            <w:r>
                              <w:rPr>
                                <w:rFonts w:ascii="Calibri" w:hAnsi="Calibri"/>
                                <w:snapToGrid w:val="0"/>
                              </w:rPr>
                              <w:t>For more information and resources on equity:</w:t>
                            </w:r>
                          </w:p>
                          <w:p w:rsidR="002E3D26" w:rsidRPr="00A24571" w:rsidRDefault="00ED23C8" w:rsidP="00E11402">
                            <w:pPr>
                              <w:rPr>
                                <w:sz w:val="12"/>
                                <w:szCs w:val="12"/>
                              </w:rPr>
                            </w:pPr>
                            <w:hyperlink r:id="rId13" w:history="1">
                              <w:r w:rsidR="002E3D26" w:rsidRPr="00810F54">
                                <w:rPr>
                                  <w:rStyle w:val="Hyperlink"/>
                                  <w:rFonts w:ascii="Calibri" w:hAnsi="Calibri"/>
                                  <w:snapToGrid w:val="0"/>
                                </w:rPr>
                                <w:t>http://www.doe.mass.edu/educators/equitableaccess/</w:t>
                              </w:r>
                            </w:hyperlink>
                            <w:r w:rsidR="002E3D26">
                              <w:rPr>
                                <w:rFonts w:ascii="Calibri" w:hAnsi="Calibri"/>
                                <w:snapToGrid w:val="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0DF26" id="Rectangle 28" o:spid="_x0000_s1026" style="position:absolute;margin-left:19.4pt;margin-top:1.8pt;width:397.75pt;height:9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" fillcolor="#f79646 [3209]" stroked="f">
                <v:textbox>
                  <w:txbxContent>
                    <w:p w:rsidR="002E3D26" w:rsidRPr="00A24571" w:rsidRDefault="002E3D26" w:rsidP="00E11402">
                      <w:pPr>
                        <w:pStyle w:val="AgencyTitle"/>
                        <w:suppressOverlap/>
                        <w:rPr>
                          <w:rFonts w:ascii="Calibri" w:hAnsi="Calibri"/>
                          <w:sz w:val="12"/>
                          <w:szCs w:val="12"/>
                        </w:rPr>
                      </w:pPr>
                    </w:p>
                    <w:p w:rsidR="002E3D26" w:rsidRPr="00A24571" w:rsidRDefault="002E3D26" w:rsidP="00E11402">
                      <w:pPr>
                        <w:pStyle w:val="AgencyTitle"/>
                        <w:suppressOverlap/>
                        <w:rPr>
                          <w:rFonts w:ascii="Calibri" w:hAnsi="Calibri"/>
                          <w:sz w:val="24"/>
                        </w:rPr>
                      </w:pPr>
                      <w:r w:rsidRPr="00A24571">
                        <w:rPr>
                          <w:rFonts w:ascii="Calibri" w:hAnsi="Calibri"/>
                          <w:sz w:val="24"/>
                        </w:rPr>
                        <w:t>Massachusetts Department of Elementary and Secondary Education</w:t>
                      </w:r>
                    </w:p>
                    <w:p w:rsidR="002E3D26" w:rsidRPr="00A24571" w:rsidRDefault="002E3D26" w:rsidP="00E11402">
                      <w:pPr>
                        <w:pStyle w:val="arial9"/>
                        <w:suppressOverlap/>
                        <w:rPr>
                          <w:rFonts w:ascii="Calibri" w:hAnsi="Calibri"/>
                          <w:snapToGrid w:val="0"/>
                          <w:sz w:val="24"/>
                        </w:rPr>
                      </w:pPr>
                      <w:r w:rsidRPr="00A24571">
                        <w:rPr>
                          <w:rFonts w:ascii="Calibri" w:hAnsi="Calibri"/>
                          <w:snapToGrid w:val="0"/>
                          <w:sz w:val="24"/>
                        </w:rPr>
                        <w:t>75 Pleasant Street, Malden, MA 02148-4906</w:t>
                      </w:r>
                    </w:p>
                    <w:p w:rsidR="002E3D26" w:rsidRPr="00A24571" w:rsidRDefault="002E3D26" w:rsidP="00E11402">
                      <w:pPr>
                        <w:pStyle w:val="arial9"/>
                        <w:suppressOverlap/>
                        <w:rPr>
                          <w:rFonts w:ascii="Calibri" w:hAnsi="Calibri"/>
                          <w:snapToGrid w:val="0"/>
                          <w:sz w:val="24"/>
                        </w:rPr>
                      </w:pPr>
                      <w:r w:rsidRPr="00A24571">
                        <w:rPr>
                          <w:rFonts w:ascii="Calibri" w:hAnsi="Calibri"/>
                          <w:snapToGrid w:val="0"/>
                          <w:sz w:val="24"/>
                        </w:rPr>
                        <w:t>Phone 781-338-</w:t>
                      </w:r>
                      <w:proofErr w:type="gramStart"/>
                      <w:r w:rsidRPr="00A24571">
                        <w:rPr>
                          <w:rFonts w:ascii="Calibri" w:hAnsi="Calibri"/>
                          <w:snapToGrid w:val="0"/>
                          <w:sz w:val="24"/>
                        </w:rPr>
                        <w:t>3000  TTY</w:t>
                      </w:r>
                      <w:proofErr w:type="gramEnd"/>
                      <w:r w:rsidRPr="00A24571">
                        <w:rPr>
                          <w:rFonts w:ascii="Calibri" w:hAnsi="Calibri"/>
                          <w:snapToGrid w:val="0"/>
                          <w:sz w:val="24"/>
                        </w:rPr>
                        <w:t>: N.E.T. Relay 800-439-2370</w:t>
                      </w:r>
                    </w:p>
                    <w:p w:rsidR="002E3D26" w:rsidRDefault="002E3D26" w:rsidP="00E11402">
                      <w:pPr>
                        <w:rPr>
                          <w:rFonts w:ascii="Calibri" w:hAnsi="Calibri"/>
                          <w:snapToGrid w:val="0"/>
                        </w:rPr>
                      </w:pPr>
                      <w:r>
                        <w:rPr>
                          <w:rFonts w:ascii="Calibri" w:hAnsi="Calibri"/>
                          <w:snapToGrid w:val="0"/>
                        </w:rPr>
                        <w:t>For more information and resources on equity:</w:t>
                      </w:r>
                    </w:p>
                    <w:p w:rsidR="002E3D26" w:rsidRPr="00A24571" w:rsidRDefault="00ED23C8" w:rsidP="00E11402">
                      <w:pPr>
                        <w:rPr>
                          <w:sz w:val="12"/>
                          <w:szCs w:val="12"/>
                        </w:rPr>
                      </w:pPr>
                      <w:hyperlink r:id="rId14" w:history="1">
                        <w:r w:rsidR="002E3D26" w:rsidRPr="00810F54">
                          <w:rPr>
                            <w:rStyle w:val="Hyperlink"/>
                            <w:rFonts w:ascii="Calibri" w:hAnsi="Calibri"/>
                            <w:snapToGrid w:val="0"/>
                          </w:rPr>
                          <w:t>http://www.doe.mass.edu/educators/equitableaccess/</w:t>
                        </w:r>
                      </w:hyperlink>
                      <w:r w:rsidR="002E3D26">
                        <w:rPr>
                          <w:rFonts w:ascii="Calibri" w:hAnsi="Calibri"/>
                          <w:snapToGrid w:val="0"/>
                        </w:rPr>
                        <w:t xml:space="preserve"> </w:t>
                      </w:r>
                    </w:p>
                  </w:txbxContent>
                </v:textbox>
              </v:rect>
            </w:pict>
          </mc:Fallback>
        </mc:AlternateContent>
      </w:r>
    </w:p>
    <w:p w:rsidR="00A24571" w:rsidRPr="009C1EE6" w:rsidRDefault="00A24571" w:rsidP="00A24571">
      <w:pPr>
        <w:tabs>
          <w:tab w:val="left" w:pos="2110"/>
        </w:tabs>
        <w:ind w:left="2160"/>
        <w:jc w:val="center"/>
        <w:rPr>
          <w:rFonts w:ascii="Calibri" w:hAnsi="Calibri"/>
          <w:b/>
          <w:sz w:val="72"/>
        </w:rPr>
      </w:pPr>
    </w:p>
    <w:p w:rsidR="00C16BD8" w:rsidRPr="00825581" w:rsidRDefault="00C16BD8" w:rsidP="00C16BD8">
      <w:pPr>
        <w:pStyle w:val="Heading1"/>
        <w:rPr>
          <w:rFonts w:ascii="Calibri" w:hAnsi="Calibri"/>
          <w:sz w:val="36"/>
          <w:szCs w:val="36"/>
        </w:rPr>
      </w:pPr>
      <w:bookmarkStart w:id="11" w:name="_Toc509831817"/>
      <w:bookmarkEnd w:id="0"/>
      <w:r>
        <w:rPr>
          <w:rFonts w:ascii="Calibri" w:hAnsi="Calibri"/>
          <w:sz w:val="36"/>
          <w:szCs w:val="36"/>
        </w:rPr>
        <w:lastRenderedPageBreak/>
        <w:t>Executive Summary</w:t>
      </w:r>
      <w:bookmarkEnd w:id="11"/>
    </w:p>
    <w:p w:rsidR="00C16BD8" w:rsidRDefault="00C16BD8" w:rsidP="00C16BD8">
      <w:pPr>
        <w:rPr>
          <w:rFonts w:asciiTheme="minorHAnsi" w:hAnsiTheme="minorHAnsi"/>
          <w:sz w:val="22"/>
          <w:szCs w:val="22"/>
        </w:rPr>
      </w:pPr>
      <w:r>
        <w:rPr>
          <w:rFonts w:asciiTheme="minorHAnsi" w:hAnsiTheme="minorHAnsi"/>
          <w:sz w:val="22"/>
          <w:szCs w:val="22"/>
        </w:rPr>
        <w:t xml:space="preserve">Our moral imperative is to ensure </w:t>
      </w:r>
      <w:r w:rsidR="00BB482B">
        <w:rPr>
          <w:rFonts w:asciiTheme="minorHAnsi" w:hAnsiTheme="minorHAnsi"/>
          <w:sz w:val="22"/>
          <w:szCs w:val="22"/>
        </w:rPr>
        <w:t xml:space="preserve">that </w:t>
      </w:r>
      <w:r>
        <w:rPr>
          <w:rFonts w:asciiTheme="minorHAnsi" w:hAnsiTheme="minorHAnsi"/>
          <w:sz w:val="22"/>
          <w:szCs w:val="22"/>
        </w:rPr>
        <w:t>all students have equitable access to</w:t>
      </w:r>
      <w:r w:rsidR="009B618A">
        <w:rPr>
          <w:rFonts w:asciiTheme="minorHAnsi" w:hAnsiTheme="minorHAnsi"/>
          <w:sz w:val="22"/>
          <w:szCs w:val="22"/>
        </w:rPr>
        <w:t xml:space="preserve"> high</w:t>
      </w:r>
      <w:r>
        <w:rPr>
          <w:rFonts w:asciiTheme="minorHAnsi" w:hAnsiTheme="minorHAnsi"/>
          <w:sz w:val="22"/>
          <w:szCs w:val="22"/>
        </w:rPr>
        <w:t xml:space="preserve"> quality educators. Under the </w:t>
      </w:r>
      <w:r w:rsidRPr="002E2D7C">
        <w:rPr>
          <w:rFonts w:asciiTheme="minorHAnsi" w:hAnsiTheme="minorHAnsi"/>
          <w:sz w:val="22"/>
          <w:szCs w:val="22"/>
        </w:rPr>
        <w:t xml:space="preserve">federal </w:t>
      </w:r>
      <w:hyperlink r:id="rId15" w:tgtFrame="_blank" w:tooltip="External Link" w:history="1">
        <w:r w:rsidRPr="002E2D7C">
          <w:rPr>
            <w:rStyle w:val="Hyperlink"/>
            <w:rFonts w:asciiTheme="minorHAnsi" w:hAnsiTheme="minorHAnsi"/>
            <w:sz w:val="22"/>
            <w:szCs w:val="22"/>
            <w:shd w:val="clear" w:color="auto" w:fill="FFFFFF"/>
          </w:rPr>
          <w:t>Every Student Succeeds Act</w:t>
        </w:r>
      </w:hyperlink>
      <w:r w:rsidRPr="002E2D7C">
        <w:rPr>
          <w:rFonts w:asciiTheme="minorHAnsi" w:hAnsiTheme="minorHAnsi"/>
          <w:sz w:val="22"/>
          <w:szCs w:val="22"/>
        </w:rPr>
        <w:t xml:space="preserve"> (ESSA)</w:t>
      </w:r>
      <w:r>
        <w:rPr>
          <w:rFonts w:asciiTheme="minorHAnsi" w:hAnsiTheme="minorHAnsi"/>
          <w:sz w:val="22"/>
          <w:szCs w:val="22"/>
        </w:rPr>
        <w:t xml:space="preserve">, states and districts must identify and address any disparities that result in historically disadvantaged student groups </w:t>
      </w:r>
      <w:r w:rsidRPr="002E2D7C">
        <w:rPr>
          <w:rFonts w:asciiTheme="minorHAnsi" w:hAnsiTheme="minorHAnsi"/>
          <w:sz w:val="22"/>
          <w:szCs w:val="22"/>
        </w:rPr>
        <w:t>being taught at higher rates by teachers who are inexperienced, out-of-field, or lower rated</w:t>
      </w:r>
      <w:r w:rsidR="004C6D00">
        <w:rPr>
          <w:rFonts w:asciiTheme="minorHAnsi" w:hAnsiTheme="minorHAnsi"/>
          <w:sz w:val="22"/>
          <w:szCs w:val="22"/>
        </w:rPr>
        <w:t>.</w:t>
      </w:r>
      <w:r w:rsidR="004C6D00">
        <w:rPr>
          <w:rStyle w:val="FootnoteReference"/>
          <w:rFonts w:asciiTheme="minorHAnsi" w:hAnsiTheme="minorHAnsi"/>
          <w:sz w:val="22"/>
          <w:szCs w:val="22"/>
        </w:rPr>
        <w:footnoteReference w:id="1"/>
      </w:r>
      <w:r w:rsidR="007F72A4">
        <w:rPr>
          <w:rFonts w:asciiTheme="minorHAnsi" w:hAnsiTheme="minorHAnsi"/>
          <w:sz w:val="22"/>
          <w:szCs w:val="22"/>
        </w:rPr>
        <w:t xml:space="preserve"> </w:t>
      </w:r>
      <w:r>
        <w:rPr>
          <w:rFonts w:asciiTheme="minorHAnsi" w:hAnsiTheme="minorHAnsi"/>
          <w:sz w:val="22"/>
          <w:szCs w:val="22"/>
        </w:rPr>
        <w:t xml:space="preserve">These disparities in educator assignment constitute equity gaps. </w:t>
      </w:r>
    </w:p>
    <w:p w:rsidR="00C16BD8" w:rsidRDefault="00C16BD8" w:rsidP="00C16BD8">
      <w:pPr>
        <w:rPr>
          <w:rFonts w:asciiTheme="minorHAnsi" w:hAnsiTheme="minorHAnsi"/>
          <w:sz w:val="22"/>
          <w:szCs w:val="22"/>
        </w:rPr>
      </w:pPr>
    </w:p>
    <w:p w:rsidR="00C16BD8" w:rsidRDefault="00C16BD8" w:rsidP="00C16BD8">
      <w:pPr>
        <w:rPr>
          <w:rFonts w:ascii="Calibri" w:hAnsi="Calibri"/>
          <w:sz w:val="22"/>
          <w:szCs w:val="22"/>
        </w:rPr>
      </w:pPr>
      <w:r>
        <w:rPr>
          <w:rFonts w:asciiTheme="minorHAnsi" w:hAnsiTheme="minorHAnsi"/>
          <w:sz w:val="22"/>
          <w:szCs w:val="22"/>
        </w:rPr>
        <w:t xml:space="preserve">The Department of Elementary and Secondary Education (DESE) commissioned research in 2017 to investigate the effects </w:t>
      </w:r>
      <w:r w:rsidR="009B618A">
        <w:rPr>
          <w:rFonts w:asciiTheme="minorHAnsi" w:hAnsiTheme="minorHAnsi"/>
          <w:sz w:val="22"/>
          <w:szCs w:val="22"/>
        </w:rPr>
        <w:t xml:space="preserve">of </w:t>
      </w:r>
      <w:r>
        <w:rPr>
          <w:rFonts w:asciiTheme="minorHAnsi" w:hAnsiTheme="minorHAnsi"/>
          <w:sz w:val="22"/>
          <w:szCs w:val="22"/>
        </w:rPr>
        <w:t>equity gaps on student outcomes</w:t>
      </w:r>
      <w:r w:rsidR="009B618A">
        <w:rPr>
          <w:rFonts w:asciiTheme="minorHAnsi" w:hAnsiTheme="minorHAnsi"/>
          <w:sz w:val="22"/>
          <w:szCs w:val="22"/>
        </w:rPr>
        <w:t xml:space="preserve"> in Massachusetts</w:t>
      </w:r>
      <w:r>
        <w:rPr>
          <w:rFonts w:asciiTheme="minorHAnsi" w:hAnsiTheme="minorHAnsi"/>
          <w:sz w:val="22"/>
          <w:szCs w:val="22"/>
        </w:rPr>
        <w:t xml:space="preserve">. The resulting </w:t>
      </w:r>
      <w:hyperlink r:id="rId16" w:history="1">
        <w:r w:rsidRPr="005A225D">
          <w:rPr>
            <w:rStyle w:val="Hyperlink"/>
            <w:rFonts w:asciiTheme="minorHAnsi" w:hAnsiTheme="minorHAnsi"/>
            <w:sz w:val="22"/>
            <w:szCs w:val="22"/>
          </w:rPr>
          <w:t>policy brief</w:t>
        </w:r>
      </w:hyperlink>
      <w:r>
        <w:rPr>
          <w:rFonts w:ascii="Calibri" w:hAnsi="Calibri"/>
          <w:sz w:val="22"/>
          <w:szCs w:val="22"/>
        </w:rPr>
        <w:t xml:space="preserve"> showed that</w:t>
      </w:r>
      <w:r w:rsidRPr="00AE669B">
        <w:rPr>
          <w:rFonts w:ascii="Calibri" w:hAnsi="Calibri"/>
          <w:sz w:val="22"/>
          <w:szCs w:val="22"/>
        </w:rPr>
        <w:t xml:space="preserve"> </w:t>
      </w:r>
      <w:r>
        <w:rPr>
          <w:rFonts w:ascii="Calibri" w:hAnsi="Calibri"/>
          <w:sz w:val="22"/>
          <w:szCs w:val="22"/>
        </w:rPr>
        <w:t>equity gaps</w:t>
      </w:r>
      <w:r w:rsidRPr="007A06E6">
        <w:rPr>
          <w:rFonts w:ascii="Calibri" w:hAnsi="Calibri"/>
          <w:sz w:val="22"/>
          <w:szCs w:val="22"/>
        </w:rPr>
        <w:t xml:space="preserve"> </w:t>
      </w:r>
      <w:r>
        <w:rPr>
          <w:rFonts w:ascii="Calibri" w:hAnsi="Calibri"/>
          <w:sz w:val="22"/>
          <w:szCs w:val="22"/>
        </w:rPr>
        <w:t>can lead to gaps in student performance. Some highlights include findings that, on average:</w:t>
      </w:r>
    </w:p>
    <w:p w:rsidR="00C16BD8" w:rsidRDefault="00C16BD8" w:rsidP="00C16BD8">
      <w:pPr>
        <w:pStyle w:val="ListParagraph"/>
        <w:numPr>
          <w:ilvl w:val="0"/>
          <w:numId w:val="27"/>
        </w:numPr>
        <w:rPr>
          <w:rFonts w:ascii="Calibri" w:hAnsi="Calibri"/>
          <w:sz w:val="22"/>
          <w:szCs w:val="22"/>
        </w:rPr>
      </w:pPr>
      <w:r>
        <w:rPr>
          <w:rFonts w:ascii="Calibri" w:hAnsi="Calibri"/>
          <w:sz w:val="22"/>
          <w:szCs w:val="22"/>
        </w:rPr>
        <w:t>students of a third-year teacher gain one additional month of learning in a school year, compared to students of a first-year teacher; and</w:t>
      </w:r>
    </w:p>
    <w:p w:rsidR="00C16BD8" w:rsidRPr="005A1D53" w:rsidRDefault="00C16BD8" w:rsidP="00C16BD8">
      <w:pPr>
        <w:pStyle w:val="ListParagraph"/>
        <w:numPr>
          <w:ilvl w:val="0"/>
          <w:numId w:val="27"/>
        </w:numPr>
        <w:rPr>
          <w:rFonts w:ascii="Calibri" w:hAnsi="Calibri"/>
          <w:sz w:val="22"/>
          <w:szCs w:val="22"/>
        </w:rPr>
      </w:pPr>
      <w:proofErr w:type="gramStart"/>
      <w:r w:rsidRPr="005A1D53">
        <w:rPr>
          <w:rFonts w:ascii="Calibri" w:hAnsi="Calibri"/>
          <w:sz w:val="22"/>
          <w:szCs w:val="22"/>
        </w:rPr>
        <w:t>students</w:t>
      </w:r>
      <w:proofErr w:type="gramEnd"/>
      <w:r w:rsidRPr="005A1D53">
        <w:rPr>
          <w:rFonts w:ascii="Calibri" w:hAnsi="Calibri"/>
          <w:sz w:val="22"/>
          <w:szCs w:val="22"/>
        </w:rPr>
        <w:t xml:space="preserve"> of a teacher with </w:t>
      </w:r>
      <w:r w:rsidRPr="005A1D53">
        <w:rPr>
          <w:rFonts w:asciiTheme="minorHAnsi" w:hAnsiTheme="minorHAnsi"/>
          <w:sz w:val="22"/>
          <w:szCs w:val="22"/>
        </w:rPr>
        <w:t xml:space="preserve">an </w:t>
      </w:r>
      <w:hyperlink r:id="rId17" w:history="1">
        <w:r w:rsidRPr="005A1D53">
          <w:rPr>
            <w:rStyle w:val="Hyperlink"/>
            <w:rFonts w:asciiTheme="minorHAnsi" w:hAnsiTheme="minorHAnsi"/>
            <w:sz w:val="22"/>
            <w:szCs w:val="22"/>
          </w:rPr>
          <w:t>evaluation rating of Exemplary</w:t>
        </w:r>
      </w:hyperlink>
      <w:r w:rsidRPr="005A1D53">
        <w:rPr>
          <w:rFonts w:asciiTheme="minorHAnsi" w:hAnsiTheme="minorHAnsi"/>
          <w:sz w:val="22"/>
          <w:szCs w:val="22"/>
        </w:rPr>
        <w:t xml:space="preserve"> gain about 18 to 24 additional weeks of learning in a school year, compared to students of a teacher rated Unsatisfactory.</w:t>
      </w:r>
    </w:p>
    <w:p w:rsidR="00C16BD8" w:rsidRDefault="00C16BD8" w:rsidP="00C16BD8">
      <w:pPr>
        <w:rPr>
          <w:rFonts w:ascii="Calibri" w:hAnsi="Calibri"/>
          <w:sz w:val="22"/>
          <w:szCs w:val="22"/>
        </w:rPr>
      </w:pPr>
    </w:p>
    <w:p w:rsidR="00CD74F6" w:rsidRDefault="00CD74F6" w:rsidP="00C16BD8">
      <w:pPr>
        <w:rPr>
          <w:rFonts w:ascii="Calibri" w:hAnsi="Calibri"/>
          <w:sz w:val="22"/>
          <w:szCs w:val="22"/>
        </w:rPr>
      </w:pPr>
      <w:r>
        <w:rPr>
          <w:rFonts w:ascii="Calibri" w:hAnsi="Calibri"/>
          <w:sz w:val="22"/>
          <w:szCs w:val="22"/>
        </w:rPr>
        <w:t xml:space="preserve">Given this link between </w:t>
      </w:r>
      <w:r w:rsidR="002328FA">
        <w:rPr>
          <w:rFonts w:ascii="Calibri" w:hAnsi="Calibri"/>
          <w:sz w:val="22"/>
          <w:szCs w:val="22"/>
        </w:rPr>
        <w:t xml:space="preserve">student performance and </w:t>
      </w:r>
      <w:r>
        <w:rPr>
          <w:rFonts w:ascii="Calibri" w:hAnsi="Calibri"/>
          <w:sz w:val="22"/>
          <w:szCs w:val="22"/>
        </w:rPr>
        <w:t>access to experienced, in-field, and effective educators, DESE has committed to a portfolio of work designed to support equitable access</w:t>
      </w:r>
      <w:r w:rsidR="009B618A">
        <w:rPr>
          <w:rFonts w:ascii="Calibri" w:hAnsi="Calibri"/>
          <w:sz w:val="22"/>
          <w:szCs w:val="22"/>
        </w:rPr>
        <w:t>, including</w:t>
      </w:r>
      <w:r>
        <w:rPr>
          <w:rFonts w:ascii="Calibri" w:hAnsi="Calibri"/>
          <w:sz w:val="22"/>
          <w:szCs w:val="22"/>
        </w:rPr>
        <w:t xml:space="preserve"> regular data analyses and reporting to make gaps transparent throughout the state. This 2018 Equity Update summarizes key findings </w:t>
      </w:r>
      <w:r w:rsidR="009B618A">
        <w:rPr>
          <w:rFonts w:ascii="Calibri" w:hAnsi="Calibri"/>
          <w:sz w:val="22"/>
          <w:szCs w:val="22"/>
        </w:rPr>
        <w:t xml:space="preserve">on educator assignment. The data </w:t>
      </w:r>
      <w:r w:rsidR="007E76FC">
        <w:rPr>
          <w:rFonts w:asciiTheme="minorHAnsi" w:hAnsiTheme="minorHAnsi"/>
          <w:sz w:val="22"/>
          <w:szCs w:val="22"/>
        </w:rPr>
        <w:t xml:space="preserve">continue to suggest need for action </w:t>
      </w:r>
      <w:r w:rsidR="002328FA">
        <w:rPr>
          <w:rFonts w:asciiTheme="minorHAnsi" w:hAnsiTheme="minorHAnsi"/>
          <w:sz w:val="22"/>
          <w:szCs w:val="22"/>
        </w:rPr>
        <w:t>in order to close</w:t>
      </w:r>
      <w:r w:rsidR="007E76FC">
        <w:rPr>
          <w:rFonts w:asciiTheme="minorHAnsi" w:hAnsiTheme="minorHAnsi"/>
          <w:sz w:val="22"/>
          <w:szCs w:val="22"/>
        </w:rPr>
        <w:t xml:space="preserve"> persistent achievement gaps in the Commonwealth. Key findings include: </w:t>
      </w:r>
    </w:p>
    <w:p w:rsidR="00CD74F6" w:rsidRDefault="00CD74F6" w:rsidP="00C16BD8">
      <w:pPr>
        <w:rPr>
          <w:rFonts w:ascii="Calibri" w:hAnsi="Calibri"/>
          <w:sz w:val="22"/>
          <w:szCs w:val="22"/>
        </w:rPr>
      </w:pPr>
    </w:p>
    <w:p w:rsidR="00C16BD8" w:rsidRDefault="007E76FC" w:rsidP="00C16BD8">
      <w:pPr>
        <w:rPr>
          <w:rFonts w:asciiTheme="minorHAnsi" w:hAnsiTheme="minorHAnsi"/>
          <w:sz w:val="22"/>
          <w:szCs w:val="22"/>
        </w:rPr>
      </w:pPr>
      <w:r>
        <w:rPr>
          <w:rFonts w:asciiTheme="minorHAnsi" w:hAnsiTheme="minorHAnsi"/>
          <w:b/>
          <w:sz w:val="22"/>
          <w:szCs w:val="22"/>
        </w:rPr>
        <w:t>A</w:t>
      </w:r>
      <w:r w:rsidR="00C54487" w:rsidRPr="00C54487">
        <w:rPr>
          <w:rFonts w:asciiTheme="minorHAnsi" w:hAnsiTheme="minorHAnsi"/>
          <w:b/>
          <w:sz w:val="22"/>
          <w:szCs w:val="22"/>
        </w:rPr>
        <w:t>ccess to highly rated educators</w:t>
      </w:r>
      <w:r>
        <w:rPr>
          <w:rFonts w:asciiTheme="minorHAnsi" w:hAnsiTheme="minorHAnsi"/>
          <w:sz w:val="22"/>
          <w:szCs w:val="22"/>
        </w:rPr>
        <w:t>:</w:t>
      </w:r>
      <w:r w:rsidR="00F004C3">
        <w:rPr>
          <w:rStyle w:val="FootnoteReference"/>
          <w:rFonts w:asciiTheme="minorHAnsi" w:hAnsiTheme="minorHAnsi"/>
          <w:sz w:val="22"/>
          <w:szCs w:val="22"/>
        </w:rPr>
        <w:footnoteReference w:id="2"/>
      </w:r>
    </w:p>
    <w:p w:rsidR="00B350CF" w:rsidRPr="00B350CF" w:rsidRDefault="00B350CF" w:rsidP="00B350CF">
      <w:pPr>
        <w:pStyle w:val="ListParagraph"/>
        <w:numPr>
          <w:ilvl w:val="0"/>
          <w:numId w:val="27"/>
        </w:numPr>
        <w:rPr>
          <w:rFonts w:asciiTheme="minorHAnsi" w:hAnsiTheme="minorHAnsi"/>
          <w:sz w:val="22"/>
          <w:szCs w:val="22"/>
        </w:rPr>
      </w:pPr>
      <w:r w:rsidRPr="00B350CF">
        <w:rPr>
          <w:rFonts w:asciiTheme="minorHAnsi" w:hAnsiTheme="minorHAnsi"/>
          <w:sz w:val="22"/>
          <w:szCs w:val="22"/>
        </w:rPr>
        <w:t>Students of color</w:t>
      </w:r>
      <w:r>
        <w:rPr>
          <w:rStyle w:val="FootnoteReference"/>
          <w:rFonts w:asciiTheme="minorHAnsi" w:hAnsiTheme="minorHAnsi"/>
          <w:sz w:val="22"/>
          <w:szCs w:val="22"/>
        </w:rPr>
        <w:footnoteReference w:id="3"/>
      </w:r>
      <w:r w:rsidRPr="00B350CF">
        <w:rPr>
          <w:rFonts w:asciiTheme="minorHAnsi" w:hAnsiTheme="minorHAnsi"/>
          <w:sz w:val="22"/>
          <w:szCs w:val="22"/>
        </w:rPr>
        <w:t xml:space="preserve"> are </w:t>
      </w:r>
      <w:r w:rsidR="00F004C3">
        <w:rPr>
          <w:rFonts w:asciiTheme="minorHAnsi" w:hAnsiTheme="minorHAnsi"/>
          <w:sz w:val="22"/>
          <w:szCs w:val="22"/>
        </w:rPr>
        <w:t xml:space="preserve">79 percent more likely </w:t>
      </w:r>
      <w:r w:rsidR="009B618A">
        <w:rPr>
          <w:rFonts w:asciiTheme="minorHAnsi" w:hAnsiTheme="minorHAnsi"/>
          <w:sz w:val="22"/>
          <w:szCs w:val="22"/>
        </w:rPr>
        <w:t xml:space="preserve">than white students </w:t>
      </w:r>
      <w:r w:rsidR="00F004C3">
        <w:rPr>
          <w:rFonts w:asciiTheme="minorHAnsi" w:hAnsiTheme="minorHAnsi"/>
          <w:sz w:val="22"/>
          <w:szCs w:val="22"/>
        </w:rPr>
        <w:t xml:space="preserve">to </w:t>
      </w:r>
      <w:r w:rsidRPr="00B350CF">
        <w:rPr>
          <w:rFonts w:asciiTheme="minorHAnsi" w:hAnsiTheme="minorHAnsi"/>
          <w:sz w:val="22"/>
          <w:szCs w:val="22"/>
        </w:rPr>
        <w:t>be assigned to a class with a teacher rated Needs Improvement or Unsatisfactory.</w:t>
      </w:r>
    </w:p>
    <w:p w:rsidR="00B350CF" w:rsidRDefault="00606294" w:rsidP="00B350CF">
      <w:pPr>
        <w:pStyle w:val="ListParagraph"/>
        <w:numPr>
          <w:ilvl w:val="1"/>
          <w:numId w:val="27"/>
        </w:numPr>
        <w:rPr>
          <w:rFonts w:asciiTheme="minorHAnsi" w:hAnsiTheme="minorHAnsi"/>
          <w:sz w:val="22"/>
          <w:szCs w:val="22"/>
        </w:rPr>
      </w:pPr>
      <w:r>
        <w:rPr>
          <w:rFonts w:asciiTheme="minorHAnsi" w:hAnsiTheme="minorHAnsi"/>
          <w:sz w:val="22"/>
          <w:szCs w:val="22"/>
        </w:rPr>
        <w:t xml:space="preserve">In particular, Hispanic or </w:t>
      </w:r>
      <w:r w:rsidR="00B350CF">
        <w:rPr>
          <w:rFonts w:asciiTheme="minorHAnsi" w:hAnsiTheme="minorHAnsi"/>
          <w:sz w:val="22"/>
          <w:szCs w:val="22"/>
        </w:rPr>
        <w:t xml:space="preserve">Latino students are </w:t>
      </w:r>
      <w:r w:rsidR="000A695D">
        <w:rPr>
          <w:rFonts w:asciiTheme="minorHAnsi" w:hAnsiTheme="minorHAnsi"/>
          <w:sz w:val="22"/>
          <w:szCs w:val="22"/>
        </w:rPr>
        <w:t>more than two</w:t>
      </w:r>
      <w:r w:rsidR="00B350CF">
        <w:rPr>
          <w:rFonts w:asciiTheme="minorHAnsi" w:hAnsiTheme="minorHAnsi"/>
          <w:sz w:val="22"/>
          <w:szCs w:val="22"/>
        </w:rPr>
        <w:t xml:space="preserve"> times as likely</w:t>
      </w:r>
      <w:r w:rsidR="009B618A">
        <w:rPr>
          <w:rFonts w:asciiTheme="minorHAnsi" w:hAnsiTheme="minorHAnsi"/>
          <w:sz w:val="22"/>
          <w:szCs w:val="22"/>
        </w:rPr>
        <w:t xml:space="preserve"> as white students</w:t>
      </w:r>
      <w:r w:rsidR="00B350CF">
        <w:rPr>
          <w:rFonts w:asciiTheme="minorHAnsi" w:hAnsiTheme="minorHAnsi"/>
          <w:sz w:val="22"/>
          <w:szCs w:val="22"/>
        </w:rPr>
        <w:t xml:space="preserve"> to be assigned to a teacher with these lower evaluation ratings.</w:t>
      </w:r>
    </w:p>
    <w:p w:rsidR="00B350CF" w:rsidRPr="001D0E8F" w:rsidRDefault="00B350CF" w:rsidP="00B350CF">
      <w:pPr>
        <w:pStyle w:val="ListParagraph"/>
        <w:numPr>
          <w:ilvl w:val="0"/>
          <w:numId w:val="27"/>
        </w:numPr>
        <w:rPr>
          <w:rFonts w:asciiTheme="minorHAnsi" w:hAnsiTheme="minorHAnsi"/>
          <w:sz w:val="22"/>
          <w:szCs w:val="22"/>
        </w:rPr>
      </w:pPr>
      <w:r>
        <w:rPr>
          <w:rFonts w:asciiTheme="minorHAnsi" w:hAnsiTheme="minorHAnsi"/>
          <w:sz w:val="22"/>
          <w:szCs w:val="22"/>
        </w:rPr>
        <w:t xml:space="preserve">Similarly, economically disadvantaged students are </w:t>
      </w:r>
      <w:r w:rsidR="00F004C3">
        <w:rPr>
          <w:rFonts w:asciiTheme="minorHAnsi" w:hAnsiTheme="minorHAnsi"/>
          <w:sz w:val="22"/>
          <w:szCs w:val="22"/>
        </w:rPr>
        <w:t>75 percent more likely</w:t>
      </w:r>
      <w:r>
        <w:rPr>
          <w:rFonts w:asciiTheme="minorHAnsi" w:hAnsiTheme="minorHAnsi"/>
          <w:sz w:val="22"/>
          <w:szCs w:val="22"/>
        </w:rPr>
        <w:t xml:space="preserve">, </w:t>
      </w:r>
      <w:r w:rsidR="00F004C3">
        <w:rPr>
          <w:rFonts w:asciiTheme="minorHAnsi" w:hAnsiTheme="minorHAnsi"/>
          <w:sz w:val="22"/>
          <w:szCs w:val="22"/>
        </w:rPr>
        <w:t>and English learners (ELs) are 73 percent more</w:t>
      </w:r>
      <w:r>
        <w:rPr>
          <w:rFonts w:asciiTheme="minorHAnsi" w:hAnsiTheme="minorHAnsi"/>
          <w:sz w:val="22"/>
          <w:szCs w:val="22"/>
        </w:rPr>
        <w:t xml:space="preserve"> likely, to be assigned to a teacher rated Needs Improvement or Unsatisfactory, compared to </w:t>
      </w:r>
      <w:r w:rsidRPr="001D0E8F">
        <w:rPr>
          <w:rFonts w:asciiTheme="minorHAnsi" w:hAnsiTheme="minorHAnsi"/>
          <w:sz w:val="22"/>
          <w:szCs w:val="22"/>
        </w:rPr>
        <w:t>their peers.</w:t>
      </w:r>
    </w:p>
    <w:p w:rsidR="00B350CF" w:rsidRPr="001D0E8F" w:rsidRDefault="001D0E8F" w:rsidP="00B350CF">
      <w:pPr>
        <w:pStyle w:val="ListParagraph"/>
        <w:numPr>
          <w:ilvl w:val="0"/>
          <w:numId w:val="27"/>
        </w:numPr>
        <w:rPr>
          <w:rFonts w:asciiTheme="minorHAnsi" w:hAnsiTheme="minorHAnsi"/>
          <w:sz w:val="22"/>
          <w:szCs w:val="22"/>
        </w:rPr>
      </w:pPr>
      <w:r w:rsidRPr="001D0E8F">
        <w:rPr>
          <w:rFonts w:asciiTheme="minorHAnsi" w:hAnsiTheme="minorHAnsi"/>
          <w:sz w:val="22"/>
          <w:szCs w:val="22"/>
        </w:rPr>
        <w:t>High poverty schools are three times more likely to have a principal rated Needs Improvement or Unsatisfactory, compared to low poverty schools.</w:t>
      </w:r>
    </w:p>
    <w:p w:rsidR="001D0E8F" w:rsidRPr="001D0E8F" w:rsidRDefault="001D0E8F" w:rsidP="001D0E8F">
      <w:pPr>
        <w:rPr>
          <w:rFonts w:asciiTheme="minorHAnsi" w:hAnsiTheme="minorHAnsi"/>
          <w:color w:val="FF0000"/>
          <w:sz w:val="22"/>
          <w:szCs w:val="22"/>
        </w:rPr>
      </w:pPr>
    </w:p>
    <w:p w:rsidR="00B350CF" w:rsidRDefault="007E76FC" w:rsidP="00B350CF">
      <w:pPr>
        <w:rPr>
          <w:rFonts w:asciiTheme="minorHAnsi" w:hAnsiTheme="minorHAnsi"/>
          <w:sz w:val="22"/>
          <w:szCs w:val="22"/>
        </w:rPr>
      </w:pPr>
      <w:r>
        <w:rPr>
          <w:rFonts w:asciiTheme="minorHAnsi" w:hAnsiTheme="minorHAnsi"/>
          <w:b/>
          <w:sz w:val="22"/>
          <w:szCs w:val="22"/>
        </w:rPr>
        <w:t>A</w:t>
      </w:r>
      <w:r w:rsidR="00C54487" w:rsidRPr="00C54487">
        <w:rPr>
          <w:rFonts w:asciiTheme="minorHAnsi" w:hAnsiTheme="minorHAnsi"/>
          <w:b/>
          <w:sz w:val="22"/>
          <w:szCs w:val="22"/>
        </w:rPr>
        <w:t>ccess to experienced educators</w:t>
      </w:r>
      <w:r w:rsidR="00B350CF">
        <w:rPr>
          <w:rFonts w:asciiTheme="minorHAnsi" w:hAnsiTheme="minorHAnsi"/>
          <w:sz w:val="22"/>
          <w:szCs w:val="22"/>
        </w:rPr>
        <w:t>:</w:t>
      </w:r>
    </w:p>
    <w:p w:rsidR="00606294" w:rsidRDefault="00B350CF" w:rsidP="00606294">
      <w:pPr>
        <w:pStyle w:val="ListParagraph"/>
        <w:numPr>
          <w:ilvl w:val="0"/>
          <w:numId w:val="27"/>
        </w:numPr>
        <w:rPr>
          <w:rFonts w:asciiTheme="minorHAnsi" w:hAnsiTheme="minorHAnsi"/>
          <w:sz w:val="22"/>
          <w:szCs w:val="22"/>
        </w:rPr>
      </w:pPr>
      <w:r>
        <w:rPr>
          <w:rFonts w:asciiTheme="minorHAnsi" w:hAnsiTheme="minorHAnsi"/>
          <w:sz w:val="22"/>
          <w:szCs w:val="22"/>
        </w:rPr>
        <w:t>Economically disadvantaged students</w:t>
      </w:r>
      <w:r w:rsidRPr="002442D7">
        <w:rPr>
          <w:rFonts w:asciiTheme="minorHAnsi" w:hAnsiTheme="minorHAnsi"/>
          <w:sz w:val="22"/>
          <w:szCs w:val="22"/>
        </w:rPr>
        <w:t>, students of color, and ELs are about 30 to 40 percent more likely</w:t>
      </w:r>
      <w:r w:rsidR="00390374">
        <w:rPr>
          <w:rFonts w:asciiTheme="minorHAnsi" w:hAnsiTheme="minorHAnsi"/>
          <w:sz w:val="22"/>
          <w:szCs w:val="22"/>
        </w:rPr>
        <w:t xml:space="preserve"> than their</w:t>
      </w:r>
      <w:r w:rsidR="009B618A">
        <w:rPr>
          <w:rFonts w:asciiTheme="minorHAnsi" w:hAnsiTheme="minorHAnsi"/>
          <w:sz w:val="22"/>
          <w:szCs w:val="22"/>
        </w:rPr>
        <w:t xml:space="preserve"> peers</w:t>
      </w:r>
      <w:r w:rsidRPr="002442D7">
        <w:rPr>
          <w:rFonts w:asciiTheme="minorHAnsi" w:hAnsiTheme="minorHAnsi"/>
          <w:sz w:val="22"/>
          <w:szCs w:val="22"/>
        </w:rPr>
        <w:t xml:space="preserve"> to be assigned to a class with a teacher with fewer than three years of experience</w:t>
      </w:r>
      <w:r>
        <w:rPr>
          <w:rFonts w:asciiTheme="minorHAnsi" w:hAnsiTheme="minorHAnsi"/>
          <w:sz w:val="22"/>
          <w:szCs w:val="22"/>
        </w:rPr>
        <w:t>.</w:t>
      </w:r>
    </w:p>
    <w:p w:rsidR="00606294" w:rsidRDefault="002328FA" w:rsidP="00606BA9">
      <w:pPr>
        <w:pStyle w:val="ListParagraph"/>
        <w:numPr>
          <w:ilvl w:val="0"/>
          <w:numId w:val="27"/>
        </w:numPr>
        <w:rPr>
          <w:rFonts w:asciiTheme="minorHAnsi" w:hAnsiTheme="minorHAnsi"/>
          <w:sz w:val="22"/>
          <w:szCs w:val="22"/>
        </w:rPr>
      </w:pPr>
      <w:r>
        <w:rPr>
          <w:rFonts w:asciiTheme="minorHAnsi" w:hAnsiTheme="minorHAnsi"/>
          <w:sz w:val="22"/>
          <w:szCs w:val="22"/>
        </w:rPr>
        <w:t xml:space="preserve">Additional data compares the quartiles of schools with the highest and lowest proportions of students of color or economically disadvantaged students. Schools with larger proportions of </w:t>
      </w:r>
      <w:r>
        <w:rPr>
          <w:rFonts w:asciiTheme="minorHAnsi" w:hAnsiTheme="minorHAnsi"/>
          <w:sz w:val="22"/>
          <w:szCs w:val="22"/>
        </w:rPr>
        <w:lastRenderedPageBreak/>
        <w:t xml:space="preserve">students of color or economically disadvantaged students employ </w:t>
      </w:r>
      <w:r w:rsidR="00606294" w:rsidRPr="00606294">
        <w:rPr>
          <w:rFonts w:asciiTheme="minorHAnsi" w:hAnsiTheme="minorHAnsi"/>
          <w:sz w:val="22"/>
          <w:szCs w:val="22"/>
        </w:rPr>
        <w:t xml:space="preserve">first-year teachers at more than twice the rate </w:t>
      </w:r>
      <w:r>
        <w:rPr>
          <w:rFonts w:asciiTheme="minorHAnsi" w:hAnsiTheme="minorHAnsi"/>
          <w:sz w:val="22"/>
          <w:szCs w:val="22"/>
        </w:rPr>
        <w:t>of schools with small proportions of these student groups.</w:t>
      </w:r>
    </w:p>
    <w:p w:rsidR="00606294" w:rsidRDefault="00606294" w:rsidP="00606294">
      <w:pPr>
        <w:rPr>
          <w:rFonts w:asciiTheme="minorHAnsi" w:hAnsiTheme="minorHAnsi"/>
          <w:sz w:val="22"/>
          <w:szCs w:val="22"/>
        </w:rPr>
      </w:pPr>
    </w:p>
    <w:p w:rsidR="00606294" w:rsidRPr="00D21C23" w:rsidRDefault="00606294" w:rsidP="00606294">
      <w:pPr>
        <w:rPr>
          <w:rFonts w:asciiTheme="minorHAnsi" w:hAnsiTheme="minorHAnsi"/>
          <w:sz w:val="22"/>
          <w:szCs w:val="22"/>
        </w:rPr>
        <w:sectPr w:rsidR="00606294" w:rsidRPr="00D21C23" w:rsidSect="00D64A4F">
          <w:footerReference w:type="default" r:id="rId18"/>
          <w:footnotePr>
            <w:numFmt w:val="lowerRoman"/>
          </w:footnotePr>
          <w:endnotePr>
            <w:numFmt w:val="decimal"/>
          </w:endnotePr>
          <w:pgSz w:w="12240" w:h="15840" w:code="1"/>
          <w:pgMar w:top="1440" w:right="1440" w:bottom="1440" w:left="1440" w:header="720" w:footer="720" w:gutter="0"/>
          <w:pgNumType w:start="0"/>
          <w:cols w:space="180"/>
          <w:titlePg/>
          <w:docGrid w:linePitch="360"/>
        </w:sectPr>
      </w:pPr>
      <w:r>
        <w:rPr>
          <w:rFonts w:asciiTheme="minorHAnsi" w:hAnsiTheme="minorHAnsi"/>
          <w:b/>
          <w:sz w:val="22"/>
          <w:szCs w:val="22"/>
        </w:rPr>
        <w:t>Teacher attrition rates in Massachusetts</w:t>
      </w:r>
      <w:r w:rsidRPr="00C54487">
        <w:rPr>
          <w:rFonts w:asciiTheme="minorHAnsi" w:hAnsiTheme="minorHAnsi"/>
          <w:b/>
          <w:sz w:val="22"/>
          <w:szCs w:val="22"/>
        </w:rPr>
        <w:t xml:space="preserve"> public </w:t>
      </w:r>
      <w:r>
        <w:rPr>
          <w:rFonts w:asciiTheme="minorHAnsi" w:hAnsiTheme="minorHAnsi"/>
          <w:b/>
          <w:sz w:val="22"/>
          <w:szCs w:val="22"/>
        </w:rPr>
        <w:t xml:space="preserve">schools </w:t>
      </w:r>
      <w:r w:rsidRPr="00C54487">
        <w:rPr>
          <w:rFonts w:asciiTheme="minorHAnsi" w:hAnsiTheme="minorHAnsi"/>
          <w:b/>
          <w:sz w:val="22"/>
          <w:szCs w:val="22"/>
        </w:rPr>
        <w:t xml:space="preserve">are higher for teachers of color and for </w:t>
      </w:r>
      <w:r>
        <w:rPr>
          <w:rFonts w:asciiTheme="minorHAnsi" w:hAnsiTheme="minorHAnsi"/>
          <w:b/>
          <w:sz w:val="22"/>
          <w:szCs w:val="22"/>
        </w:rPr>
        <w:t xml:space="preserve">those serving </w:t>
      </w:r>
      <w:r w:rsidRPr="00C54487">
        <w:rPr>
          <w:rFonts w:asciiTheme="minorHAnsi" w:hAnsiTheme="minorHAnsi"/>
          <w:b/>
          <w:sz w:val="22"/>
          <w:szCs w:val="22"/>
        </w:rPr>
        <w:t>special populations</w:t>
      </w:r>
      <w:r>
        <w:rPr>
          <w:rFonts w:asciiTheme="minorHAnsi" w:hAnsiTheme="minorHAnsi"/>
          <w:sz w:val="22"/>
          <w:szCs w:val="22"/>
        </w:rPr>
        <w:t>. Teacher turnover is certainly a factor in having fewer experienced educators in Massachusetts classrooms</w:t>
      </w:r>
      <w:r w:rsidRPr="00D21C23">
        <w:rPr>
          <w:rFonts w:asciiTheme="minorHAnsi" w:hAnsiTheme="minorHAnsi"/>
          <w:sz w:val="22"/>
          <w:szCs w:val="22"/>
        </w:rPr>
        <w:t xml:space="preserve">. </w:t>
      </w:r>
      <w:r>
        <w:rPr>
          <w:rFonts w:asciiTheme="minorHAnsi" w:hAnsiTheme="minorHAnsi"/>
          <w:sz w:val="22"/>
          <w:szCs w:val="22"/>
        </w:rPr>
        <w:t>The good news is that teachers</w:t>
      </w:r>
      <w:r w:rsidRPr="00BA6E10">
        <w:rPr>
          <w:rFonts w:asciiTheme="minorHAnsi" w:hAnsiTheme="minorHAnsi"/>
          <w:sz w:val="22"/>
          <w:szCs w:val="22"/>
        </w:rPr>
        <w:t xml:space="preserve"> and principals rated Exemplary or Proficient are more likely to stay in the profession, and in the same school and district.</w:t>
      </w:r>
      <w:r>
        <w:rPr>
          <w:rFonts w:asciiTheme="minorHAnsi" w:hAnsiTheme="minorHAnsi"/>
          <w:sz w:val="22"/>
          <w:szCs w:val="22"/>
        </w:rPr>
        <w:t xml:space="preserve"> However, a</w:t>
      </w:r>
      <w:r w:rsidRPr="00D21C23">
        <w:rPr>
          <w:rFonts w:asciiTheme="minorHAnsi" w:hAnsiTheme="minorHAnsi"/>
          <w:sz w:val="22"/>
          <w:szCs w:val="22"/>
        </w:rPr>
        <w:t>mong English as a Second Language (ESL) teachers who return</w:t>
      </w:r>
      <w:r>
        <w:rPr>
          <w:rFonts w:asciiTheme="minorHAnsi" w:hAnsiTheme="minorHAnsi"/>
          <w:sz w:val="22"/>
          <w:szCs w:val="22"/>
        </w:rPr>
        <w:t>ed</w:t>
      </w:r>
      <w:r w:rsidRPr="00D21C23">
        <w:rPr>
          <w:rFonts w:asciiTheme="minorHAnsi" w:hAnsiTheme="minorHAnsi"/>
          <w:sz w:val="22"/>
          <w:szCs w:val="22"/>
        </w:rPr>
        <w:t xml:space="preserve"> to Massachusetts public schools, </w:t>
      </w:r>
      <w:r>
        <w:rPr>
          <w:rFonts w:asciiTheme="minorHAnsi" w:hAnsiTheme="minorHAnsi"/>
          <w:sz w:val="22"/>
          <w:szCs w:val="22"/>
        </w:rPr>
        <w:t>almost a quarter</w:t>
      </w:r>
      <w:r w:rsidRPr="00D21C23">
        <w:rPr>
          <w:rFonts w:asciiTheme="minorHAnsi" w:hAnsiTheme="minorHAnsi"/>
          <w:sz w:val="22"/>
          <w:szCs w:val="22"/>
        </w:rPr>
        <w:t xml:space="preserve"> switch</w:t>
      </w:r>
      <w:r>
        <w:rPr>
          <w:rFonts w:asciiTheme="minorHAnsi" w:hAnsiTheme="minorHAnsi"/>
          <w:sz w:val="22"/>
          <w:szCs w:val="22"/>
        </w:rPr>
        <w:t>ed</w:t>
      </w:r>
      <w:r w:rsidRPr="00D21C23">
        <w:rPr>
          <w:rFonts w:asciiTheme="minorHAnsi" w:hAnsiTheme="minorHAnsi"/>
          <w:sz w:val="22"/>
          <w:szCs w:val="22"/>
        </w:rPr>
        <w:t xml:space="preserve"> to a program area other than ESL</w:t>
      </w:r>
      <w:r>
        <w:rPr>
          <w:rFonts w:asciiTheme="minorHAnsi" w:hAnsiTheme="minorHAnsi"/>
          <w:sz w:val="22"/>
          <w:szCs w:val="22"/>
        </w:rPr>
        <w:t xml:space="preserve"> the following year</w:t>
      </w:r>
      <w:r w:rsidRPr="00D21C23">
        <w:rPr>
          <w:rFonts w:asciiTheme="minorHAnsi" w:hAnsiTheme="minorHAnsi"/>
          <w:sz w:val="22"/>
          <w:szCs w:val="22"/>
        </w:rPr>
        <w:t xml:space="preserve">. </w:t>
      </w:r>
      <w:r>
        <w:rPr>
          <w:rFonts w:asciiTheme="minorHAnsi" w:hAnsiTheme="minorHAnsi"/>
          <w:sz w:val="22"/>
          <w:szCs w:val="22"/>
        </w:rPr>
        <w:t>Similarly, s</w:t>
      </w:r>
      <w:r w:rsidRPr="00D21C23">
        <w:rPr>
          <w:rFonts w:asciiTheme="minorHAnsi" w:hAnsiTheme="minorHAnsi"/>
          <w:sz w:val="22"/>
          <w:szCs w:val="22"/>
        </w:rPr>
        <w:t>ixteen percent of retained special educators also switch</w:t>
      </w:r>
      <w:r>
        <w:rPr>
          <w:rFonts w:asciiTheme="minorHAnsi" w:hAnsiTheme="minorHAnsi"/>
          <w:sz w:val="22"/>
          <w:szCs w:val="22"/>
        </w:rPr>
        <w:t>ed program area.</w:t>
      </w: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r>
        <w:rPr>
          <w:rFonts w:asciiTheme="minorHAnsi" w:hAnsiTheme="minorHAnsi"/>
          <w:sz w:val="22"/>
          <w:szCs w:val="22"/>
        </w:rPr>
        <w:t xml:space="preserve">These data tell a compelling story and can guide the actions we take to address inequities. In 2018, DESE will work with stakeholders to set timelines and progress goals for the closure of statewide gaps. Potential metrics can track both the magnitude and prevalence of disparities in access to educators across Massachusetts. </w:t>
      </w:r>
    </w:p>
    <w:p w:rsidR="00606294" w:rsidRDefault="00606294" w:rsidP="00606294">
      <w:pPr>
        <w:rPr>
          <w:rFonts w:asciiTheme="minorHAnsi" w:hAnsiTheme="minorHAnsi"/>
          <w:sz w:val="22"/>
          <w:szCs w:val="22"/>
        </w:rPr>
      </w:pPr>
    </w:p>
    <w:p w:rsidR="00606294" w:rsidRPr="00C80C73" w:rsidRDefault="00606294" w:rsidP="00606294">
      <w:pPr>
        <w:rPr>
          <w:rFonts w:asciiTheme="minorHAnsi" w:hAnsiTheme="minorHAnsi"/>
          <w:sz w:val="22"/>
          <w:szCs w:val="22"/>
        </w:rPr>
      </w:pPr>
      <w:r>
        <w:rPr>
          <w:rFonts w:asciiTheme="minorHAnsi" w:hAnsiTheme="minorHAnsi"/>
          <w:sz w:val="22"/>
          <w:szCs w:val="22"/>
        </w:rPr>
        <w:t xml:space="preserve">Also in 2018, districts will begin to report on how they identify any school- or district-level equity gaps, and explain how the district will address local gaps, in accordance with federal policy (ESSA). DESE will provide districts with resources to identify equity gaps. If </w:t>
      </w:r>
      <w:r w:rsidR="003B187F">
        <w:rPr>
          <w:rFonts w:asciiTheme="minorHAnsi" w:hAnsiTheme="minorHAnsi"/>
          <w:sz w:val="22"/>
          <w:szCs w:val="22"/>
        </w:rPr>
        <w:t>students in a</w:t>
      </w:r>
      <w:r>
        <w:rPr>
          <w:rFonts w:asciiTheme="minorHAnsi" w:hAnsiTheme="minorHAnsi"/>
          <w:sz w:val="22"/>
          <w:szCs w:val="22"/>
        </w:rPr>
        <w:t xml:space="preserve"> historically disadvantaged group </w:t>
      </w:r>
      <w:r w:rsidR="003B187F">
        <w:rPr>
          <w:rFonts w:asciiTheme="minorHAnsi" w:hAnsiTheme="minorHAnsi"/>
          <w:sz w:val="22"/>
          <w:szCs w:val="22"/>
        </w:rPr>
        <w:t xml:space="preserve">are </w:t>
      </w:r>
      <w:r>
        <w:rPr>
          <w:rFonts w:asciiTheme="minorHAnsi" w:hAnsiTheme="minorHAnsi"/>
          <w:sz w:val="22"/>
          <w:szCs w:val="22"/>
        </w:rPr>
        <w:t xml:space="preserve">at least 1.5 times as likely </w:t>
      </w:r>
      <w:r w:rsidR="003B187F">
        <w:rPr>
          <w:rFonts w:asciiTheme="minorHAnsi" w:hAnsiTheme="minorHAnsi"/>
          <w:sz w:val="22"/>
          <w:szCs w:val="22"/>
        </w:rPr>
        <w:t xml:space="preserve">as their peers </w:t>
      </w:r>
      <w:r>
        <w:rPr>
          <w:rFonts w:asciiTheme="minorHAnsi" w:hAnsiTheme="minorHAnsi"/>
          <w:sz w:val="22"/>
          <w:szCs w:val="22"/>
        </w:rPr>
        <w:t>to be assigned to a teacher who is inexperienced, out-of-field, or rated Needs Improvement or Unsatisfactory on the educator evaluation system,</w:t>
      </w:r>
      <w:r w:rsidR="003B187F">
        <w:rPr>
          <w:rFonts w:asciiTheme="minorHAnsi" w:hAnsiTheme="minorHAnsi"/>
          <w:sz w:val="22"/>
          <w:szCs w:val="22"/>
        </w:rPr>
        <w:t xml:space="preserve"> DESE will ask</w:t>
      </w:r>
      <w:r>
        <w:rPr>
          <w:rFonts w:asciiTheme="minorHAnsi" w:hAnsiTheme="minorHAnsi"/>
          <w:sz w:val="22"/>
          <w:szCs w:val="22"/>
        </w:rPr>
        <w:t xml:space="preserve"> the district to report how they are addressing that gap. In 2017:</w:t>
      </w:r>
    </w:p>
    <w:p w:rsidR="00606294" w:rsidRDefault="00606294" w:rsidP="00606294">
      <w:pPr>
        <w:pStyle w:val="ListParagraph"/>
        <w:numPr>
          <w:ilvl w:val="0"/>
          <w:numId w:val="28"/>
        </w:numPr>
        <w:rPr>
          <w:rFonts w:asciiTheme="minorHAnsi" w:hAnsiTheme="minorHAnsi" w:cs="Courier New"/>
          <w:sz w:val="22"/>
          <w:szCs w:val="22"/>
        </w:rPr>
      </w:pPr>
      <w:r w:rsidRPr="00B350CF">
        <w:rPr>
          <w:rFonts w:asciiTheme="minorHAnsi" w:hAnsiTheme="minorHAnsi" w:cs="Courier New"/>
          <w:sz w:val="22"/>
          <w:szCs w:val="22"/>
        </w:rPr>
        <w:t xml:space="preserve">165 school districts </w:t>
      </w:r>
      <w:r>
        <w:rPr>
          <w:rFonts w:asciiTheme="minorHAnsi" w:hAnsiTheme="minorHAnsi" w:cs="Courier New"/>
          <w:sz w:val="22"/>
          <w:szCs w:val="22"/>
        </w:rPr>
        <w:t xml:space="preserve">in Massachusetts </w:t>
      </w:r>
      <w:r w:rsidRPr="00B350CF">
        <w:rPr>
          <w:rFonts w:asciiTheme="minorHAnsi" w:hAnsiTheme="minorHAnsi" w:cs="Courier New"/>
          <w:sz w:val="22"/>
          <w:szCs w:val="22"/>
        </w:rPr>
        <w:t>had one or more district</w:t>
      </w:r>
      <w:r w:rsidRPr="00B350CF">
        <w:rPr>
          <w:rFonts w:asciiTheme="minorHAnsi" w:eastAsia="Helvetica" w:hAnsiTheme="minorHAnsi" w:cs="Helvetica"/>
          <w:sz w:val="22"/>
          <w:szCs w:val="22"/>
        </w:rPr>
        <w:t>-</w:t>
      </w:r>
      <w:r w:rsidRPr="00B350CF">
        <w:rPr>
          <w:rFonts w:asciiTheme="minorHAnsi" w:hAnsiTheme="minorHAnsi" w:cs="Courier New"/>
          <w:sz w:val="22"/>
          <w:szCs w:val="22"/>
        </w:rPr>
        <w:t>wide gaps meeting the 1.5 threshold.</w:t>
      </w:r>
    </w:p>
    <w:p w:rsidR="00606294" w:rsidRPr="00B350CF" w:rsidRDefault="00606294" w:rsidP="00606294">
      <w:pPr>
        <w:pStyle w:val="ListParagraph"/>
        <w:numPr>
          <w:ilvl w:val="0"/>
          <w:numId w:val="28"/>
        </w:numPr>
        <w:rPr>
          <w:rFonts w:asciiTheme="minorHAnsi" w:hAnsiTheme="minorHAnsi" w:cs="Courier New"/>
          <w:sz w:val="22"/>
          <w:szCs w:val="22"/>
        </w:rPr>
      </w:pPr>
      <w:r w:rsidRPr="00B350CF">
        <w:rPr>
          <w:rFonts w:asciiTheme="minorHAnsi" w:hAnsiTheme="minorHAnsi" w:cs="Courier New"/>
          <w:sz w:val="22"/>
          <w:szCs w:val="22"/>
        </w:rPr>
        <w:t>786 schools had one or more school</w:t>
      </w:r>
      <w:r w:rsidRPr="00B350CF">
        <w:rPr>
          <w:rFonts w:asciiTheme="minorHAnsi" w:eastAsia="Helvetica" w:hAnsiTheme="minorHAnsi" w:cs="Helvetica"/>
          <w:sz w:val="22"/>
          <w:szCs w:val="22"/>
        </w:rPr>
        <w:t>-</w:t>
      </w:r>
      <w:r w:rsidRPr="00B350CF">
        <w:rPr>
          <w:rFonts w:asciiTheme="minorHAnsi" w:hAnsiTheme="minorHAnsi" w:cs="Courier New"/>
          <w:sz w:val="22"/>
          <w:szCs w:val="22"/>
        </w:rPr>
        <w:t>wide gaps meeting the 1.5 threshold. These 786 schools represent 263 districts.</w:t>
      </w:r>
    </w:p>
    <w:p w:rsidR="00606294" w:rsidRPr="00B350CF" w:rsidRDefault="00606294" w:rsidP="00606294">
      <w:pPr>
        <w:pStyle w:val="ListParagraph"/>
        <w:numPr>
          <w:ilvl w:val="0"/>
          <w:numId w:val="28"/>
        </w:numPr>
        <w:rPr>
          <w:rFonts w:asciiTheme="minorHAnsi" w:hAnsiTheme="minorHAnsi" w:cs="Courier New"/>
          <w:sz w:val="22"/>
          <w:szCs w:val="22"/>
        </w:rPr>
      </w:pPr>
      <w:r w:rsidRPr="00F05CF8">
        <w:rPr>
          <w:rFonts w:asciiTheme="minorHAnsi" w:hAnsiTheme="minorHAnsi" w:cs="Courier New"/>
          <w:sz w:val="22"/>
          <w:szCs w:val="22"/>
        </w:rPr>
        <w:t>Put in other words, 40.6 percent of districts and 42.4 percent of schools had one or more equity gaps (this includes charter schools and regional vocational technical high schools).</w:t>
      </w:r>
    </w:p>
    <w:p w:rsidR="00606294" w:rsidRDefault="00606294" w:rsidP="00606294">
      <w:pPr>
        <w:rPr>
          <w:rFonts w:asciiTheme="minorHAnsi" w:hAnsiTheme="minorHAnsi"/>
          <w:sz w:val="22"/>
          <w:szCs w:val="22"/>
        </w:rPr>
      </w:pPr>
    </w:p>
    <w:p w:rsidR="00606294" w:rsidRPr="00B350CF" w:rsidRDefault="00606294" w:rsidP="00606294">
      <w:pPr>
        <w:rPr>
          <w:rFonts w:asciiTheme="minorHAnsi" w:hAnsiTheme="minorHAnsi"/>
          <w:sz w:val="22"/>
          <w:szCs w:val="22"/>
        </w:rPr>
      </w:pPr>
      <w:r w:rsidRPr="00B350CF">
        <w:rPr>
          <w:rFonts w:asciiTheme="minorHAnsi" w:hAnsiTheme="minorHAnsi"/>
          <w:sz w:val="22"/>
          <w:szCs w:val="22"/>
        </w:rPr>
        <w:t xml:space="preserve">Closing student achievement gaps is the collective responsibility of DESE, districts, schools, and families. Addressing inequities in access to excellent educators is a key lever in this work. This 2018 Equity Update provides further information about the data, next steps for DESE and districts, and strategies for closing equity gaps. </w:t>
      </w:r>
    </w:p>
    <w:p w:rsidR="00606294" w:rsidRDefault="00606294" w:rsidP="00606294">
      <w:pPr>
        <w:spacing w:after="200" w:line="276" w:lineRule="auto"/>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1D0E8F" w:rsidRDefault="001D0E8F" w:rsidP="00606294">
      <w:pPr>
        <w:rPr>
          <w:rFonts w:asciiTheme="minorHAnsi" w:hAnsiTheme="minorHAnsi"/>
          <w:sz w:val="22"/>
          <w:szCs w:val="22"/>
        </w:rPr>
      </w:pPr>
    </w:p>
    <w:p w:rsidR="001D0E8F" w:rsidRDefault="001D0E8F" w:rsidP="00606294">
      <w:pPr>
        <w:rPr>
          <w:rFonts w:asciiTheme="minorHAnsi" w:hAnsiTheme="minorHAnsi"/>
          <w:sz w:val="22"/>
          <w:szCs w:val="22"/>
        </w:rPr>
      </w:pPr>
    </w:p>
    <w:p w:rsidR="001D0E8F" w:rsidRDefault="001D0E8F"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Default="00606294" w:rsidP="00606294">
      <w:pPr>
        <w:rPr>
          <w:rFonts w:asciiTheme="minorHAnsi" w:hAnsiTheme="minorHAnsi"/>
          <w:sz w:val="22"/>
          <w:szCs w:val="22"/>
        </w:rPr>
      </w:pPr>
    </w:p>
    <w:p w:rsidR="00606294" w:rsidRPr="00B350CF" w:rsidRDefault="00606294" w:rsidP="00606294">
      <w:pPr>
        <w:rPr>
          <w:rFonts w:asciiTheme="minorHAnsi" w:hAnsiTheme="minorHAnsi"/>
          <w:sz w:val="22"/>
          <w:szCs w:val="22"/>
        </w:rPr>
        <w:sectPr w:rsidR="00606294" w:rsidRPr="00B350CF" w:rsidSect="00B350CF">
          <w:footnotePr>
            <w:numFmt w:val="lowerRoman"/>
          </w:footnotePr>
          <w:endnotePr>
            <w:numFmt w:val="decimal"/>
          </w:endnotePr>
          <w:type w:val="continuous"/>
          <w:pgSz w:w="12240" w:h="15840" w:code="1"/>
          <w:pgMar w:top="1440" w:right="1440" w:bottom="1440" w:left="1440" w:header="720" w:footer="720" w:gutter="0"/>
          <w:cols w:space="180"/>
          <w:docGrid w:linePitch="360"/>
        </w:sectPr>
      </w:pPr>
    </w:p>
    <w:sdt>
      <w:sdtPr>
        <w:rPr>
          <w:rFonts w:ascii="Times New Roman" w:eastAsia="Times New Roman" w:hAnsi="Times New Roman" w:cs="Times New Roman"/>
          <w:b w:val="0"/>
          <w:bCs w:val="0"/>
          <w:color w:val="auto"/>
          <w:sz w:val="24"/>
          <w:szCs w:val="24"/>
        </w:rPr>
        <w:id w:val="3216664"/>
        <w:docPartObj>
          <w:docPartGallery w:val="Table of Contents"/>
          <w:docPartUnique/>
        </w:docPartObj>
      </w:sdtPr>
      <w:sdtEndPr/>
      <w:sdtContent>
        <w:p w:rsidR="009777DB" w:rsidRDefault="009777DB" w:rsidP="00C31890">
          <w:pPr>
            <w:pStyle w:val="TOCHeading"/>
          </w:pPr>
          <w:r>
            <w:t>Table of Contents</w:t>
          </w:r>
        </w:p>
        <w:p w:rsidR="009777DB" w:rsidRPr="009777DB" w:rsidRDefault="009777DB" w:rsidP="00C31890">
          <w:pPr>
            <w:pStyle w:val="TOC1"/>
            <w:rPr>
              <w:rFonts w:asciiTheme="minorHAnsi" w:eastAsiaTheme="minorEastAsia" w:hAnsiTheme="minorHAnsi" w:cstheme="minorBidi"/>
              <w:noProof/>
              <w:sz w:val="22"/>
              <w:szCs w:val="22"/>
            </w:rPr>
          </w:pPr>
          <w:r w:rsidRPr="009777DB">
            <w:rPr>
              <w:rFonts w:asciiTheme="minorHAnsi" w:hAnsiTheme="minorHAnsi"/>
              <w:sz w:val="22"/>
              <w:szCs w:val="22"/>
            </w:rPr>
            <w:fldChar w:fldCharType="begin"/>
          </w:r>
          <w:r w:rsidRPr="009777DB">
            <w:rPr>
              <w:rFonts w:asciiTheme="minorHAnsi" w:hAnsiTheme="minorHAnsi"/>
              <w:sz w:val="22"/>
              <w:szCs w:val="22"/>
            </w:rPr>
            <w:instrText xml:space="preserve"> TOC \o "1-3" \h \z \u </w:instrText>
          </w:r>
          <w:r w:rsidRPr="009777DB">
            <w:rPr>
              <w:rFonts w:asciiTheme="minorHAnsi" w:hAnsiTheme="minorHAnsi"/>
              <w:sz w:val="22"/>
              <w:szCs w:val="22"/>
            </w:rPr>
            <w:fldChar w:fldCharType="separate"/>
          </w:r>
          <w:hyperlink w:anchor="_Toc509831817" w:history="1">
            <w:r w:rsidRPr="009777DB">
              <w:rPr>
                <w:rStyle w:val="Hyperlink"/>
                <w:rFonts w:asciiTheme="minorHAnsi" w:hAnsiTheme="minorHAnsi"/>
                <w:noProof/>
                <w:sz w:val="22"/>
                <w:szCs w:val="22"/>
              </w:rPr>
              <w:t>Executive Summary</w:t>
            </w:r>
            <w:r w:rsidRPr="009777DB">
              <w:rPr>
                <w:rFonts w:asciiTheme="minorHAnsi" w:hAnsiTheme="minorHAnsi"/>
                <w:noProof/>
                <w:webHidden/>
                <w:sz w:val="22"/>
                <w:szCs w:val="22"/>
              </w:rPr>
              <w:tab/>
              <w:t>……………………………………………………</w:t>
            </w:r>
            <w:r>
              <w:rPr>
                <w:rFonts w:asciiTheme="minorHAnsi" w:hAnsiTheme="minorHAnsi"/>
                <w:noProof/>
                <w:webHidden/>
                <w:sz w:val="22"/>
                <w:szCs w:val="22"/>
              </w:rPr>
              <w:t>……………………………………………….</w:t>
            </w:r>
            <w:r w:rsidRPr="009777DB">
              <w:rPr>
                <w:rFonts w:asciiTheme="minorHAnsi" w:hAnsiTheme="minorHAnsi"/>
                <w:noProof/>
                <w:webHidden/>
                <w:sz w:val="22"/>
                <w:szCs w:val="22"/>
              </w:rPr>
              <w:t xml:space="preserve">…………………………. </w:t>
            </w:r>
            <w:r w:rsidRPr="009777DB">
              <w:rPr>
                <w:rFonts w:asciiTheme="minorHAnsi" w:hAnsiTheme="minorHAnsi"/>
                <w:noProof/>
                <w:webHidden/>
                <w:sz w:val="22"/>
                <w:szCs w:val="22"/>
              </w:rPr>
              <w:fldChar w:fldCharType="begin"/>
            </w:r>
            <w:r w:rsidRPr="009777DB">
              <w:rPr>
                <w:rFonts w:asciiTheme="minorHAnsi" w:hAnsiTheme="minorHAnsi"/>
                <w:noProof/>
                <w:webHidden/>
                <w:sz w:val="22"/>
                <w:szCs w:val="22"/>
              </w:rPr>
              <w:instrText xml:space="preserve"> PAGEREF _Toc509831817 \h </w:instrText>
            </w:r>
            <w:r w:rsidRPr="009777DB">
              <w:rPr>
                <w:rFonts w:asciiTheme="minorHAnsi" w:hAnsiTheme="minorHAnsi"/>
                <w:noProof/>
                <w:webHidden/>
                <w:sz w:val="22"/>
                <w:szCs w:val="22"/>
              </w:rPr>
            </w:r>
            <w:r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w:t>
            </w:r>
            <w:r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18" w:history="1">
            <w:r w:rsidR="009777DB" w:rsidRPr="009777DB">
              <w:rPr>
                <w:rStyle w:val="Hyperlink"/>
                <w:rFonts w:asciiTheme="minorHAnsi" w:hAnsiTheme="minorHAnsi"/>
                <w:noProof/>
                <w:sz w:val="22"/>
                <w:szCs w:val="22"/>
              </w:rPr>
              <w:t>Introduction</w:t>
            </w:r>
            <w:r w:rsidR="009777DB" w:rsidRPr="009777DB">
              <w:rPr>
                <w:rFonts w:asciiTheme="minorHAnsi" w:hAnsiTheme="minorHAnsi"/>
                <w:noProof/>
                <w:webHidden/>
                <w:sz w:val="22"/>
                <w:szCs w:val="22"/>
              </w:rPr>
              <w:tab/>
              <w:t>……………………………………………………………………</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_Toc509831818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4</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19" w:history="1">
            <w:r w:rsidR="009777DB" w:rsidRPr="009777DB">
              <w:rPr>
                <w:rStyle w:val="Hyperlink"/>
                <w:rFonts w:asciiTheme="minorHAnsi" w:hAnsiTheme="minorHAnsi"/>
                <w:noProof/>
                <w:sz w:val="22"/>
                <w:szCs w:val="22"/>
              </w:rPr>
              <w:t>Equitable Access Data</w:t>
            </w:r>
            <w:r w:rsidR="009777DB" w:rsidRPr="009777DB">
              <w:rPr>
                <w:rFonts w:asciiTheme="minorHAnsi" w:hAnsiTheme="minorHAnsi"/>
                <w:noProof/>
                <w:webHidden/>
                <w:sz w:val="22"/>
                <w:szCs w:val="22"/>
              </w:rPr>
              <w:tab/>
              <w:t>……………………………………………………………………………</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_Toc509831819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5</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0" w:history="1">
            <w:r w:rsidR="009777DB" w:rsidRPr="009777DB">
              <w:rPr>
                <w:rStyle w:val="Hyperlink"/>
                <w:rFonts w:asciiTheme="minorHAnsi" w:hAnsiTheme="minorHAnsi"/>
                <w:noProof/>
                <w:sz w:val="22"/>
                <w:szCs w:val="22"/>
              </w:rPr>
              <w:t>Equity Gap 1: Educator Evaluation Summative Ratings</w:t>
            </w:r>
            <w:r w:rsidR="009777DB" w:rsidRPr="009777DB">
              <w:rPr>
                <w:rFonts w:asciiTheme="minorHAnsi" w:hAnsiTheme="minorHAnsi"/>
                <w:noProof/>
                <w:webHidden/>
                <w:sz w:val="22"/>
                <w:szCs w:val="22"/>
              </w:rPr>
              <w:tab/>
            </w:r>
            <w:r w:rsidR="00630B8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_Toc509831820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6</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1" w:history="1">
            <w:r w:rsidR="009777DB" w:rsidRPr="009777DB">
              <w:rPr>
                <w:rStyle w:val="Hyperlink"/>
                <w:rFonts w:asciiTheme="minorHAnsi" w:hAnsiTheme="minorHAnsi"/>
                <w:noProof/>
                <w:sz w:val="22"/>
                <w:szCs w:val="22"/>
              </w:rPr>
              <w:t>Equity Gap 2: Educator Experience</w:t>
            </w:r>
            <w:r w:rsidR="009777DB" w:rsidRPr="009777DB">
              <w:rPr>
                <w:rFonts w:asciiTheme="minorHAnsi" w:hAnsiTheme="minorHAnsi"/>
                <w:noProof/>
                <w:webHidden/>
                <w:sz w:val="22"/>
                <w:szCs w:val="22"/>
              </w:rPr>
              <w:tab/>
            </w:r>
            <w:r w:rsidR="00630B8B">
              <w:rPr>
                <w:rFonts w:asciiTheme="minorHAnsi" w:hAnsiTheme="minorHAnsi"/>
                <w:noProof/>
                <w:webHidden/>
                <w:sz w:val="22"/>
                <w:szCs w:val="22"/>
              </w:rPr>
              <w:t>……………………………………………………………………………………………………</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_Toc509831821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7</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2" w:history="1">
            <w:r w:rsidR="009777DB" w:rsidRPr="009777DB">
              <w:rPr>
                <w:rStyle w:val="Hyperlink"/>
                <w:rFonts w:asciiTheme="minorHAnsi" w:hAnsiTheme="minorHAnsi"/>
                <w:noProof/>
                <w:sz w:val="22"/>
                <w:szCs w:val="22"/>
              </w:rPr>
              <w:t>Equity Gap 3: Educator Qualifications</w:t>
            </w:r>
            <w:r w:rsidR="00630B8B">
              <w:rPr>
                <w:rStyle w:val="Hyperlink"/>
                <w:rFonts w:asciiTheme="minorHAnsi" w:hAnsiTheme="minorHAnsi"/>
                <w:noProof/>
                <w:sz w:val="22"/>
                <w:szCs w:val="22"/>
              </w:rPr>
              <w:t>………………………………………………………………………………………………….</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_Toc509831822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7</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23" w:history="1">
            <w:r w:rsidR="009777DB" w:rsidRPr="009777DB">
              <w:rPr>
                <w:rStyle w:val="Hyperlink"/>
                <w:rFonts w:asciiTheme="minorHAnsi" w:hAnsiTheme="minorHAnsi"/>
                <w:noProof/>
                <w:sz w:val="22"/>
                <w:szCs w:val="22"/>
              </w:rPr>
              <w:t>Educator retention data</w:t>
            </w:r>
            <w:r w:rsidR="009777DB" w:rsidRPr="009777DB">
              <w:rPr>
                <w:rFonts w:asciiTheme="minorHAnsi" w:hAnsiTheme="minorHAnsi"/>
                <w:noProof/>
                <w:webHidden/>
                <w:sz w:val="22"/>
                <w:szCs w:val="22"/>
              </w:rPr>
              <w:tab/>
              <w:t>……………………………………………………………………</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_Toc509831823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7</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4" w:history="1">
            <w:r w:rsidR="009777DB" w:rsidRPr="009777DB">
              <w:rPr>
                <w:rStyle w:val="Hyperlink"/>
                <w:rFonts w:asciiTheme="minorHAnsi" w:hAnsiTheme="minorHAnsi"/>
                <w:noProof/>
                <w:sz w:val="22"/>
                <w:szCs w:val="22"/>
              </w:rPr>
              <w:t>Educator retention by evaluation ratings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_Toc509831824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8</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5" w:history="1">
            <w:r w:rsidR="009777DB" w:rsidRPr="009777DB">
              <w:rPr>
                <w:rStyle w:val="Hyperlink"/>
                <w:rFonts w:asciiTheme="minorHAnsi" w:hAnsiTheme="minorHAnsi"/>
                <w:noProof/>
                <w:sz w:val="22"/>
                <w:szCs w:val="22"/>
              </w:rPr>
              <w:t>Educator retention in hard</w:t>
            </w:r>
            <w:r w:rsidR="009777DB" w:rsidRPr="009777DB">
              <w:rPr>
                <w:rStyle w:val="Hyperlink"/>
                <w:rFonts w:asciiTheme="minorHAnsi" w:eastAsia="Helvetica" w:hAnsiTheme="minorHAnsi" w:cs="Helvetica"/>
                <w:noProof/>
                <w:sz w:val="22"/>
                <w:szCs w:val="22"/>
              </w:rPr>
              <w:t>-</w:t>
            </w:r>
            <w:r w:rsidR="009777DB" w:rsidRPr="009777DB">
              <w:rPr>
                <w:rStyle w:val="Hyperlink"/>
                <w:rFonts w:asciiTheme="minorHAnsi" w:hAnsiTheme="minorHAnsi"/>
                <w:noProof/>
                <w:sz w:val="22"/>
                <w:szCs w:val="22"/>
              </w:rPr>
              <w:t>to</w:t>
            </w:r>
            <w:r w:rsidR="009777DB" w:rsidRPr="009777DB">
              <w:rPr>
                <w:rStyle w:val="Hyperlink"/>
                <w:rFonts w:asciiTheme="minorHAnsi" w:eastAsia="Helvetica" w:hAnsiTheme="minorHAnsi" w:cs="Helvetica"/>
                <w:noProof/>
                <w:sz w:val="22"/>
                <w:szCs w:val="22"/>
              </w:rPr>
              <w:t>-</w:t>
            </w:r>
            <w:r w:rsidR="009777DB" w:rsidRPr="009777DB">
              <w:rPr>
                <w:rStyle w:val="Hyperlink"/>
                <w:rFonts w:asciiTheme="minorHAnsi" w:hAnsiTheme="minorHAnsi"/>
                <w:noProof/>
                <w:sz w:val="22"/>
                <w:szCs w:val="22"/>
              </w:rPr>
              <w:t>staff roles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_Toc509831825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9</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6" w:history="1">
            <w:r w:rsidR="009777DB" w:rsidRPr="009777DB">
              <w:rPr>
                <w:rStyle w:val="Hyperlink"/>
                <w:rFonts w:asciiTheme="minorHAnsi" w:hAnsiTheme="minorHAnsi"/>
                <w:noProof/>
                <w:sz w:val="22"/>
                <w:szCs w:val="22"/>
              </w:rPr>
              <w:t>Retention of educators of color</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_Toc509831826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10</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27" w:history="1">
            <w:r w:rsidR="009777DB" w:rsidRPr="009777DB">
              <w:rPr>
                <w:rStyle w:val="Hyperlink"/>
                <w:rFonts w:asciiTheme="minorHAnsi" w:hAnsiTheme="minorHAnsi"/>
                <w:noProof/>
                <w:sz w:val="22"/>
                <w:szCs w:val="22"/>
              </w:rPr>
              <w:t>Strategies to Eliminate Equity Gaps</w:t>
            </w:r>
            <w:r w:rsidR="009777DB" w:rsidRPr="009777DB">
              <w:rPr>
                <w:rFonts w:asciiTheme="minorHAnsi" w:hAnsiTheme="minorHAnsi"/>
                <w:noProof/>
                <w:webHidden/>
                <w:sz w:val="22"/>
                <w:szCs w:val="22"/>
              </w:rPr>
              <w:tab/>
              <w:t>………………………………………………………</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w:t>
            </w:r>
            <w:r w:rsidR="00630B8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_Toc509831827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12</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8" w:history="1">
            <w:r w:rsidR="009777DB" w:rsidRPr="009777DB">
              <w:rPr>
                <w:rStyle w:val="Hyperlink"/>
                <w:rFonts w:asciiTheme="minorHAnsi" w:hAnsiTheme="minorHAnsi"/>
                <w:noProof/>
                <w:sz w:val="22"/>
                <w:szCs w:val="22"/>
              </w:rPr>
              <w:t>Focus on data</w:t>
            </w:r>
            <w:bookmarkStart w:id="12" w:name="_GoBack"/>
            <w:bookmarkEnd w:id="12"/>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_Toc509831828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12</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29" w:history="1">
            <w:r w:rsidR="009777DB" w:rsidRPr="009777DB">
              <w:rPr>
                <w:rStyle w:val="Hyperlink"/>
                <w:rFonts w:asciiTheme="minorHAnsi" w:hAnsiTheme="minorHAnsi"/>
                <w:noProof/>
                <w:sz w:val="22"/>
                <w:szCs w:val="22"/>
              </w:rPr>
              <w:t>Technical assistance for schools and districts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_Toc509831829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13</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30" w:history="1">
            <w:r w:rsidR="009777DB" w:rsidRPr="009777DB">
              <w:rPr>
                <w:rStyle w:val="Hyperlink"/>
                <w:rFonts w:asciiTheme="minorHAnsi" w:hAnsiTheme="minorHAnsi"/>
                <w:noProof/>
                <w:sz w:val="22"/>
                <w:szCs w:val="22"/>
              </w:rPr>
              <w:t>Equity-Impacting DESE Policies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_Toc509831830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14</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31" w:history="1">
            <w:r w:rsidR="009777DB" w:rsidRPr="009777DB">
              <w:rPr>
                <w:rStyle w:val="Hyperlink"/>
                <w:rFonts w:asciiTheme="minorHAnsi" w:hAnsiTheme="minorHAnsi"/>
                <w:noProof/>
                <w:sz w:val="22"/>
                <w:szCs w:val="22"/>
              </w:rPr>
              <w:t>Appendix A: Definitions</w:t>
            </w:r>
            <w:r w:rsidR="009777DB" w:rsidRPr="009777DB">
              <w:rPr>
                <w:rFonts w:asciiTheme="minorHAnsi" w:hAnsiTheme="minorHAnsi"/>
                <w:noProof/>
                <w:webHidden/>
                <w:sz w:val="22"/>
                <w:szCs w:val="22"/>
              </w:rPr>
              <w:tab/>
              <w:t>…………………………………………………………</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_Toc509831831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17</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32" w:history="1">
            <w:r w:rsidR="009777DB" w:rsidRPr="009777DB">
              <w:rPr>
                <w:rStyle w:val="Hyperlink"/>
                <w:rFonts w:asciiTheme="minorHAnsi" w:hAnsiTheme="minorHAnsi"/>
                <w:noProof/>
                <w:sz w:val="22"/>
                <w:szCs w:val="22"/>
              </w:rPr>
              <w:t>Appendix B: 2016–17 Statewide educator evaluation data</w:t>
            </w:r>
            <w:r w:rsidR="009777DB" w:rsidRPr="009777DB">
              <w:rPr>
                <w:rFonts w:asciiTheme="minorHAnsi" w:hAnsiTheme="minorHAnsi"/>
                <w:noProof/>
                <w:webHidden/>
                <w:sz w:val="22"/>
                <w:szCs w:val="22"/>
              </w:rPr>
              <w:t xml:space="preserve"> .…………………………………</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_Toc509831832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18</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33" w:history="1">
            <w:r w:rsidR="009777DB" w:rsidRPr="009777DB">
              <w:rPr>
                <w:rStyle w:val="Hyperlink"/>
                <w:rFonts w:asciiTheme="minorHAnsi" w:hAnsiTheme="minorHAnsi"/>
                <w:noProof/>
                <w:sz w:val="22"/>
                <w:szCs w:val="22"/>
              </w:rPr>
              <w:t>Appendix C: Stakeholder engagement and communications</w:t>
            </w:r>
            <w:r w:rsidR="009777DB" w:rsidRPr="009777DB">
              <w:rPr>
                <w:rFonts w:asciiTheme="minorHAnsi" w:hAnsiTheme="minorHAnsi"/>
                <w:noProof/>
                <w:webHidden/>
                <w:sz w:val="22"/>
                <w:szCs w:val="22"/>
              </w:rPr>
              <w:t xml:space="preserve"> …………………………………</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_Toc509831833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19</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34" w:history="1">
            <w:r w:rsidR="009777DB" w:rsidRPr="009777DB">
              <w:rPr>
                <w:rStyle w:val="Hyperlink"/>
                <w:rFonts w:asciiTheme="minorHAnsi" w:hAnsiTheme="minorHAnsi"/>
                <w:noProof/>
                <w:sz w:val="22"/>
                <w:szCs w:val="22"/>
              </w:rPr>
              <w:t>Appendix D: Longitudinal data on equitable access to educators</w:t>
            </w:r>
            <w:r w:rsidR="009777DB" w:rsidRPr="009777DB">
              <w:rPr>
                <w:rFonts w:asciiTheme="minorHAnsi" w:hAnsiTheme="minorHAnsi"/>
                <w:noProof/>
                <w:webHidden/>
                <w:sz w:val="22"/>
                <w:szCs w:val="22"/>
              </w:rPr>
              <w:t xml:space="preserve"> ……………………………</w:t>
            </w:r>
            <w:r w:rsidR="009777DB">
              <w:rPr>
                <w:rFonts w:asciiTheme="minorHAnsi" w:hAnsiTheme="minorHAnsi"/>
                <w:noProof/>
                <w:webHidden/>
                <w:sz w:val="22"/>
                <w:szCs w:val="22"/>
              </w:rPr>
              <w:t>............................</w:t>
            </w:r>
            <w:r w:rsidR="009777DB" w:rsidRP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_Toc509831834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20</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35" w:history="1">
            <w:r w:rsidR="009777DB" w:rsidRPr="009777DB">
              <w:rPr>
                <w:rStyle w:val="Hyperlink"/>
                <w:rFonts w:asciiTheme="minorHAnsi" w:hAnsiTheme="minorHAnsi"/>
                <w:noProof/>
                <w:sz w:val="22"/>
                <w:szCs w:val="22"/>
              </w:rPr>
              <w:t>Appendix D.1: Teachers with low ratings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_Toc509831835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21</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37" w:history="1">
            <w:r w:rsidR="009777DB" w:rsidRPr="009777DB">
              <w:rPr>
                <w:rStyle w:val="Hyperlink"/>
                <w:rFonts w:asciiTheme="minorHAnsi" w:hAnsiTheme="minorHAnsi"/>
                <w:noProof/>
                <w:sz w:val="22"/>
                <w:szCs w:val="22"/>
              </w:rPr>
              <w:t>Appendix D.2: Principals with low ratings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_Toc509831837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23</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38" w:history="1">
            <w:r w:rsidR="009777DB" w:rsidRPr="009777DB">
              <w:rPr>
                <w:rStyle w:val="Hyperlink"/>
                <w:rFonts w:asciiTheme="minorHAnsi" w:hAnsiTheme="minorHAnsi"/>
                <w:noProof/>
                <w:sz w:val="22"/>
                <w:szCs w:val="22"/>
              </w:rPr>
              <w:t>Appendix D.3: Inexperienced teachers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_Toc509831838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24</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39" w:history="1">
            <w:r w:rsidR="009777DB" w:rsidRPr="009777DB">
              <w:rPr>
                <w:rStyle w:val="Hyperlink"/>
                <w:rFonts w:asciiTheme="minorHAnsi" w:hAnsiTheme="minorHAnsi"/>
                <w:noProof/>
                <w:sz w:val="22"/>
                <w:szCs w:val="22"/>
              </w:rPr>
              <w:t>Appendix D.4: Inexperienced principals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_Toc509831839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25</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2"/>
            <w:tabs>
              <w:tab w:val="right" w:leader="dot" w:pos="9350"/>
            </w:tabs>
            <w:rPr>
              <w:rFonts w:asciiTheme="minorHAnsi" w:eastAsiaTheme="minorEastAsia" w:hAnsiTheme="minorHAnsi" w:cstheme="minorBidi"/>
              <w:noProof/>
              <w:sz w:val="22"/>
              <w:szCs w:val="22"/>
            </w:rPr>
          </w:pPr>
          <w:hyperlink w:anchor="_Toc509831840" w:history="1">
            <w:r w:rsidR="009777DB" w:rsidRPr="009777DB">
              <w:rPr>
                <w:rStyle w:val="Hyperlink"/>
                <w:rFonts w:asciiTheme="minorHAnsi" w:hAnsiTheme="minorHAnsi"/>
                <w:noProof/>
                <w:sz w:val="22"/>
                <w:szCs w:val="22"/>
              </w:rPr>
              <w:t>Appendix D.5: Teacher absences and long-term substitutes</w:t>
            </w:r>
            <w:r w:rsidR="009777DB" w:rsidRPr="009777DB">
              <w:rPr>
                <w:rFonts w:asciiTheme="minorHAnsi" w:hAnsiTheme="minorHAnsi"/>
                <w:noProof/>
                <w:webHidden/>
                <w:sz w:val="22"/>
                <w:szCs w:val="22"/>
              </w:rPr>
              <w:tab/>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_Toc509831840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26</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41" w:history="1">
            <w:r w:rsidR="009777DB" w:rsidRPr="009777DB">
              <w:rPr>
                <w:rStyle w:val="Hyperlink"/>
                <w:rFonts w:asciiTheme="minorHAnsi" w:hAnsiTheme="minorHAnsi"/>
                <w:noProof/>
                <w:sz w:val="22"/>
                <w:szCs w:val="22"/>
              </w:rPr>
              <w:t>Appendix E: Data on educator retention</w:t>
            </w:r>
            <w:r w:rsidR="009777DB">
              <w:rPr>
                <w:rStyle w:val="Hyperlink"/>
                <w:rFonts w:asciiTheme="minorHAnsi" w:hAnsiTheme="minorHAnsi"/>
                <w:noProof/>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_Toc509831841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27</w:t>
            </w:r>
            <w:r w:rsidR="009777DB" w:rsidRPr="009777DB">
              <w:rPr>
                <w:rFonts w:asciiTheme="minorHAnsi" w:hAnsiTheme="minorHAnsi"/>
                <w:noProof/>
                <w:webHidden/>
                <w:sz w:val="22"/>
                <w:szCs w:val="22"/>
              </w:rPr>
              <w:fldChar w:fldCharType="end"/>
            </w:r>
          </w:hyperlink>
        </w:p>
        <w:p w:rsidR="009777DB" w:rsidRPr="009777DB" w:rsidRDefault="00ED23C8" w:rsidP="00C31890">
          <w:pPr>
            <w:pStyle w:val="TOC1"/>
            <w:rPr>
              <w:rFonts w:asciiTheme="minorHAnsi" w:eastAsiaTheme="minorEastAsia" w:hAnsiTheme="minorHAnsi" w:cstheme="minorBidi"/>
              <w:noProof/>
              <w:sz w:val="22"/>
              <w:szCs w:val="22"/>
            </w:rPr>
          </w:pPr>
          <w:hyperlink w:anchor="_Toc509831842" w:history="1">
            <w:r w:rsidR="009777DB" w:rsidRPr="009777DB">
              <w:rPr>
                <w:rStyle w:val="Hyperlink"/>
                <w:rFonts w:asciiTheme="minorHAnsi" w:hAnsiTheme="minorHAnsi"/>
                <w:noProof/>
                <w:sz w:val="22"/>
                <w:szCs w:val="22"/>
              </w:rPr>
              <w:t>Endnotes</w:t>
            </w:r>
            <w:r w:rsidR="009777DB" w:rsidRPr="009777DB">
              <w:rPr>
                <w:rFonts w:asciiTheme="minorHAnsi" w:hAnsiTheme="minorHAnsi"/>
                <w:noProof/>
                <w:webHidden/>
                <w:sz w:val="22"/>
                <w:szCs w:val="22"/>
              </w:rPr>
              <w:tab/>
            </w:r>
            <w:r w:rsidR="009777DB">
              <w:rPr>
                <w:rFonts w:asciiTheme="minorHAnsi" w:hAnsiTheme="minorHAnsi"/>
                <w:noProof/>
                <w:webHidden/>
                <w:sz w:val="22"/>
                <w:szCs w:val="22"/>
              </w:rPr>
              <w:t xml:space="preserve">……………………………………………………………………………………………………………………………………………… </w:t>
            </w:r>
            <w:r w:rsidR="009777DB" w:rsidRPr="009777DB">
              <w:rPr>
                <w:rFonts w:asciiTheme="minorHAnsi" w:hAnsiTheme="minorHAnsi"/>
                <w:noProof/>
                <w:webHidden/>
                <w:sz w:val="22"/>
                <w:szCs w:val="22"/>
              </w:rPr>
              <w:fldChar w:fldCharType="begin"/>
            </w:r>
            <w:r w:rsidR="009777DB" w:rsidRPr="009777DB">
              <w:rPr>
                <w:rFonts w:asciiTheme="minorHAnsi" w:hAnsiTheme="minorHAnsi"/>
                <w:noProof/>
                <w:webHidden/>
                <w:sz w:val="22"/>
                <w:szCs w:val="22"/>
              </w:rPr>
              <w:instrText xml:space="preserve"> PAGEREF _Toc509831842 \h </w:instrText>
            </w:r>
            <w:r w:rsidR="009777DB" w:rsidRPr="009777DB">
              <w:rPr>
                <w:rFonts w:asciiTheme="minorHAnsi" w:hAnsiTheme="minorHAnsi"/>
                <w:noProof/>
                <w:webHidden/>
                <w:sz w:val="22"/>
                <w:szCs w:val="22"/>
              </w:rPr>
            </w:r>
            <w:r w:rsidR="009777DB" w:rsidRPr="009777DB">
              <w:rPr>
                <w:rFonts w:asciiTheme="minorHAnsi" w:hAnsiTheme="minorHAnsi"/>
                <w:noProof/>
                <w:webHidden/>
                <w:sz w:val="22"/>
                <w:szCs w:val="22"/>
              </w:rPr>
              <w:fldChar w:fldCharType="separate"/>
            </w:r>
            <w:r w:rsidR="0057306E">
              <w:rPr>
                <w:rFonts w:asciiTheme="minorHAnsi" w:hAnsiTheme="minorHAnsi"/>
                <w:noProof/>
                <w:webHidden/>
                <w:sz w:val="22"/>
                <w:szCs w:val="22"/>
              </w:rPr>
              <w:t>28</w:t>
            </w:r>
            <w:r w:rsidR="009777DB" w:rsidRPr="009777DB">
              <w:rPr>
                <w:rFonts w:asciiTheme="minorHAnsi" w:hAnsiTheme="minorHAnsi"/>
                <w:noProof/>
                <w:webHidden/>
                <w:sz w:val="22"/>
                <w:szCs w:val="22"/>
              </w:rPr>
              <w:fldChar w:fldCharType="end"/>
            </w:r>
          </w:hyperlink>
        </w:p>
        <w:p w:rsidR="009777DB" w:rsidRDefault="009777DB" w:rsidP="00C31890">
          <w:r w:rsidRPr="009777DB">
            <w:rPr>
              <w:rFonts w:asciiTheme="minorHAnsi" w:hAnsiTheme="minorHAnsi"/>
              <w:sz w:val="22"/>
              <w:szCs w:val="22"/>
            </w:rPr>
            <w:fldChar w:fldCharType="end"/>
          </w:r>
        </w:p>
      </w:sdtContent>
    </w:sdt>
    <w:p w:rsidR="00D2200B" w:rsidRDefault="00D2200B" w:rsidP="00D2200B">
      <w:pPr>
        <w:pStyle w:val="Heading1"/>
        <w:spacing w:before="0"/>
        <w:rPr>
          <w:rFonts w:ascii="Calibri" w:hAnsi="Calibri"/>
          <w:sz w:val="4"/>
          <w:szCs w:val="4"/>
        </w:rPr>
      </w:pPr>
    </w:p>
    <w:p w:rsidR="00D2200B" w:rsidRPr="00D2200B" w:rsidRDefault="00D2200B" w:rsidP="00D2200B">
      <w:pPr>
        <w:pStyle w:val="Heading1"/>
        <w:spacing w:before="0"/>
        <w:rPr>
          <w:rFonts w:ascii="Calibri" w:hAnsi="Calibri"/>
          <w:sz w:val="4"/>
          <w:szCs w:val="4"/>
        </w:rPr>
      </w:pPr>
      <w:r w:rsidRPr="00D2200B">
        <w:rPr>
          <w:rFonts w:ascii="Calibri" w:hAnsi="Calibri"/>
          <w:sz w:val="4"/>
          <w:szCs w:val="4"/>
        </w:rPr>
        <w:t xml:space="preserve"> </w:t>
      </w:r>
    </w:p>
    <w:p w:rsidR="00D2200B" w:rsidRDefault="00D2200B" w:rsidP="00D2200B">
      <w:pPr>
        <w:pStyle w:val="Heading1"/>
        <w:spacing w:before="0"/>
        <w:rPr>
          <w:rFonts w:ascii="Calibri" w:hAnsi="Calibri"/>
          <w:sz w:val="36"/>
          <w:szCs w:val="36"/>
        </w:rPr>
      </w:pPr>
    </w:p>
    <w:p w:rsidR="00D2200B" w:rsidRPr="00D2200B" w:rsidRDefault="00D2200B" w:rsidP="00D2200B"/>
    <w:p w:rsidR="00D2200B" w:rsidRDefault="00D2200B" w:rsidP="00D2200B">
      <w:pPr>
        <w:pStyle w:val="Heading1"/>
        <w:spacing w:before="0"/>
        <w:rPr>
          <w:rFonts w:ascii="Calibri" w:hAnsi="Calibri"/>
          <w:sz w:val="36"/>
          <w:szCs w:val="36"/>
        </w:rPr>
      </w:pPr>
    </w:p>
    <w:p w:rsidR="00CA14CE" w:rsidRDefault="00CA14CE" w:rsidP="00CA14CE"/>
    <w:p w:rsidR="00DB5E66" w:rsidRDefault="00DB5E66">
      <w:pPr>
        <w:spacing w:after="200" w:line="276" w:lineRule="auto"/>
        <w:rPr>
          <w:rFonts w:ascii="Calibri" w:hAnsi="Calibri"/>
          <w:b/>
          <w:bCs/>
          <w:color w:val="365F91"/>
          <w:sz w:val="36"/>
          <w:szCs w:val="36"/>
        </w:rPr>
      </w:pPr>
    </w:p>
    <w:p w:rsidR="00EA37A4" w:rsidRPr="00825581" w:rsidRDefault="00EA37A4" w:rsidP="00825581">
      <w:pPr>
        <w:pStyle w:val="Heading1"/>
        <w:spacing w:before="0"/>
        <w:rPr>
          <w:rFonts w:ascii="Calibri" w:hAnsi="Calibri"/>
          <w:sz w:val="36"/>
          <w:szCs w:val="36"/>
        </w:rPr>
      </w:pPr>
      <w:bookmarkStart w:id="13" w:name="_Toc509831818"/>
      <w:r>
        <w:rPr>
          <w:rFonts w:ascii="Calibri" w:hAnsi="Calibri"/>
          <w:sz w:val="36"/>
          <w:szCs w:val="36"/>
        </w:rPr>
        <w:lastRenderedPageBreak/>
        <w:t>Introduction</w:t>
      </w:r>
      <w:bookmarkEnd w:id="13"/>
    </w:p>
    <w:p w:rsidR="004A4FF9" w:rsidRPr="00CA4D1D" w:rsidRDefault="00EA37A4" w:rsidP="00CA4D1D">
      <w:pPr>
        <w:rPr>
          <w:rFonts w:ascii="Calibri" w:hAnsi="Calibri"/>
          <w:b/>
          <w:color w:val="7FA3CF"/>
          <w:sz w:val="22"/>
          <w:szCs w:val="22"/>
        </w:rPr>
      </w:pPr>
      <w:r>
        <w:rPr>
          <w:rFonts w:ascii="Calibri" w:hAnsi="Calibri"/>
          <w:sz w:val="22"/>
        </w:rPr>
        <w:t xml:space="preserve">As the </w:t>
      </w:r>
      <w:r w:rsidR="00D41E68">
        <w:rPr>
          <w:rFonts w:ascii="Calibri" w:hAnsi="Calibri"/>
          <w:sz w:val="22"/>
        </w:rPr>
        <w:t xml:space="preserve">Massachusetts </w:t>
      </w:r>
      <w:r>
        <w:rPr>
          <w:rFonts w:ascii="Calibri" w:hAnsi="Calibri"/>
          <w:sz w:val="22"/>
        </w:rPr>
        <w:t>Department of Elementary and Secondary Education (</w:t>
      </w:r>
      <w:r w:rsidR="00BF5AB5">
        <w:rPr>
          <w:rFonts w:ascii="Calibri" w:hAnsi="Calibri"/>
          <w:sz w:val="22"/>
        </w:rPr>
        <w:t>D</w:t>
      </w:r>
      <w:r>
        <w:rPr>
          <w:rFonts w:ascii="Calibri" w:hAnsi="Calibri"/>
          <w:sz w:val="22"/>
        </w:rPr>
        <w:t xml:space="preserve">ESE) </w:t>
      </w:r>
      <w:hyperlink r:id="rId19" w:history="1">
        <w:r w:rsidR="008B0F71">
          <w:rPr>
            <w:rStyle w:val="Hyperlink"/>
            <w:rFonts w:ascii="Calibri" w:hAnsi="Calibri"/>
            <w:sz w:val="22"/>
          </w:rPr>
          <w:t>celebrates the state’s continued achievement in public education</w:t>
        </w:r>
      </w:hyperlink>
      <w:r w:rsidR="008B0F71">
        <w:rPr>
          <w:rFonts w:ascii="Calibri" w:hAnsi="Calibri"/>
          <w:sz w:val="22"/>
        </w:rPr>
        <w:t xml:space="preserve">, </w:t>
      </w:r>
      <w:r w:rsidR="00F574A0">
        <w:rPr>
          <w:rFonts w:ascii="Calibri" w:hAnsi="Calibri"/>
          <w:sz w:val="22"/>
        </w:rPr>
        <w:t xml:space="preserve">we </w:t>
      </w:r>
      <w:r>
        <w:rPr>
          <w:rFonts w:ascii="Calibri" w:hAnsi="Calibri"/>
          <w:sz w:val="22"/>
        </w:rPr>
        <w:t xml:space="preserve">also </w:t>
      </w:r>
      <w:r w:rsidR="00707592">
        <w:rPr>
          <w:rFonts w:ascii="Calibri" w:hAnsi="Calibri"/>
          <w:sz w:val="22"/>
        </w:rPr>
        <w:t>renew our</w:t>
      </w:r>
      <w:r>
        <w:rPr>
          <w:rFonts w:ascii="Calibri" w:hAnsi="Calibri"/>
          <w:sz w:val="22"/>
        </w:rPr>
        <w:t xml:space="preserve"> commitment to supporting all students regardless of race, ethnicity, </w:t>
      </w:r>
      <w:r w:rsidR="00D41E68">
        <w:rPr>
          <w:rFonts w:ascii="Calibri" w:hAnsi="Calibri"/>
          <w:sz w:val="22"/>
        </w:rPr>
        <w:t xml:space="preserve">language status, </w:t>
      </w:r>
      <w:r>
        <w:rPr>
          <w:rFonts w:ascii="Calibri" w:hAnsi="Calibri"/>
          <w:sz w:val="22"/>
        </w:rPr>
        <w:t>disability, and other factors</w:t>
      </w:r>
      <w:r w:rsidR="004A4FF9">
        <w:rPr>
          <w:rFonts w:ascii="Calibri" w:hAnsi="Calibri"/>
          <w:sz w:val="22"/>
        </w:rPr>
        <w:t>.</w:t>
      </w:r>
      <w:r w:rsidR="002C0333">
        <w:rPr>
          <w:rFonts w:ascii="Calibri" w:hAnsi="Calibri"/>
          <w:sz w:val="22"/>
        </w:rPr>
        <w:t xml:space="preserve"> </w:t>
      </w:r>
      <w:r w:rsidR="001704B4">
        <w:rPr>
          <w:rFonts w:ascii="Calibri" w:hAnsi="Calibri"/>
          <w:sz w:val="22"/>
        </w:rPr>
        <w:t>Disparities</w:t>
      </w:r>
      <w:r w:rsidR="002C0333">
        <w:rPr>
          <w:rFonts w:ascii="Calibri" w:hAnsi="Calibri"/>
          <w:sz w:val="22"/>
        </w:rPr>
        <w:t xml:space="preserve"> in </w:t>
      </w:r>
      <w:r w:rsidR="001704B4">
        <w:rPr>
          <w:rFonts w:ascii="Calibri" w:hAnsi="Calibri"/>
          <w:sz w:val="22"/>
        </w:rPr>
        <w:t xml:space="preserve">outcomes—such </w:t>
      </w:r>
      <w:r w:rsidR="00B61C52">
        <w:rPr>
          <w:rFonts w:ascii="Calibri" w:hAnsi="Calibri"/>
          <w:sz w:val="22"/>
        </w:rPr>
        <w:t>as t</w:t>
      </w:r>
      <w:r w:rsidR="001704B4">
        <w:rPr>
          <w:rFonts w:ascii="Calibri" w:hAnsi="Calibri"/>
          <w:sz w:val="22"/>
        </w:rPr>
        <w:t>est scores and graduation rates—</w:t>
      </w:r>
      <w:r w:rsidR="00B61C52">
        <w:rPr>
          <w:rFonts w:ascii="Calibri" w:hAnsi="Calibri"/>
          <w:sz w:val="22"/>
        </w:rPr>
        <w:t>continue</w:t>
      </w:r>
      <w:r w:rsidR="001704B4">
        <w:rPr>
          <w:rFonts w:ascii="Calibri" w:hAnsi="Calibri"/>
          <w:sz w:val="22"/>
        </w:rPr>
        <w:t xml:space="preserve"> to impact</w:t>
      </w:r>
      <w:r w:rsidR="00B61C52">
        <w:rPr>
          <w:rFonts w:ascii="Calibri" w:hAnsi="Calibri"/>
          <w:sz w:val="22"/>
        </w:rPr>
        <w:t xml:space="preserve"> student</w:t>
      </w:r>
      <w:r w:rsidR="002C0333">
        <w:rPr>
          <w:rFonts w:ascii="Calibri" w:hAnsi="Calibri"/>
          <w:sz w:val="22"/>
        </w:rPr>
        <w:t>s</w:t>
      </w:r>
      <w:r w:rsidR="00E119D5">
        <w:rPr>
          <w:rFonts w:ascii="Calibri" w:hAnsi="Calibri"/>
          <w:sz w:val="22"/>
        </w:rPr>
        <w:t xml:space="preserve"> </w:t>
      </w:r>
      <w:r w:rsidR="00B61C52">
        <w:rPr>
          <w:rFonts w:ascii="Calibri" w:hAnsi="Calibri"/>
          <w:sz w:val="22"/>
        </w:rPr>
        <w:t xml:space="preserve">who are economically disadvantaged, students of color, English learners, and students with disabilities. </w:t>
      </w:r>
      <w:r>
        <w:rPr>
          <w:rFonts w:ascii="Calibri" w:hAnsi="Calibri"/>
          <w:sz w:val="22"/>
        </w:rPr>
        <w:t xml:space="preserve">The state’s </w:t>
      </w:r>
      <w:hyperlink r:id="rId20" w:history="1">
        <w:r w:rsidR="00B679C4">
          <w:rPr>
            <w:rStyle w:val="Hyperlink"/>
            <w:rFonts w:ascii="Calibri" w:hAnsi="Calibri"/>
            <w:sz w:val="22"/>
          </w:rPr>
          <w:t>Every Student Succeeds Act (ESSA) Plan</w:t>
        </w:r>
      </w:hyperlink>
      <w:r w:rsidR="00B679C4">
        <w:rPr>
          <w:rFonts w:ascii="Calibri" w:hAnsi="Calibri"/>
          <w:sz w:val="22"/>
        </w:rPr>
        <w:t xml:space="preserve"> reflects this focus on ensuring </w:t>
      </w:r>
      <w:r w:rsidR="002C0333">
        <w:rPr>
          <w:rFonts w:ascii="Calibri" w:hAnsi="Calibri"/>
          <w:sz w:val="22"/>
        </w:rPr>
        <w:t>equity</w:t>
      </w:r>
      <w:r w:rsidR="00B679C4">
        <w:rPr>
          <w:rFonts w:ascii="Calibri" w:hAnsi="Calibri"/>
          <w:sz w:val="22"/>
        </w:rPr>
        <w:t xml:space="preserve"> and closing </w:t>
      </w:r>
      <w:r w:rsidR="002C0333">
        <w:rPr>
          <w:rFonts w:ascii="Calibri" w:hAnsi="Calibri"/>
          <w:sz w:val="22"/>
        </w:rPr>
        <w:t>student outcome gaps.</w:t>
      </w:r>
    </w:p>
    <w:p w:rsidR="004A4FF9" w:rsidRDefault="004A4FF9" w:rsidP="00F52A6A">
      <w:pPr>
        <w:rPr>
          <w:rFonts w:ascii="Calibri" w:hAnsi="Calibri"/>
          <w:sz w:val="22"/>
        </w:rPr>
      </w:pPr>
      <w:r>
        <w:rPr>
          <w:rFonts w:ascii="Calibri" w:hAnsi="Calibri"/>
          <w:sz w:val="22"/>
        </w:rPr>
        <w:br/>
        <w:t xml:space="preserve">Acting on this commitment </w:t>
      </w:r>
      <w:r w:rsidR="00B679C4">
        <w:rPr>
          <w:rFonts w:ascii="Calibri" w:hAnsi="Calibri"/>
          <w:sz w:val="22"/>
        </w:rPr>
        <w:t>means we must continue to identify and address gaps</w:t>
      </w:r>
      <w:r>
        <w:rPr>
          <w:rFonts w:ascii="Calibri" w:hAnsi="Calibri"/>
          <w:sz w:val="22"/>
        </w:rPr>
        <w:t xml:space="preserve"> in educational opportunities—especially for </w:t>
      </w:r>
      <w:r w:rsidR="00B61C52">
        <w:rPr>
          <w:rFonts w:ascii="Calibri" w:hAnsi="Calibri"/>
          <w:sz w:val="22"/>
        </w:rPr>
        <w:t>historically disadvantaged student groups</w:t>
      </w:r>
      <w:r w:rsidR="00E119D5">
        <w:rPr>
          <w:rFonts w:ascii="Calibri" w:hAnsi="Calibri"/>
          <w:sz w:val="22"/>
        </w:rPr>
        <w:t>, and especially when these opportunities are about access to our most precious resource: strong teachers</w:t>
      </w:r>
      <w:r>
        <w:rPr>
          <w:rFonts w:ascii="Calibri" w:hAnsi="Calibri"/>
          <w:sz w:val="22"/>
        </w:rPr>
        <w:t xml:space="preserve">. </w:t>
      </w:r>
      <w:r w:rsidR="00B75633">
        <w:rPr>
          <w:rFonts w:ascii="Calibri" w:hAnsi="Calibri"/>
          <w:sz w:val="22"/>
        </w:rPr>
        <w:t xml:space="preserve">Historically disadvantaged student groups experience equity gaps—disparities in exposure to quality educators. </w:t>
      </w:r>
      <w:r w:rsidR="00B679C4">
        <w:rPr>
          <w:rFonts w:ascii="Calibri" w:hAnsi="Calibri"/>
          <w:sz w:val="22"/>
        </w:rPr>
        <w:t xml:space="preserve">Evidence </w:t>
      </w:r>
      <w:r>
        <w:rPr>
          <w:rFonts w:ascii="Calibri" w:hAnsi="Calibri"/>
          <w:sz w:val="22"/>
        </w:rPr>
        <w:t xml:space="preserve">points to inequitable access to </w:t>
      </w:r>
      <w:r w:rsidR="00B679C4">
        <w:rPr>
          <w:rFonts w:ascii="Calibri" w:hAnsi="Calibri"/>
          <w:sz w:val="22"/>
        </w:rPr>
        <w:t xml:space="preserve">excellent </w:t>
      </w:r>
      <w:r>
        <w:rPr>
          <w:rFonts w:ascii="Calibri" w:hAnsi="Calibri"/>
          <w:sz w:val="22"/>
        </w:rPr>
        <w:t>educators as one root cau</w:t>
      </w:r>
      <w:r w:rsidR="00371A60">
        <w:rPr>
          <w:rFonts w:ascii="Calibri" w:hAnsi="Calibri"/>
          <w:sz w:val="22"/>
        </w:rPr>
        <w:t xml:space="preserve">se of student achievement gaps: </w:t>
      </w:r>
      <w:r w:rsidR="003B187F">
        <w:rPr>
          <w:rFonts w:ascii="Calibri" w:hAnsi="Calibri"/>
          <w:sz w:val="22"/>
        </w:rPr>
        <w:t xml:space="preserve">in Massachusetts </w:t>
      </w:r>
      <w:r w:rsidR="00B75633">
        <w:rPr>
          <w:rFonts w:ascii="Calibri" w:hAnsi="Calibri"/>
          <w:sz w:val="22"/>
        </w:rPr>
        <w:t>from</w:t>
      </w:r>
      <w:r>
        <w:rPr>
          <w:rFonts w:ascii="Calibri" w:hAnsi="Calibri"/>
          <w:sz w:val="22"/>
        </w:rPr>
        <w:t xml:space="preserve"> fourth to eighth grades,</w:t>
      </w:r>
      <w:r w:rsidR="001E0A61">
        <w:rPr>
          <w:rFonts w:ascii="Calibri" w:hAnsi="Calibri"/>
          <w:sz w:val="22"/>
        </w:rPr>
        <w:t xml:space="preserve"> the difference</w:t>
      </w:r>
      <w:r w:rsidR="00FD3F59">
        <w:rPr>
          <w:rFonts w:ascii="Calibri" w:hAnsi="Calibri"/>
          <w:sz w:val="22"/>
        </w:rPr>
        <w:t xml:space="preserve"> </w:t>
      </w:r>
      <w:r w:rsidR="001E0A61">
        <w:rPr>
          <w:rFonts w:ascii="Calibri" w:hAnsi="Calibri"/>
          <w:sz w:val="22"/>
        </w:rPr>
        <w:t xml:space="preserve">between having an average and an excellent teacher is </w:t>
      </w:r>
      <w:r>
        <w:rPr>
          <w:rFonts w:ascii="Calibri" w:hAnsi="Calibri"/>
          <w:sz w:val="22"/>
        </w:rPr>
        <w:t xml:space="preserve">about three weeks of </w:t>
      </w:r>
      <w:r w:rsidR="001E0A61">
        <w:rPr>
          <w:rFonts w:ascii="Calibri" w:hAnsi="Calibri"/>
          <w:sz w:val="22"/>
        </w:rPr>
        <w:t xml:space="preserve">student </w:t>
      </w:r>
      <w:r>
        <w:rPr>
          <w:rFonts w:ascii="Calibri" w:hAnsi="Calibri"/>
          <w:sz w:val="22"/>
        </w:rPr>
        <w:t>learning in</w:t>
      </w:r>
      <w:r w:rsidR="00DF6DA1">
        <w:rPr>
          <w:rFonts w:ascii="Calibri" w:hAnsi="Calibri"/>
          <w:sz w:val="22"/>
        </w:rPr>
        <w:t xml:space="preserve"> math </w:t>
      </w:r>
      <w:r w:rsidR="00484EEF">
        <w:rPr>
          <w:rFonts w:ascii="Calibri" w:hAnsi="Calibri"/>
          <w:sz w:val="22"/>
        </w:rPr>
        <w:t>and about six weeks in English language a</w:t>
      </w:r>
      <w:r w:rsidR="00DF6DA1">
        <w:rPr>
          <w:rFonts w:ascii="Calibri" w:hAnsi="Calibri"/>
          <w:sz w:val="22"/>
        </w:rPr>
        <w:t>rts (ELA)</w:t>
      </w:r>
      <w:r>
        <w:rPr>
          <w:rFonts w:ascii="Calibri" w:hAnsi="Calibri"/>
          <w:sz w:val="22"/>
        </w:rPr>
        <w:t>.</w:t>
      </w:r>
      <w:r>
        <w:rPr>
          <w:rStyle w:val="EndnoteReference"/>
          <w:rFonts w:ascii="Calibri" w:hAnsi="Calibri"/>
          <w:sz w:val="22"/>
        </w:rPr>
        <w:endnoteReference w:id="1"/>
      </w:r>
    </w:p>
    <w:p w:rsidR="004A4FF9" w:rsidRDefault="004A4FF9" w:rsidP="00C6254D">
      <w:pPr>
        <w:rPr>
          <w:rFonts w:ascii="Calibri" w:hAnsi="Calibri"/>
          <w:sz w:val="22"/>
        </w:rPr>
      </w:pPr>
    </w:p>
    <w:p w:rsidR="004A4FF9" w:rsidRDefault="00EA212B" w:rsidP="00C6254D">
      <w:pPr>
        <w:rPr>
          <w:rFonts w:ascii="Calibri" w:hAnsi="Calibri"/>
          <w:sz w:val="22"/>
        </w:rPr>
      </w:pPr>
      <w:r>
        <w:rPr>
          <w:rFonts w:ascii="Calibri" w:hAnsi="Calibri"/>
          <w:noProof/>
          <w:sz w:val="22"/>
          <w:szCs w:val="22"/>
          <w:lang w:eastAsia="zh-CN"/>
        </w:rPr>
        <mc:AlternateContent>
          <mc:Choice Requires="wps">
            <w:drawing>
              <wp:anchor distT="0" distB="0" distL="114300" distR="114300" simplePos="0" relativeHeight="251660288" behindDoc="1" locked="0" layoutInCell="1" allowOverlap="1" wp14:anchorId="5CED8BF2" wp14:editId="12B95CE6">
                <wp:simplePos x="0" y="0"/>
                <wp:positionH relativeFrom="margin">
                  <wp:align>right</wp:align>
                </wp:positionH>
                <wp:positionV relativeFrom="paragraph">
                  <wp:posOffset>380999</wp:posOffset>
                </wp:positionV>
                <wp:extent cx="3257550" cy="4810125"/>
                <wp:effectExtent l="0" t="0" r="19050" b="28575"/>
                <wp:wrapTight wrapText="bothSides">
                  <wp:wrapPolygon edited="0">
                    <wp:start x="2526" y="0"/>
                    <wp:lineTo x="1389" y="342"/>
                    <wp:lineTo x="126" y="1112"/>
                    <wp:lineTo x="0" y="1796"/>
                    <wp:lineTo x="0" y="19846"/>
                    <wp:lineTo x="253" y="20702"/>
                    <wp:lineTo x="2147" y="21643"/>
                    <wp:lineTo x="2400" y="21643"/>
                    <wp:lineTo x="19200" y="21643"/>
                    <wp:lineTo x="19579" y="21643"/>
                    <wp:lineTo x="21347" y="20702"/>
                    <wp:lineTo x="21600" y="20017"/>
                    <wp:lineTo x="21600" y="1112"/>
                    <wp:lineTo x="19832" y="171"/>
                    <wp:lineTo x="19074" y="0"/>
                    <wp:lineTo x="2526" y="0"/>
                  </wp:wrapPolygon>
                </wp:wrapTight>
                <wp:docPr id="27" name="AutoShape 12" descr="ESE’s role regarding equitable access is to:&#10;• Clearly define and communicate the measures of excellent educators and the meaning of equitable access;&#10;• Examine and make available the data on inequities in access to educators;&#10;• Identify and share with districts the research and best practices in eliminating equity gaps;&#10;• Implement state-level policies and strategies to support districts in this work;&#10;• Monitor, assess and report on progress in closing equity gaps;&#10;• Support districts in their analysis of access data, development of equity strategies, and progress monitoring of strategies;&#10;• Use our position as a state agency to communicate the importance of providing students—especially those with the greatest need—with access to the educators who will serve them best.  This communication aims to catalyze action and reinforce the importance of equitable acces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4810125"/>
                        </a:xfrm>
                        <a:prstGeom prst="flowChartAlternateProcess">
                          <a:avLst/>
                        </a:prstGeom>
                        <a:solidFill>
                          <a:srgbClr val="FFFFFF"/>
                        </a:solidFill>
                        <a:ln w="9525">
                          <a:solidFill>
                            <a:schemeClr val="tx2">
                              <a:lumMod val="100000"/>
                              <a:lumOff val="0"/>
                            </a:schemeClr>
                          </a:solidFill>
                          <a:miter lim="800000"/>
                          <a:headEnd/>
                          <a:tailEnd/>
                        </a:ln>
                      </wps:spPr>
                      <wps:txbx>
                        <w:txbxContent>
                          <w:p w:rsidR="002E3D26" w:rsidRPr="00951384" w:rsidRDefault="002E3D26" w:rsidP="00951384">
                            <w:pPr>
                              <w:jc w:val="center"/>
                              <w:rPr>
                                <w:color w:val="548DD4" w:themeColor="text2" w:themeTint="99"/>
                                <w:sz w:val="28"/>
                                <w:szCs w:val="28"/>
                              </w:rPr>
                            </w:pPr>
                            <w:r w:rsidRPr="00951384">
                              <w:rPr>
                                <w:rFonts w:ascii="Calibri" w:hAnsi="Calibri"/>
                                <w:color w:val="548DD4" w:themeColor="text2" w:themeTint="99"/>
                                <w:sz w:val="28"/>
                                <w:szCs w:val="28"/>
                              </w:rPr>
                              <w:t>ESE’s role regarding equitable access is to</w:t>
                            </w:r>
                            <w:r w:rsidRPr="00951384">
                              <w:rPr>
                                <w:color w:val="548DD4" w:themeColor="text2" w:themeTint="99"/>
                                <w:sz w:val="28"/>
                                <w:szCs w:val="28"/>
                              </w:rPr>
                              <w:t>:</w:t>
                            </w:r>
                          </w:p>
                          <w:p w:rsidR="002E3D2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 xml:space="preserve">Clearly define and communicate </w:t>
                            </w:r>
                            <w:r>
                              <w:rPr>
                                <w:rFonts w:ascii="Calibri" w:hAnsi="Calibri"/>
                                <w:bCs/>
                                <w:sz w:val="22"/>
                                <w:szCs w:val="22"/>
                              </w:rPr>
                              <w:t>the measures of excellent educators and the meaning of equitable access;</w:t>
                            </w:r>
                          </w:p>
                          <w:p w:rsidR="002E3D26"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Examine and make available the data on inequities in access to educators;</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 xml:space="preserve">Identify and share </w:t>
                            </w:r>
                            <w:r>
                              <w:rPr>
                                <w:rFonts w:ascii="Calibri" w:hAnsi="Calibri"/>
                                <w:bCs/>
                                <w:sz w:val="22"/>
                                <w:szCs w:val="22"/>
                              </w:rPr>
                              <w:t>with districts the r</w:t>
                            </w:r>
                            <w:r w:rsidRPr="009C1EE6">
                              <w:rPr>
                                <w:rFonts w:ascii="Calibri" w:hAnsi="Calibri"/>
                                <w:bCs/>
                                <w:sz w:val="22"/>
                                <w:szCs w:val="22"/>
                              </w:rPr>
                              <w:t>esearch and best practices in eliminating equity gaps</w:t>
                            </w:r>
                            <w:r>
                              <w:rPr>
                                <w:rFonts w:ascii="Calibri" w:hAnsi="Calibri"/>
                                <w:bCs/>
                                <w:sz w:val="22"/>
                                <w:szCs w:val="22"/>
                              </w:rPr>
                              <w:t>;</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Implement state-level policies and strategies t</w:t>
                            </w:r>
                            <w:r>
                              <w:rPr>
                                <w:rFonts w:ascii="Calibri" w:hAnsi="Calibri"/>
                                <w:bCs/>
                                <w:sz w:val="22"/>
                                <w:szCs w:val="22"/>
                              </w:rPr>
                              <w:t>o support districts;</w:t>
                            </w:r>
                          </w:p>
                          <w:p w:rsidR="002E3D2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Monitor, assess and report on progress in closing equity gaps</w:t>
                            </w:r>
                            <w:r>
                              <w:rPr>
                                <w:rFonts w:ascii="Calibri" w:hAnsi="Calibri"/>
                                <w:bCs/>
                                <w:sz w:val="22"/>
                                <w:szCs w:val="22"/>
                              </w:rPr>
                              <w:t>;</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Support districts in analysis of access data, development of equity strategies, and progress monitoring of strategies; and</w:t>
                            </w:r>
                          </w:p>
                          <w:p w:rsidR="002E3D26" w:rsidRPr="00951384"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Use our position as a state agency to communicate the importance of providing students</w:t>
                            </w:r>
                            <w:r>
                              <w:t>—</w:t>
                            </w:r>
                            <w:r>
                              <w:rPr>
                                <w:rFonts w:ascii="Calibri" w:hAnsi="Calibri"/>
                                <w:bCs/>
                                <w:sz w:val="22"/>
                                <w:szCs w:val="22"/>
                              </w:rPr>
                              <w:t>especially those with the greatest need</w:t>
                            </w:r>
                            <w:r>
                              <w:t>—</w:t>
                            </w:r>
                            <w:r>
                              <w:rPr>
                                <w:rFonts w:ascii="Calibri" w:hAnsi="Calibri"/>
                                <w:bCs/>
                                <w:sz w:val="22"/>
                                <w:szCs w:val="22"/>
                              </w:rPr>
                              <w:t xml:space="preserve">with access to the educators who will serve them best.  This communication aims to catalyze action and reinforce the </w:t>
                            </w:r>
                            <w:r w:rsidRPr="00951384">
                              <w:rPr>
                                <w:rFonts w:ascii="Calibri" w:hAnsi="Calibri"/>
                                <w:bCs/>
                                <w:sz w:val="22"/>
                                <w:szCs w:val="22"/>
                              </w:rPr>
                              <w:t xml:space="preserve">importance of equitable access.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ED8BF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 o:spid="_x0000_s1027" type="#_x0000_t176" alt="ESE’s role regarding equitable access is to:&#10;• Clearly define and communicate the measures of excellent educators and the meaning of equitable access;&#10;• Examine and make available the data on inequities in access to educators;&#10;• Identify and share with districts the research and best practices in eliminating equity gaps;&#10;• Implement state-level policies and strategies to support districts in this work;&#10;• Monitor, assess and report on progress in closing equity gaps;&#10;• Support districts in their analysis of access data, development of equity strategies, and progress monitoring of strategies;&#10;• Use our position as a state agency to communicate the importance of providing students—especially those with the greatest need—with access to the educators who will serve them best.  This communication aims to catalyze action and reinforce the importance of equitable access. &#10;" style="position:absolute;margin-left:205.3pt;margin-top:30pt;width:256.5pt;height:378.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" strokecolor="#1f497d [3215]">
                <v:textbox>
                  <w:txbxContent>
                    <w:p w:rsidR="002E3D26" w:rsidRPr="00951384" w:rsidRDefault="002E3D26" w:rsidP="00951384">
                      <w:pPr>
                        <w:jc w:val="center"/>
                        <w:rPr>
                          <w:color w:val="548DD4" w:themeColor="text2" w:themeTint="99"/>
                          <w:sz w:val="28"/>
                          <w:szCs w:val="28"/>
                        </w:rPr>
                      </w:pPr>
                      <w:r w:rsidRPr="00951384">
                        <w:rPr>
                          <w:rFonts w:ascii="Calibri" w:hAnsi="Calibri"/>
                          <w:color w:val="548DD4" w:themeColor="text2" w:themeTint="99"/>
                          <w:sz w:val="28"/>
                          <w:szCs w:val="28"/>
                        </w:rPr>
                        <w:t>ESE’s role regarding equitable access is to</w:t>
                      </w:r>
                      <w:r w:rsidRPr="00951384">
                        <w:rPr>
                          <w:color w:val="548DD4" w:themeColor="text2" w:themeTint="99"/>
                          <w:sz w:val="28"/>
                          <w:szCs w:val="28"/>
                        </w:rPr>
                        <w:t>:</w:t>
                      </w:r>
                    </w:p>
                    <w:p w:rsidR="002E3D2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 xml:space="preserve">Clearly define and communicate </w:t>
                      </w:r>
                      <w:r>
                        <w:rPr>
                          <w:rFonts w:ascii="Calibri" w:hAnsi="Calibri"/>
                          <w:bCs/>
                          <w:sz w:val="22"/>
                          <w:szCs w:val="22"/>
                        </w:rPr>
                        <w:t>the measures of excellent educators and the meaning of equitable access;</w:t>
                      </w:r>
                    </w:p>
                    <w:p w:rsidR="002E3D26"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Examine and make available the data on inequities in access to educators;</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 xml:space="preserve">Identify and share </w:t>
                      </w:r>
                      <w:r>
                        <w:rPr>
                          <w:rFonts w:ascii="Calibri" w:hAnsi="Calibri"/>
                          <w:bCs/>
                          <w:sz w:val="22"/>
                          <w:szCs w:val="22"/>
                        </w:rPr>
                        <w:t>with districts the r</w:t>
                      </w:r>
                      <w:r w:rsidRPr="009C1EE6">
                        <w:rPr>
                          <w:rFonts w:ascii="Calibri" w:hAnsi="Calibri"/>
                          <w:bCs/>
                          <w:sz w:val="22"/>
                          <w:szCs w:val="22"/>
                        </w:rPr>
                        <w:t>esearch and best practices in eliminating equity gaps</w:t>
                      </w:r>
                      <w:r>
                        <w:rPr>
                          <w:rFonts w:ascii="Calibri" w:hAnsi="Calibri"/>
                          <w:bCs/>
                          <w:sz w:val="22"/>
                          <w:szCs w:val="22"/>
                        </w:rPr>
                        <w:t>;</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Implement state-level policies and strategies t</w:t>
                      </w:r>
                      <w:r>
                        <w:rPr>
                          <w:rFonts w:ascii="Calibri" w:hAnsi="Calibri"/>
                          <w:bCs/>
                          <w:sz w:val="22"/>
                          <w:szCs w:val="22"/>
                        </w:rPr>
                        <w:t>o support districts;</w:t>
                      </w:r>
                    </w:p>
                    <w:p w:rsidR="002E3D26" w:rsidRDefault="002E3D26" w:rsidP="00951384">
                      <w:pPr>
                        <w:pStyle w:val="ListParagraph"/>
                        <w:numPr>
                          <w:ilvl w:val="0"/>
                          <w:numId w:val="4"/>
                        </w:numPr>
                        <w:tabs>
                          <w:tab w:val="left" w:pos="450"/>
                        </w:tabs>
                        <w:ind w:left="450"/>
                        <w:rPr>
                          <w:rFonts w:ascii="Calibri" w:hAnsi="Calibri"/>
                          <w:bCs/>
                          <w:sz w:val="22"/>
                          <w:szCs w:val="22"/>
                        </w:rPr>
                      </w:pPr>
                      <w:r w:rsidRPr="009C1EE6">
                        <w:rPr>
                          <w:rFonts w:ascii="Calibri" w:hAnsi="Calibri"/>
                          <w:bCs/>
                          <w:sz w:val="22"/>
                          <w:szCs w:val="22"/>
                        </w:rPr>
                        <w:t>Monitor, assess and report on progress in closing equity gaps</w:t>
                      </w:r>
                      <w:r>
                        <w:rPr>
                          <w:rFonts w:ascii="Calibri" w:hAnsi="Calibri"/>
                          <w:bCs/>
                          <w:sz w:val="22"/>
                          <w:szCs w:val="22"/>
                        </w:rPr>
                        <w:t>;</w:t>
                      </w:r>
                    </w:p>
                    <w:p w:rsidR="002E3D26" w:rsidRPr="009C1EE6"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Support districts in analysis of access data, development of equity strategies, and progress monitoring of strategies; and</w:t>
                      </w:r>
                    </w:p>
                    <w:p w:rsidR="002E3D26" w:rsidRPr="00951384" w:rsidRDefault="002E3D26" w:rsidP="00951384">
                      <w:pPr>
                        <w:pStyle w:val="ListParagraph"/>
                        <w:numPr>
                          <w:ilvl w:val="0"/>
                          <w:numId w:val="4"/>
                        </w:numPr>
                        <w:tabs>
                          <w:tab w:val="left" w:pos="450"/>
                        </w:tabs>
                        <w:ind w:left="450"/>
                        <w:rPr>
                          <w:rFonts w:ascii="Calibri" w:hAnsi="Calibri"/>
                          <w:bCs/>
                          <w:sz w:val="22"/>
                          <w:szCs w:val="22"/>
                        </w:rPr>
                      </w:pPr>
                      <w:r>
                        <w:rPr>
                          <w:rFonts w:ascii="Calibri" w:hAnsi="Calibri"/>
                          <w:bCs/>
                          <w:sz w:val="22"/>
                          <w:szCs w:val="22"/>
                        </w:rPr>
                        <w:t>Use our position as a state agency to communicate the importance of providing students</w:t>
                      </w:r>
                      <w:r>
                        <w:t>—</w:t>
                      </w:r>
                      <w:r>
                        <w:rPr>
                          <w:rFonts w:ascii="Calibri" w:hAnsi="Calibri"/>
                          <w:bCs/>
                          <w:sz w:val="22"/>
                          <w:szCs w:val="22"/>
                        </w:rPr>
                        <w:t>especially those with the greatest need</w:t>
                      </w:r>
                      <w:r>
                        <w:t>—</w:t>
                      </w:r>
                      <w:r>
                        <w:rPr>
                          <w:rFonts w:ascii="Calibri" w:hAnsi="Calibri"/>
                          <w:bCs/>
                          <w:sz w:val="22"/>
                          <w:szCs w:val="22"/>
                        </w:rPr>
                        <w:t xml:space="preserve">with access to the educators who will serve them best.  This communication aims to catalyze action and reinforce the </w:t>
                      </w:r>
                      <w:r w:rsidRPr="00951384">
                        <w:rPr>
                          <w:rFonts w:ascii="Calibri" w:hAnsi="Calibri"/>
                          <w:bCs/>
                          <w:sz w:val="22"/>
                          <w:szCs w:val="22"/>
                        </w:rPr>
                        <w:t xml:space="preserve">importance of equitable access. </w:t>
                      </w:r>
                    </w:p>
                  </w:txbxContent>
                </v:textbox>
                <w10:wrap type="tight" anchorx="margin"/>
              </v:shape>
            </w:pict>
          </mc:Fallback>
        </mc:AlternateContent>
      </w:r>
      <w:r w:rsidR="004A4FF9">
        <w:rPr>
          <w:rFonts w:ascii="Calibri" w:hAnsi="Calibri"/>
          <w:sz w:val="22"/>
        </w:rPr>
        <w:t xml:space="preserve">This document provides an update to </w:t>
      </w:r>
      <w:r w:rsidR="00BF5AB5">
        <w:rPr>
          <w:rFonts w:ascii="Calibri" w:hAnsi="Calibri"/>
          <w:sz w:val="22"/>
        </w:rPr>
        <w:t>D</w:t>
      </w:r>
      <w:r w:rsidR="004A4FF9">
        <w:rPr>
          <w:rFonts w:ascii="Calibri" w:hAnsi="Calibri"/>
          <w:sz w:val="22"/>
        </w:rPr>
        <w:t xml:space="preserve">ESE’s </w:t>
      </w:r>
      <w:hyperlink r:id="rId21" w:history="1">
        <w:r w:rsidR="001C50BF">
          <w:rPr>
            <w:rStyle w:val="Hyperlink"/>
            <w:rFonts w:asciiTheme="minorHAnsi" w:hAnsiTheme="minorHAnsi"/>
            <w:sz w:val="22"/>
            <w:szCs w:val="22"/>
          </w:rPr>
          <w:t>2015 Equity Plan</w:t>
        </w:r>
      </w:hyperlink>
      <w:r w:rsidR="001C50BF">
        <w:rPr>
          <w:rFonts w:asciiTheme="minorHAnsi" w:hAnsiTheme="minorHAnsi"/>
          <w:sz w:val="22"/>
          <w:szCs w:val="22"/>
        </w:rPr>
        <w:t xml:space="preserve"> and </w:t>
      </w:r>
      <w:hyperlink r:id="rId22" w:history="1">
        <w:r w:rsidR="001C50BF">
          <w:rPr>
            <w:rStyle w:val="Hyperlink"/>
            <w:rFonts w:asciiTheme="minorHAnsi" w:hAnsiTheme="minorHAnsi"/>
            <w:sz w:val="22"/>
            <w:szCs w:val="22"/>
          </w:rPr>
          <w:t>2017 Equity Update</w:t>
        </w:r>
      </w:hyperlink>
      <w:r w:rsidR="00903681">
        <w:rPr>
          <w:rFonts w:ascii="Calibri" w:hAnsi="Calibri"/>
          <w:sz w:val="22"/>
        </w:rPr>
        <w:t>, which</w:t>
      </w:r>
      <w:r w:rsidR="004A4FF9">
        <w:rPr>
          <w:rFonts w:ascii="Calibri" w:hAnsi="Calibri"/>
          <w:sz w:val="22"/>
        </w:rPr>
        <w:t xml:space="preserve"> described gaps in access to experienced, in</w:t>
      </w:r>
      <w:r w:rsidR="00441AF8">
        <w:rPr>
          <w:rFonts w:ascii="Helvetica" w:eastAsia="Helvetica" w:hAnsi="Helvetica" w:cs="Helvetica"/>
          <w:sz w:val="22"/>
        </w:rPr>
        <w:t>-</w:t>
      </w:r>
      <w:r w:rsidR="004A4FF9">
        <w:rPr>
          <w:rFonts w:ascii="Calibri" w:hAnsi="Calibri"/>
          <w:sz w:val="22"/>
        </w:rPr>
        <w:t>field</w:t>
      </w:r>
      <w:r w:rsidR="00B85C70">
        <w:rPr>
          <w:rFonts w:ascii="Calibri" w:hAnsi="Calibri"/>
          <w:sz w:val="22"/>
        </w:rPr>
        <w:t>,</w:t>
      </w:r>
      <w:r w:rsidR="004A4FF9">
        <w:rPr>
          <w:rFonts w:ascii="Calibri" w:hAnsi="Calibri"/>
          <w:sz w:val="22"/>
        </w:rPr>
        <w:t xml:space="preserve"> and highly rated educators</w:t>
      </w:r>
      <w:r w:rsidR="00903681">
        <w:rPr>
          <w:rFonts w:ascii="Calibri" w:hAnsi="Calibri"/>
          <w:sz w:val="22"/>
        </w:rPr>
        <w:t xml:space="preserve"> for historically disadvantaged student groups</w:t>
      </w:r>
      <w:r w:rsidR="004A4FF9">
        <w:rPr>
          <w:rFonts w:ascii="Calibri" w:hAnsi="Calibri"/>
          <w:sz w:val="22"/>
        </w:rPr>
        <w:t xml:space="preserve">. </w:t>
      </w:r>
      <w:r w:rsidR="00B85C70">
        <w:rPr>
          <w:rFonts w:ascii="Calibri" w:hAnsi="Calibri"/>
          <w:sz w:val="22"/>
        </w:rPr>
        <w:t>The 201</w:t>
      </w:r>
      <w:r w:rsidR="001E0A61">
        <w:rPr>
          <w:rFonts w:ascii="Calibri" w:hAnsi="Calibri"/>
          <w:sz w:val="22"/>
        </w:rPr>
        <w:t>8</w:t>
      </w:r>
      <w:r w:rsidR="00B85C70">
        <w:rPr>
          <w:rFonts w:ascii="Calibri" w:hAnsi="Calibri"/>
          <w:sz w:val="22"/>
        </w:rPr>
        <w:t xml:space="preserve"> U</w:t>
      </w:r>
      <w:r w:rsidR="00B679C4">
        <w:rPr>
          <w:rFonts w:ascii="Calibri" w:hAnsi="Calibri"/>
          <w:sz w:val="22"/>
        </w:rPr>
        <w:t>pdate</w:t>
      </w:r>
      <w:r w:rsidR="004A4FF9">
        <w:rPr>
          <w:rFonts w:ascii="Calibri" w:hAnsi="Calibri"/>
          <w:sz w:val="22"/>
        </w:rPr>
        <w:t xml:space="preserve"> </w:t>
      </w:r>
      <w:r w:rsidR="00E119D5">
        <w:rPr>
          <w:rFonts w:ascii="Calibri" w:hAnsi="Calibri"/>
          <w:sz w:val="22"/>
        </w:rPr>
        <w:t xml:space="preserve">first </w:t>
      </w:r>
      <w:r w:rsidR="004A4FF9">
        <w:rPr>
          <w:rFonts w:ascii="Calibri" w:hAnsi="Calibri"/>
          <w:sz w:val="22"/>
        </w:rPr>
        <w:t xml:space="preserve">builds on prior years’ data analysis, and </w:t>
      </w:r>
      <w:r w:rsidR="00E119D5">
        <w:rPr>
          <w:rFonts w:ascii="Calibri" w:hAnsi="Calibri"/>
          <w:sz w:val="22"/>
        </w:rPr>
        <w:t xml:space="preserve">then </w:t>
      </w:r>
      <w:r w:rsidR="004A4FF9">
        <w:rPr>
          <w:rFonts w:ascii="Calibri" w:hAnsi="Calibri"/>
          <w:sz w:val="22"/>
        </w:rPr>
        <w:t xml:space="preserve">examines new data. </w:t>
      </w:r>
      <w:r w:rsidR="00B679C4">
        <w:rPr>
          <w:rFonts w:ascii="Calibri" w:hAnsi="Calibri"/>
          <w:sz w:val="22"/>
        </w:rPr>
        <w:t>It</w:t>
      </w:r>
      <w:r w:rsidR="00DF6DA1">
        <w:rPr>
          <w:rFonts w:ascii="Calibri" w:hAnsi="Calibri"/>
          <w:sz w:val="22"/>
        </w:rPr>
        <w:t xml:space="preserve"> lays out benchmark data for tracking changes in statewide equitable access data</w:t>
      </w:r>
      <w:r w:rsidR="00B679C4">
        <w:rPr>
          <w:rFonts w:ascii="Calibri" w:hAnsi="Calibri"/>
          <w:sz w:val="22"/>
        </w:rPr>
        <w:t>.</w:t>
      </w:r>
    </w:p>
    <w:p w:rsidR="004A4FF9" w:rsidRDefault="004A4FF9" w:rsidP="00C6254D">
      <w:pPr>
        <w:rPr>
          <w:rFonts w:ascii="Calibri" w:hAnsi="Calibri"/>
          <w:sz w:val="22"/>
        </w:rPr>
      </w:pPr>
    </w:p>
    <w:p w:rsidR="004A4FF9" w:rsidRDefault="00B61C52" w:rsidP="00C6254D">
      <w:pPr>
        <w:rPr>
          <w:rFonts w:ascii="Calibri" w:hAnsi="Calibri"/>
          <w:sz w:val="22"/>
        </w:rPr>
      </w:pPr>
      <w:r>
        <w:rPr>
          <w:rFonts w:ascii="Calibri" w:hAnsi="Calibri"/>
          <w:sz w:val="22"/>
        </w:rPr>
        <w:t>Improving retention of high quality educators can help address disparities in assignment to effective educators.</w:t>
      </w:r>
      <w:r w:rsidR="004A4FF9">
        <w:rPr>
          <w:rFonts w:ascii="Calibri" w:hAnsi="Calibri"/>
          <w:sz w:val="22"/>
        </w:rPr>
        <w:t xml:space="preserve"> The 2018 Equity Update expands on prior years’ analysis of retention data</w:t>
      </w:r>
      <w:r w:rsidR="006F3BED">
        <w:rPr>
          <w:rFonts w:ascii="Calibri" w:hAnsi="Calibri"/>
          <w:sz w:val="22"/>
        </w:rPr>
        <w:t xml:space="preserve">. </w:t>
      </w:r>
      <w:r w:rsidR="004A4FF9">
        <w:rPr>
          <w:rFonts w:ascii="Calibri" w:hAnsi="Calibri"/>
          <w:sz w:val="22"/>
        </w:rPr>
        <w:t>Massachusetts seeks to diversify its educator workforce, and maintain a sufficient pool of effective teachers in hard</w:t>
      </w:r>
      <w:r w:rsidR="00441AF8">
        <w:rPr>
          <w:rFonts w:ascii="Helvetica" w:eastAsia="Helvetica" w:hAnsi="Helvetica" w:cs="Helvetica"/>
          <w:sz w:val="22"/>
        </w:rPr>
        <w:t>-</w:t>
      </w:r>
      <w:r w:rsidR="004A4FF9">
        <w:rPr>
          <w:rFonts w:ascii="Calibri" w:hAnsi="Calibri"/>
          <w:sz w:val="22"/>
        </w:rPr>
        <w:t>to</w:t>
      </w:r>
      <w:r w:rsidR="00441AF8">
        <w:rPr>
          <w:rFonts w:ascii="Helvetica" w:eastAsia="Helvetica" w:hAnsi="Helvetica" w:cs="Helvetica"/>
          <w:sz w:val="22"/>
        </w:rPr>
        <w:t>-</w:t>
      </w:r>
      <w:r w:rsidR="004A4FF9">
        <w:rPr>
          <w:rFonts w:ascii="Calibri" w:hAnsi="Calibri"/>
          <w:sz w:val="22"/>
        </w:rPr>
        <w:t>staff roles such as special education and English as a Second Language (ESL). These efforts also require a</w:t>
      </w:r>
      <w:r w:rsidR="00B317C0">
        <w:rPr>
          <w:rFonts w:ascii="Calibri" w:hAnsi="Calibri"/>
          <w:sz w:val="22"/>
        </w:rPr>
        <w:t xml:space="preserve"> focus on retention. Thus,</w:t>
      </w:r>
      <w:r w:rsidR="00D75030">
        <w:rPr>
          <w:rFonts w:ascii="Calibri" w:hAnsi="Calibri"/>
          <w:sz w:val="22"/>
        </w:rPr>
        <w:t xml:space="preserve"> the</w:t>
      </w:r>
      <w:r w:rsidR="00B317C0">
        <w:rPr>
          <w:rFonts w:ascii="Calibri" w:hAnsi="Calibri"/>
          <w:sz w:val="22"/>
        </w:rPr>
        <w:t xml:space="preserve"> </w:t>
      </w:r>
      <w:hyperlink w:anchor="_Educator_retention_data" w:history="1">
        <w:r w:rsidR="00D75030" w:rsidRPr="00D75030">
          <w:rPr>
            <w:rStyle w:val="Hyperlink"/>
            <w:rFonts w:ascii="Calibri" w:hAnsi="Calibri"/>
            <w:sz w:val="22"/>
          </w:rPr>
          <w:t>educator retention section</w:t>
        </w:r>
      </w:hyperlink>
      <w:r w:rsidR="00D75030">
        <w:rPr>
          <w:rFonts w:ascii="Calibri" w:hAnsi="Calibri"/>
          <w:sz w:val="22"/>
        </w:rPr>
        <w:t xml:space="preserve"> </w:t>
      </w:r>
      <w:r w:rsidR="004A4FF9">
        <w:rPr>
          <w:rFonts w:ascii="Calibri" w:hAnsi="Calibri"/>
          <w:sz w:val="22"/>
        </w:rPr>
        <w:t>offers analy</w:t>
      </w:r>
      <w:r w:rsidR="00B443F5">
        <w:rPr>
          <w:rFonts w:ascii="Calibri" w:hAnsi="Calibri"/>
          <w:sz w:val="22"/>
        </w:rPr>
        <w:t>sis of relevant data.</w:t>
      </w:r>
    </w:p>
    <w:p w:rsidR="00B443F5" w:rsidRPr="00F52A6A" w:rsidRDefault="00B443F5" w:rsidP="00C6254D">
      <w:pPr>
        <w:rPr>
          <w:rFonts w:ascii="Calibri" w:hAnsi="Calibri"/>
          <w:sz w:val="22"/>
        </w:rPr>
      </w:pPr>
    </w:p>
    <w:p w:rsidR="00C35493" w:rsidRDefault="00236349" w:rsidP="00C35493">
      <w:pPr>
        <w:rPr>
          <w:rFonts w:ascii="Calibri" w:hAnsi="Calibri"/>
          <w:sz w:val="22"/>
        </w:rPr>
      </w:pPr>
      <w:r>
        <w:rPr>
          <w:rFonts w:ascii="Calibri" w:hAnsi="Calibri"/>
          <w:sz w:val="22"/>
        </w:rPr>
        <w:t xml:space="preserve">Several </w:t>
      </w:r>
      <w:r w:rsidR="004A4FF9">
        <w:rPr>
          <w:rFonts w:ascii="Calibri" w:hAnsi="Calibri"/>
          <w:sz w:val="22"/>
        </w:rPr>
        <w:t xml:space="preserve">equitable access strategies </w:t>
      </w:r>
      <w:r w:rsidR="003B187F">
        <w:rPr>
          <w:rFonts w:ascii="Calibri" w:hAnsi="Calibri"/>
          <w:sz w:val="22"/>
        </w:rPr>
        <w:t xml:space="preserve">that </w:t>
      </w:r>
      <w:r w:rsidR="004A4FF9">
        <w:rPr>
          <w:rFonts w:ascii="Calibri" w:hAnsi="Calibri"/>
          <w:sz w:val="22"/>
        </w:rPr>
        <w:t>the 2015 Eq</w:t>
      </w:r>
      <w:r w:rsidR="00B85C70">
        <w:rPr>
          <w:rFonts w:ascii="Calibri" w:hAnsi="Calibri"/>
          <w:sz w:val="22"/>
        </w:rPr>
        <w:t xml:space="preserve">uity Plan </w:t>
      </w:r>
      <w:r w:rsidR="003B187F">
        <w:rPr>
          <w:rFonts w:ascii="Calibri" w:hAnsi="Calibri"/>
          <w:sz w:val="22"/>
        </w:rPr>
        <w:t xml:space="preserve">describes </w:t>
      </w:r>
      <w:r w:rsidR="00B85C70">
        <w:rPr>
          <w:rFonts w:ascii="Calibri" w:hAnsi="Calibri"/>
          <w:sz w:val="22"/>
        </w:rPr>
        <w:t>continue into 2018, such as tools to improve inclusive practices, and to identify disparities in teacher assignment. N</w:t>
      </w:r>
      <w:r w:rsidR="004A4FF9">
        <w:rPr>
          <w:rFonts w:ascii="Calibri" w:hAnsi="Calibri"/>
          <w:sz w:val="22"/>
        </w:rPr>
        <w:t>ew equity</w:t>
      </w:r>
      <w:r w:rsidR="00441AF8">
        <w:rPr>
          <w:rFonts w:ascii="Helvetica" w:eastAsia="Helvetica" w:hAnsi="Helvetica" w:cs="Helvetica"/>
          <w:sz w:val="22"/>
        </w:rPr>
        <w:t>-</w:t>
      </w:r>
      <w:r w:rsidR="004A4FF9">
        <w:rPr>
          <w:rFonts w:ascii="Calibri" w:hAnsi="Calibri"/>
          <w:sz w:val="22"/>
        </w:rPr>
        <w:t>related initiatives are also in place.</w:t>
      </w:r>
      <w:r w:rsidR="00AB4675">
        <w:rPr>
          <w:rFonts w:ascii="Calibri" w:hAnsi="Calibri"/>
          <w:sz w:val="22"/>
        </w:rPr>
        <w:t xml:space="preserve"> This update does not provide a comprehensive list of all </w:t>
      </w:r>
      <w:r w:rsidR="00BF5AB5">
        <w:rPr>
          <w:rFonts w:ascii="Calibri" w:hAnsi="Calibri"/>
          <w:sz w:val="22"/>
        </w:rPr>
        <w:t>D</w:t>
      </w:r>
      <w:r>
        <w:rPr>
          <w:rFonts w:ascii="Calibri" w:hAnsi="Calibri"/>
          <w:sz w:val="22"/>
        </w:rPr>
        <w:t xml:space="preserve">ESE initiatives supporting </w:t>
      </w:r>
      <w:r w:rsidR="00AB4675">
        <w:rPr>
          <w:rFonts w:ascii="Calibri" w:hAnsi="Calibri"/>
          <w:sz w:val="22"/>
        </w:rPr>
        <w:t>educational equity</w:t>
      </w:r>
      <w:r w:rsidR="00B443F5">
        <w:rPr>
          <w:rFonts w:ascii="Calibri" w:hAnsi="Calibri"/>
          <w:sz w:val="22"/>
        </w:rPr>
        <w:t>,</w:t>
      </w:r>
      <w:r w:rsidR="00AB4675">
        <w:rPr>
          <w:rFonts w:ascii="Calibri" w:hAnsi="Calibri"/>
          <w:sz w:val="22"/>
        </w:rPr>
        <w:t xml:space="preserve"> but </w:t>
      </w:r>
      <w:r w:rsidR="004A4FF9">
        <w:rPr>
          <w:rFonts w:ascii="Calibri" w:hAnsi="Calibri"/>
          <w:sz w:val="22"/>
        </w:rPr>
        <w:lastRenderedPageBreak/>
        <w:t>provides updated information about</w:t>
      </w:r>
      <w:r w:rsidR="00AB4675">
        <w:rPr>
          <w:rFonts w:ascii="Calibri" w:hAnsi="Calibri"/>
          <w:sz w:val="22"/>
        </w:rPr>
        <w:t xml:space="preserve"> several key</w:t>
      </w:r>
      <w:r w:rsidR="004A4FF9">
        <w:rPr>
          <w:rFonts w:ascii="Calibri" w:hAnsi="Calibri"/>
          <w:sz w:val="22"/>
        </w:rPr>
        <w:t xml:space="preserve"> state</w:t>
      </w:r>
      <w:r w:rsidR="00441AF8">
        <w:rPr>
          <w:rFonts w:ascii="Helvetica" w:eastAsia="Helvetica" w:hAnsi="Helvetica" w:cs="Helvetica"/>
          <w:sz w:val="22"/>
        </w:rPr>
        <w:t>-</w:t>
      </w:r>
      <w:r w:rsidR="004A4FF9">
        <w:rPr>
          <w:rFonts w:ascii="Calibri" w:hAnsi="Calibri"/>
          <w:sz w:val="22"/>
        </w:rPr>
        <w:t>level initiatives and their connections to root causes of equitable access gaps.</w:t>
      </w:r>
      <w:r w:rsidR="00AB4675">
        <w:rPr>
          <w:rFonts w:ascii="Calibri" w:hAnsi="Calibri"/>
          <w:sz w:val="22"/>
        </w:rPr>
        <w:t xml:space="preserve"> </w:t>
      </w:r>
    </w:p>
    <w:p w:rsidR="004A4FF9" w:rsidRPr="00C35493" w:rsidRDefault="00BF2C72" w:rsidP="00C35493">
      <w:pPr>
        <w:pStyle w:val="Heading1"/>
        <w:rPr>
          <w:rFonts w:ascii="Calibri" w:hAnsi="Calibri"/>
          <w:sz w:val="36"/>
          <w:szCs w:val="36"/>
        </w:rPr>
      </w:pPr>
      <w:bookmarkStart w:id="14" w:name="_Data_Analysis"/>
      <w:bookmarkStart w:id="15" w:name="_Toc509831819"/>
      <w:bookmarkEnd w:id="14"/>
      <w:r>
        <w:rPr>
          <w:rFonts w:ascii="Calibri" w:hAnsi="Calibri"/>
          <w:sz w:val="36"/>
          <w:szCs w:val="36"/>
        </w:rPr>
        <w:t>Equitable Access Data</w:t>
      </w:r>
      <w:bookmarkEnd w:id="15"/>
    </w:p>
    <w:p w:rsidR="004A4FF9" w:rsidRDefault="004A4FF9" w:rsidP="00253A5B">
      <w:pPr>
        <w:tabs>
          <w:tab w:val="left" w:pos="0"/>
          <w:tab w:val="left" w:pos="540"/>
        </w:tabs>
        <w:rPr>
          <w:rFonts w:asciiTheme="minorHAnsi" w:hAnsiTheme="minorHAnsi" w:cs="Courier New"/>
          <w:sz w:val="22"/>
          <w:szCs w:val="22"/>
        </w:rPr>
      </w:pPr>
      <w:r w:rsidRPr="0053116B">
        <w:rPr>
          <w:rFonts w:asciiTheme="minorHAnsi" w:hAnsiTheme="minorHAnsi" w:cs="Courier New"/>
          <w:sz w:val="22"/>
          <w:szCs w:val="22"/>
        </w:rPr>
        <w:t xml:space="preserve">The following </w:t>
      </w:r>
      <w:r>
        <w:rPr>
          <w:rFonts w:asciiTheme="minorHAnsi" w:hAnsiTheme="minorHAnsi" w:cs="Courier New"/>
          <w:sz w:val="22"/>
          <w:szCs w:val="22"/>
        </w:rPr>
        <w:t>section</w:t>
      </w:r>
      <w:r w:rsidRPr="0053116B">
        <w:rPr>
          <w:rFonts w:asciiTheme="minorHAnsi" w:hAnsiTheme="minorHAnsi" w:cs="Courier New"/>
          <w:sz w:val="22"/>
          <w:szCs w:val="22"/>
        </w:rPr>
        <w:t xml:space="preserve"> addresses </w:t>
      </w:r>
      <w:r>
        <w:rPr>
          <w:rFonts w:asciiTheme="minorHAnsi" w:hAnsiTheme="minorHAnsi" w:cs="Courier New"/>
          <w:sz w:val="22"/>
          <w:szCs w:val="22"/>
        </w:rPr>
        <w:t xml:space="preserve">equity gaps, or inequities in </w:t>
      </w:r>
      <w:r w:rsidRPr="0053116B">
        <w:rPr>
          <w:rFonts w:asciiTheme="minorHAnsi" w:hAnsiTheme="minorHAnsi" w:cs="Courier New"/>
          <w:sz w:val="22"/>
          <w:szCs w:val="22"/>
        </w:rPr>
        <w:t>rates of access to educators</w:t>
      </w:r>
      <w:r w:rsidR="00EA212B">
        <w:rPr>
          <w:rFonts w:asciiTheme="minorHAnsi" w:hAnsiTheme="minorHAnsi" w:cs="Courier New"/>
          <w:sz w:val="22"/>
          <w:szCs w:val="22"/>
        </w:rPr>
        <w:t>,</w:t>
      </w:r>
      <w:r w:rsidRPr="0053116B">
        <w:rPr>
          <w:rFonts w:asciiTheme="minorHAnsi" w:hAnsiTheme="minorHAnsi" w:cs="Courier New"/>
          <w:sz w:val="22"/>
          <w:szCs w:val="22"/>
        </w:rPr>
        <w:t xml:space="preserve"> for four historically disadvantaged student groups: economically disadvantaged students, students of color, English learners</w:t>
      </w:r>
      <w:r>
        <w:rPr>
          <w:rFonts w:asciiTheme="minorHAnsi" w:hAnsiTheme="minorHAnsi" w:cs="Courier New"/>
          <w:sz w:val="22"/>
          <w:szCs w:val="22"/>
        </w:rPr>
        <w:t xml:space="preserve"> (ELs)</w:t>
      </w:r>
      <w:r w:rsidRPr="0053116B">
        <w:rPr>
          <w:rFonts w:asciiTheme="minorHAnsi" w:hAnsiTheme="minorHAnsi" w:cs="Courier New"/>
          <w:sz w:val="22"/>
          <w:szCs w:val="22"/>
        </w:rPr>
        <w:t>, and students with disabilities</w:t>
      </w:r>
      <w:r w:rsidRPr="00D60D34">
        <w:rPr>
          <w:rFonts w:asciiTheme="minorHAnsi" w:hAnsiTheme="minorHAnsi" w:cs="Courier New"/>
          <w:sz w:val="22"/>
          <w:szCs w:val="22"/>
        </w:rPr>
        <w:t>. These student groups continue to experience gaps in key achievement metrics, such as MCAS performance and four</w:t>
      </w:r>
      <w:r w:rsidR="00441AF8" w:rsidRPr="00D60D34">
        <w:rPr>
          <w:rFonts w:asciiTheme="minorHAnsi" w:eastAsia="Helvetica" w:hAnsiTheme="minorHAnsi" w:cs="Helvetica"/>
          <w:sz w:val="22"/>
          <w:szCs w:val="22"/>
        </w:rPr>
        <w:t>-</w:t>
      </w:r>
      <w:r w:rsidRPr="00D60D34">
        <w:rPr>
          <w:rFonts w:asciiTheme="minorHAnsi" w:hAnsiTheme="minorHAnsi" w:cs="Courier New"/>
          <w:sz w:val="22"/>
          <w:szCs w:val="22"/>
        </w:rPr>
        <w:t>year graduation</w:t>
      </w:r>
      <w:r>
        <w:rPr>
          <w:rFonts w:asciiTheme="minorHAnsi" w:hAnsiTheme="minorHAnsi" w:cs="Courier New"/>
          <w:sz w:val="22"/>
          <w:szCs w:val="22"/>
        </w:rPr>
        <w:t xml:space="preserve"> rates, </w:t>
      </w:r>
      <w:r w:rsidRPr="0053116B">
        <w:rPr>
          <w:rFonts w:asciiTheme="minorHAnsi" w:hAnsiTheme="minorHAnsi" w:cs="Courier New"/>
          <w:sz w:val="22"/>
          <w:szCs w:val="22"/>
        </w:rPr>
        <w:t>when compared to their peers</w:t>
      </w:r>
      <w:r>
        <w:rPr>
          <w:rFonts w:asciiTheme="minorHAnsi" w:hAnsiTheme="minorHAnsi" w:cs="Courier New"/>
          <w:sz w:val="22"/>
          <w:szCs w:val="22"/>
        </w:rPr>
        <w:t>.</w:t>
      </w:r>
    </w:p>
    <w:p w:rsidR="004A4FF9" w:rsidRDefault="004A4FF9" w:rsidP="00253A5B">
      <w:pPr>
        <w:tabs>
          <w:tab w:val="left" w:pos="0"/>
          <w:tab w:val="left" w:pos="540"/>
        </w:tabs>
        <w:rPr>
          <w:rFonts w:asciiTheme="minorHAnsi" w:hAnsiTheme="minorHAnsi" w:cs="Courier New"/>
          <w:sz w:val="22"/>
          <w:szCs w:val="22"/>
        </w:rPr>
      </w:pPr>
    </w:p>
    <w:p w:rsidR="00E258A4" w:rsidRDefault="00E258A4" w:rsidP="00A14BFA">
      <w:pPr>
        <w:tabs>
          <w:tab w:val="left" w:pos="0"/>
          <w:tab w:val="left" w:pos="540"/>
        </w:tabs>
        <w:rPr>
          <w:rFonts w:asciiTheme="minorHAnsi" w:hAnsiTheme="minorHAnsi" w:cs="Courier New"/>
          <w:sz w:val="22"/>
          <w:szCs w:val="22"/>
        </w:rPr>
      </w:pPr>
      <w:r>
        <w:rPr>
          <w:rFonts w:asciiTheme="minorHAnsi" w:hAnsiTheme="minorHAnsi" w:cs="Courier New"/>
          <w:sz w:val="22"/>
          <w:szCs w:val="22"/>
        </w:rPr>
        <w:t xml:space="preserve">In understanding the data around equitable access in Massachusetts, there are a few things to know: </w:t>
      </w:r>
    </w:p>
    <w:p w:rsidR="005246B5" w:rsidRPr="005246B5" w:rsidRDefault="00B20018" w:rsidP="005246B5">
      <w:pPr>
        <w:pStyle w:val="ListParagraph"/>
        <w:numPr>
          <w:ilvl w:val="0"/>
          <w:numId w:val="24"/>
        </w:numPr>
        <w:rPr>
          <w:rFonts w:asciiTheme="minorHAnsi" w:hAnsiTheme="minorHAnsi" w:cs="Courier New"/>
          <w:b/>
          <w:sz w:val="22"/>
          <w:szCs w:val="22"/>
        </w:rPr>
      </w:pPr>
      <w:r w:rsidRPr="005246B5">
        <w:rPr>
          <w:rFonts w:asciiTheme="minorHAnsi" w:hAnsiTheme="minorHAnsi" w:cs="Courier New"/>
          <w:b/>
          <w:sz w:val="22"/>
          <w:szCs w:val="22"/>
        </w:rPr>
        <w:t>Describing access relative to student experiences, not individual teachers</w:t>
      </w:r>
      <w:r w:rsidRPr="005246B5">
        <w:rPr>
          <w:rFonts w:asciiTheme="minorHAnsi" w:hAnsiTheme="minorHAnsi" w:cs="Courier New"/>
          <w:sz w:val="22"/>
          <w:szCs w:val="22"/>
        </w:rPr>
        <w:t xml:space="preserve">: Rather than report on the number of educators </w:t>
      </w:r>
      <w:r w:rsidR="00DF441A" w:rsidRPr="005246B5">
        <w:rPr>
          <w:rFonts w:asciiTheme="minorHAnsi" w:hAnsiTheme="minorHAnsi" w:cs="Courier New"/>
          <w:sz w:val="22"/>
          <w:szCs w:val="22"/>
        </w:rPr>
        <w:t>in each</w:t>
      </w:r>
      <w:r w:rsidRPr="005246B5">
        <w:rPr>
          <w:rFonts w:asciiTheme="minorHAnsi" w:hAnsiTheme="minorHAnsi" w:cs="Courier New"/>
          <w:sz w:val="22"/>
          <w:szCs w:val="22"/>
        </w:rPr>
        <w:t xml:space="preserve"> category, Massachusetts has chosen instead to emphasi</w:t>
      </w:r>
      <w:r w:rsidR="00EA212B">
        <w:rPr>
          <w:rFonts w:asciiTheme="minorHAnsi" w:hAnsiTheme="minorHAnsi" w:cs="Courier New"/>
          <w:sz w:val="22"/>
          <w:szCs w:val="22"/>
        </w:rPr>
        <w:t>ze</w:t>
      </w:r>
      <w:r w:rsidRPr="005246B5">
        <w:rPr>
          <w:rFonts w:asciiTheme="minorHAnsi" w:hAnsiTheme="minorHAnsi" w:cs="Courier New"/>
          <w:sz w:val="22"/>
          <w:szCs w:val="22"/>
        </w:rPr>
        <w:t xml:space="preserve"> the number of unique instances a student has had with an educator who is inexperienced, </w:t>
      </w:r>
      <w:r w:rsidR="00BF2C72" w:rsidRPr="005246B5">
        <w:rPr>
          <w:rFonts w:asciiTheme="minorHAnsi" w:hAnsiTheme="minorHAnsi" w:cs="Courier New"/>
          <w:sz w:val="22"/>
          <w:szCs w:val="22"/>
        </w:rPr>
        <w:t xml:space="preserve">is </w:t>
      </w:r>
      <w:r w:rsidRPr="005246B5">
        <w:rPr>
          <w:rFonts w:asciiTheme="minorHAnsi" w:hAnsiTheme="minorHAnsi" w:cs="Courier New"/>
          <w:sz w:val="22"/>
          <w:szCs w:val="22"/>
        </w:rPr>
        <w:t xml:space="preserve">out-of-field, or has received lower performance ratings. </w:t>
      </w:r>
      <w:r w:rsidR="005246B5" w:rsidRPr="005246B5">
        <w:rPr>
          <w:rFonts w:asciiTheme="minorHAnsi" w:hAnsiTheme="minorHAnsi" w:cs="Courier New"/>
          <w:sz w:val="22"/>
          <w:szCs w:val="22"/>
        </w:rPr>
        <w:t>A</w:t>
      </w:r>
      <w:r w:rsidR="005246B5" w:rsidRPr="005246B5">
        <w:rPr>
          <w:rFonts w:asciiTheme="minorHAnsi" w:hAnsiTheme="minorHAnsi"/>
          <w:sz w:val="22"/>
          <w:szCs w:val="22"/>
        </w:rPr>
        <w:t xml:space="preserve"> “student learning experience” refers to each time a student is assigned to a teacher of record in a Massachusetts public school</w:t>
      </w:r>
      <w:r w:rsidR="005246B5">
        <w:rPr>
          <w:rFonts w:asciiTheme="minorHAnsi" w:hAnsiTheme="minorHAnsi"/>
          <w:sz w:val="22"/>
          <w:szCs w:val="22"/>
        </w:rPr>
        <w:t xml:space="preserve">. </w:t>
      </w:r>
      <w:r w:rsidR="005246B5">
        <w:rPr>
          <w:rFonts w:asciiTheme="minorHAnsi" w:hAnsiTheme="minorHAnsi" w:cs="Courier New"/>
          <w:sz w:val="22"/>
          <w:szCs w:val="22"/>
        </w:rPr>
        <w:t>T</w:t>
      </w:r>
      <w:r w:rsidR="005246B5" w:rsidRPr="005246B5">
        <w:rPr>
          <w:rFonts w:asciiTheme="minorHAnsi" w:hAnsiTheme="minorHAnsi" w:cs="Courier New"/>
          <w:sz w:val="22"/>
          <w:szCs w:val="22"/>
        </w:rPr>
        <w:t xml:space="preserve">he figures below reflect the percentage </w:t>
      </w:r>
      <w:r w:rsidR="00EA212B">
        <w:rPr>
          <w:rFonts w:asciiTheme="minorHAnsi" w:hAnsiTheme="minorHAnsi" w:cs="Courier New"/>
          <w:sz w:val="22"/>
          <w:szCs w:val="22"/>
        </w:rPr>
        <w:t xml:space="preserve">of the </w:t>
      </w:r>
      <w:r w:rsidR="005246B5" w:rsidRPr="005246B5">
        <w:rPr>
          <w:rFonts w:asciiTheme="minorHAnsi" w:hAnsiTheme="minorHAnsi" w:cs="Courier New"/>
          <w:sz w:val="22"/>
          <w:szCs w:val="22"/>
        </w:rPr>
        <w:t xml:space="preserve"> total number of experiences that a group of students had with certain types of teachers</w:t>
      </w:r>
      <w:r w:rsidR="00EA212B">
        <w:rPr>
          <w:rFonts w:asciiTheme="minorHAnsi" w:hAnsiTheme="minorHAnsi" w:cs="Courier New"/>
          <w:sz w:val="22"/>
          <w:szCs w:val="22"/>
        </w:rPr>
        <w:t>, in the 2016–17 school year</w:t>
      </w:r>
    </w:p>
    <w:p w:rsidR="00AD4E47" w:rsidRPr="00DE28D6" w:rsidRDefault="00B20018" w:rsidP="00DE28D6">
      <w:pPr>
        <w:pStyle w:val="ListParagraph"/>
        <w:numPr>
          <w:ilvl w:val="0"/>
          <w:numId w:val="24"/>
        </w:numPr>
        <w:rPr>
          <w:rFonts w:asciiTheme="minorHAnsi" w:hAnsiTheme="minorHAnsi"/>
          <w:i/>
          <w:sz w:val="22"/>
          <w:szCs w:val="22"/>
        </w:rPr>
      </w:pPr>
      <w:r w:rsidRPr="005246B5">
        <w:rPr>
          <w:rFonts w:asciiTheme="minorHAnsi" w:hAnsiTheme="minorHAnsi" w:cs="Courier New"/>
          <w:b/>
          <w:sz w:val="22"/>
          <w:szCs w:val="22"/>
        </w:rPr>
        <w:t>Establishing risk ratios</w:t>
      </w:r>
      <w:r w:rsidRPr="005246B5">
        <w:rPr>
          <w:rFonts w:asciiTheme="minorHAnsi" w:hAnsiTheme="minorHAnsi" w:cs="Courier New"/>
          <w:sz w:val="22"/>
          <w:szCs w:val="22"/>
        </w:rPr>
        <w:t xml:space="preserve">: </w:t>
      </w:r>
      <w:r w:rsidRPr="005246B5">
        <w:rPr>
          <w:rFonts w:asciiTheme="minorHAnsi" w:hAnsiTheme="minorHAnsi" w:cs="Courier New"/>
          <w:b/>
          <w:i/>
          <w:sz w:val="22"/>
          <w:szCs w:val="22"/>
        </w:rPr>
        <w:t xml:space="preserve"> </w:t>
      </w:r>
      <w:bookmarkStart w:id="16" w:name="_Toc481485207"/>
      <w:r w:rsidR="00C54487" w:rsidRPr="00C54487">
        <w:rPr>
          <w:rFonts w:asciiTheme="minorHAnsi" w:hAnsiTheme="minorHAnsi"/>
          <w:sz w:val="22"/>
          <w:szCs w:val="22"/>
        </w:rPr>
        <w:t>Risk ratios</w:t>
      </w:r>
      <w:r w:rsidRPr="005246B5">
        <w:rPr>
          <w:rFonts w:asciiTheme="minorHAnsi" w:hAnsiTheme="minorHAnsi"/>
          <w:i/>
          <w:sz w:val="22"/>
          <w:szCs w:val="22"/>
        </w:rPr>
        <w:t xml:space="preserve"> </w:t>
      </w:r>
      <w:r w:rsidRPr="005246B5">
        <w:rPr>
          <w:rFonts w:asciiTheme="minorHAnsi" w:hAnsiTheme="minorHAnsi"/>
          <w:sz w:val="22"/>
          <w:szCs w:val="22"/>
        </w:rPr>
        <w:t>compare the rate</w:t>
      </w:r>
      <w:r w:rsidR="00B75633">
        <w:rPr>
          <w:rFonts w:asciiTheme="minorHAnsi" w:hAnsiTheme="minorHAnsi"/>
          <w:sz w:val="22"/>
          <w:szCs w:val="22"/>
        </w:rPr>
        <w:t xml:space="preserve"> of experiences between groups. I</w:t>
      </w:r>
      <w:r w:rsidRPr="005246B5">
        <w:rPr>
          <w:rFonts w:asciiTheme="minorHAnsi" w:hAnsiTheme="minorHAnsi"/>
          <w:sz w:val="22"/>
          <w:szCs w:val="22"/>
        </w:rPr>
        <w:t xml:space="preserve">n Table 1 below, the risk ratio 1.29 shows that economically disadvantaged students were assigned to inexperienced teachers 29 percent more often, or 1.29 times </w:t>
      </w:r>
      <w:r w:rsidR="00EA212B">
        <w:rPr>
          <w:rFonts w:asciiTheme="minorHAnsi" w:hAnsiTheme="minorHAnsi"/>
          <w:sz w:val="22"/>
          <w:szCs w:val="22"/>
        </w:rPr>
        <w:t>as often</w:t>
      </w:r>
      <w:r w:rsidRPr="005246B5">
        <w:rPr>
          <w:rFonts w:asciiTheme="minorHAnsi" w:hAnsiTheme="minorHAnsi"/>
          <w:sz w:val="22"/>
          <w:szCs w:val="22"/>
        </w:rPr>
        <w:t xml:space="preserve">, </w:t>
      </w:r>
      <w:r w:rsidR="00EA212B">
        <w:rPr>
          <w:rFonts w:asciiTheme="minorHAnsi" w:hAnsiTheme="minorHAnsi"/>
          <w:sz w:val="22"/>
          <w:szCs w:val="22"/>
        </w:rPr>
        <w:t>compared to</w:t>
      </w:r>
      <w:r w:rsidRPr="005246B5">
        <w:rPr>
          <w:rFonts w:asciiTheme="minorHAnsi" w:hAnsiTheme="minorHAnsi"/>
          <w:sz w:val="22"/>
          <w:szCs w:val="22"/>
        </w:rPr>
        <w:t xml:space="preserve"> no</w:t>
      </w:r>
      <w:r w:rsidRPr="005246B5">
        <w:rPr>
          <w:rFonts w:asciiTheme="minorHAnsi" w:eastAsia="Helvetica" w:hAnsiTheme="minorHAnsi" w:cs="Helvetica"/>
          <w:sz w:val="22"/>
          <w:szCs w:val="22"/>
        </w:rPr>
        <w:t>n-</w:t>
      </w:r>
      <w:r w:rsidRPr="005246B5">
        <w:rPr>
          <w:rFonts w:asciiTheme="minorHAnsi" w:hAnsiTheme="minorHAnsi"/>
          <w:sz w:val="22"/>
          <w:szCs w:val="22"/>
        </w:rPr>
        <w:t xml:space="preserve">economically disadvantaged students. With the support of researchers and </w:t>
      </w:r>
      <w:r w:rsidR="00227446">
        <w:rPr>
          <w:rFonts w:asciiTheme="minorHAnsi" w:hAnsiTheme="minorHAnsi"/>
          <w:sz w:val="22"/>
          <w:szCs w:val="22"/>
        </w:rPr>
        <w:t xml:space="preserve">input from </w:t>
      </w:r>
      <w:r w:rsidRPr="005246B5">
        <w:rPr>
          <w:rFonts w:asciiTheme="minorHAnsi" w:hAnsiTheme="minorHAnsi"/>
          <w:sz w:val="22"/>
          <w:szCs w:val="22"/>
        </w:rPr>
        <w:t>stakeholder</w:t>
      </w:r>
      <w:r w:rsidR="00227446">
        <w:rPr>
          <w:rFonts w:asciiTheme="minorHAnsi" w:hAnsiTheme="minorHAnsi"/>
          <w:sz w:val="22"/>
          <w:szCs w:val="22"/>
        </w:rPr>
        <w:t>s</w:t>
      </w:r>
      <w:r w:rsidRPr="005246B5">
        <w:rPr>
          <w:rFonts w:asciiTheme="minorHAnsi" w:hAnsiTheme="minorHAnsi"/>
          <w:sz w:val="22"/>
          <w:szCs w:val="22"/>
        </w:rPr>
        <w:t xml:space="preserve">, </w:t>
      </w:r>
      <w:r w:rsidR="005F44ED">
        <w:rPr>
          <w:rFonts w:asciiTheme="minorHAnsi" w:hAnsiTheme="minorHAnsi"/>
          <w:sz w:val="22"/>
          <w:szCs w:val="22"/>
        </w:rPr>
        <w:t>D</w:t>
      </w:r>
      <w:r w:rsidRPr="005246B5">
        <w:rPr>
          <w:rFonts w:asciiTheme="minorHAnsi" w:hAnsiTheme="minorHAnsi"/>
          <w:sz w:val="22"/>
          <w:szCs w:val="22"/>
        </w:rPr>
        <w:t>ESE flags any risk ratio greater than 1.5 as a possible equity gap</w:t>
      </w:r>
      <w:r w:rsidR="00807178" w:rsidRPr="005246B5">
        <w:rPr>
          <w:rFonts w:asciiTheme="minorHAnsi" w:hAnsiTheme="minorHAnsi"/>
          <w:sz w:val="22"/>
          <w:szCs w:val="22"/>
        </w:rPr>
        <w:t>,</w:t>
      </w:r>
      <w:r w:rsidRPr="005246B5">
        <w:rPr>
          <w:rFonts w:asciiTheme="minorHAnsi" w:hAnsiTheme="minorHAnsi"/>
          <w:sz w:val="22"/>
          <w:szCs w:val="22"/>
        </w:rPr>
        <w:t xml:space="preserve"> as this means that a particular </w:t>
      </w:r>
      <w:r w:rsidR="00807178" w:rsidRPr="005246B5">
        <w:rPr>
          <w:rFonts w:asciiTheme="minorHAnsi" w:hAnsiTheme="minorHAnsi"/>
          <w:sz w:val="22"/>
          <w:szCs w:val="22"/>
        </w:rPr>
        <w:t>sub</w:t>
      </w:r>
      <w:r w:rsidRPr="005246B5">
        <w:rPr>
          <w:rFonts w:asciiTheme="minorHAnsi" w:hAnsiTheme="minorHAnsi"/>
          <w:sz w:val="22"/>
          <w:szCs w:val="22"/>
        </w:rPr>
        <w:t xml:space="preserve">group of students is at least </w:t>
      </w:r>
      <w:r w:rsidR="00807178" w:rsidRPr="005246B5">
        <w:rPr>
          <w:rFonts w:asciiTheme="minorHAnsi" w:hAnsiTheme="minorHAnsi"/>
          <w:sz w:val="22"/>
          <w:szCs w:val="22"/>
        </w:rPr>
        <w:t>50 percent</w:t>
      </w:r>
      <w:r w:rsidRPr="005246B5">
        <w:rPr>
          <w:rFonts w:asciiTheme="minorHAnsi" w:hAnsiTheme="minorHAnsi"/>
          <w:sz w:val="22"/>
          <w:szCs w:val="22"/>
        </w:rPr>
        <w:t xml:space="preserve"> more likely to be </w:t>
      </w:r>
      <w:r w:rsidR="00893A6F">
        <w:rPr>
          <w:rFonts w:asciiTheme="minorHAnsi" w:hAnsiTheme="minorHAnsi"/>
          <w:sz w:val="22"/>
          <w:szCs w:val="22"/>
        </w:rPr>
        <w:t>assigned to</w:t>
      </w:r>
      <w:r w:rsidR="00893A6F" w:rsidRPr="005246B5">
        <w:rPr>
          <w:rFonts w:asciiTheme="minorHAnsi" w:hAnsiTheme="minorHAnsi"/>
          <w:sz w:val="22"/>
          <w:szCs w:val="22"/>
        </w:rPr>
        <w:t xml:space="preserve"> </w:t>
      </w:r>
      <w:r w:rsidRPr="005246B5">
        <w:rPr>
          <w:rFonts w:asciiTheme="minorHAnsi" w:hAnsiTheme="minorHAnsi"/>
          <w:sz w:val="22"/>
          <w:szCs w:val="22"/>
        </w:rPr>
        <w:t>an inexperienced, out-of-field</w:t>
      </w:r>
      <w:r w:rsidR="00807178" w:rsidRPr="005246B5">
        <w:rPr>
          <w:rFonts w:asciiTheme="minorHAnsi" w:hAnsiTheme="minorHAnsi"/>
          <w:sz w:val="22"/>
          <w:szCs w:val="22"/>
        </w:rPr>
        <w:t>,</w:t>
      </w:r>
      <w:r w:rsidRPr="005246B5">
        <w:rPr>
          <w:rFonts w:asciiTheme="minorHAnsi" w:hAnsiTheme="minorHAnsi"/>
          <w:sz w:val="22"/>
          <w:szCs w:val="22"/>
        </w:rPr>
        <w:t xml:space="preserve"> or lower rated educator</w:t>
      </w:r>
      <w:r w:rsidR="00807178" w:rsidRPr="005246B5">
        <w:rPr>
          <w:rFonts w:asciiTheme="minorHAnsi" w:hAnsiTheme="minorHAnsi"/>
          <w:sz w:val="22"/>
          <w:szCs w:val="22"/>
        </w:rPr>
        <w:t xml:space="preserve">, compared to </w:t>
      </w:r>
      <w:r w:rsidRPr="005246B5">
        <w:rPr>
          <w:rFonts w:asciiTheme="minorHAnsi" w:hAnsiTheme="minorHAnsi"/>
          <w:sz w:val="22"/>
          <w:szCs w:val="22"/>
        </w:rPr>
        <w:t>their peers</w:t>
      </w:r>
      <w:r w:rsidRPr="005246B5">
        <w:rPr>
          <w:rFonts w:asciiTheme="minorHAnsi" w:hAnsiTheme="minorHAnsi"/>
          <w:i/>
          <w:sz w:val="22"/>
          <w:szCs w:val="22"/>
        </w:rPr>
        <w:t>.</w:t>
      </w:r>
    </w:p>
    <w:p w:rsidR="004A4FF9" w:rsidRPr="00A14BFA" w:rsidRDefault="004A4FF9" w:rsidP="00A14BFA">
      <w:pPr>
        <w:tabs>
          <w:tab w:val="left" w:pos="0"/>
          <w:tab w:val="left" w:pos="540"/>
        </w:tabs>
        <w:rPr>
          <w:rFonts w:asciiTheme="minorHAnsi" w:hAnsiTheme="minorHAnsi" w:cs="Courier New"/>
          <w:sz w:val="22"/>
          <w:szCs w:val="22"/>
        </w:rPr>
      </w:pPr>
    </w:p>
    <w:p w:rsidR="004A4FF9" w:rsidRDefault="00916EE0" w:rsidP="003023A0">
      <w:pPr>
        <w:rPr>
          <w:rFonts w:asciiTheme="minorHAnsi" w:hAnsiTheme="minorHAnsi"/>
          <w:b/>
          <w:sz w:val="22"/>
          <w:szCs w:val="22"/>
        </w:rPr>
      </w:pPr>
      <w:r>
        <w:rPr>
          <w:rFonts w:asciiTheme="minorHAnsi" w:hAnsiTheme="minorHAnsi"/>
          <w:b/>
          <w:sz w:val="22"/>
          <w:szCs w:val="22"/>
        </w:rPr>
        <w:t xml:space="preserve">Table 1: </w:t>
      </w:r>
      <w:r w:rsidR="004A4FF9">
        <w:rPr>
          <w:rFonts w:asciiTheme="minorHAnsi" w:hAnsiTheme="minorHAnsi"/>
          <w:b/>
          <w:sz w:val="22"/>
          <w:szCs w:val="22"/>
        </w:rPr>
        <w:t>Stat</w:t>
      </w:r>
      <w:r w:rsidR="00F67F70">
        <w:rPr>
          <w:rFonts w:asciiTheme="minorHAnsi" w:hAnsiTheme="minorHAnsi"/>
          <w:b/>
          <w:sz w:val="22"/>
          <w:szCs w:val="22"/>
        </w:rPr>
        <w:t>ewide student assignment data of</w:t>
      </w:r>
      <w:r w:rsidR="004A4FF9">
        <w:rPr>
          <w:rFonts w:asciiTheme="minorHAnsi" w:hAnsiTheme="minorHAnsi"/>
          <w:b/>
          <w:sz w:val="22"/>
          <w:szCs w:val="22"/>
        </w:rPr>
        <w:t xml:space="preserve"> subgroups: 2016</w:t>
      </w:r>
      <w:r w:rsidR="00C044DE">
        <w:rPr>
          <w:rFonts w:ascii="Helvetica" w:eastAsia="Helvetica" w:hAnsi="Helvetica" w:cs="Helvetica"/>
          <w:b/>
          <w:sz w:val="22"/>
          <w:szCs w:val="22"/>
        </w:rPr>
        <w:t>–</w:t>
      </w:r>
      <w:r w:rsidR="004A4FF9">
        <w:rPr>
          <w:rFonts w:asciiTheme="minorHAnsi" w:hAnsiTheme="minorHAnsi"/>
          <w:b/>
          <w:sz w:val="22"/>
          <w:szCs w:val="22"/>
        </w:rPr>
        <w:t xml:space="preserve">17 </w:t>
      </w:r>
    </w:p>
    <w:tbl>
      <w:tblPr>
        <w:tblStyle w:val="TableGrid"/>
        <w:tblW w:w="0" w:type="auto"/>
        <w:tblLayout w:type="fixed"/>
        <w:tblLook w:val="04A0" w:firstRow="1" w:lastRow="0" w:firstColumn="1" w:lastColumn="0" w:noHBand="0" w:noVBand="1"/>
        <w:tblDescription w:val="Statewide student assignment data of subgroups: 2016-17"/>
      </w:tblPr>
      <w:tblGrid>
        <w:gridCol w:w="2448"/>
        <w:gridCol w:w="1710"/>
        <w:gridCol w:w="720"/>
        <w:gridCol w:w="1620"/>
        <w:gridCol w:w="720"/>
        <w:gridCol w:w="1440"/>
        <w:gridCol w:w="810"/>
      </w:tblGrid>
      <w:tr w:rsidR="004A4FF9" w:rsidTr="00CE049F">
        <w:trPr>
          <w:tblHeader/>
        </w:trPr>
        <w:tc>
          <w:tcPr>
            <w:tcW w:w="2448" w:type="dxa"/>
          </w:tcPr>
          <w:p w:rsidR="004A4FF9" w:rsidRPr="00C67635" w:rsidRDefault="004A4FF9" w:rsidP="00212AD9">
            <w:pPr>
              <w:rPr>
                <w:rFonts w:asciiTheme="minorHAnsi" w:hAnsiTheme="minorHAnsi"/>
                <w:sz w:val="22"/>
                <w:szCs w:val="22"/>
              </w:rPr>
            </w:pPr>
          </w:p>
        </w:tc>
        <w:tc>
          <w:tcPr>
            <w:tcW w:w="1710" w:type="dxa"/>
            <w:shd w:val="clear" w:color="auto" w:fill="4F81BD" w:themeFill="accent1"/>
          </w:tcPr>
          <w:p w:rsidR="004A4FF9" w:rsidRPr="00C67635" w:rsidRDefault="004A4FF9" w:rsidP="00212AD9">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teachers with &lt;3 years of experience</w:t>
            </w:r>
          </w:p>
        </w:tc>
        <w:tc>
          <w:tcPr>
            <w:tcW w:w="720" w:type="dxa"/>
            <w:shd w:val="clear" w:color="auto" w:fill="4F81BD" w:themeFill="accent1"/>
          </w:tcPr>
          <w:p w:rsidR="00485E81" w:rsidRDefault="00485E81" w:rsidP="00485E81">
            <w:pPr>
              <w:rPr>
                <w:rFonts w:asciiTheme="minorHAnsi" w:hAnsiTheme="minorHAnsi"/>
                <w:b/>
                <w:color w:val="FFFFFF" w:themeColor="background1"/>
                <w:sz w:val="22"/>
                <w:szCs w:val="22"/>
              </w:rPr>
            </w:pPr>
          </w:p>
          <w:p w:rsidR="00485E81" w:rsidRDefault="00485E81" w:rsidP="00485E81">
            <w:pPr>
              <w:rPr>
                <w:rFonts w:asciiTheme="minorHAnsi" w:hAnsiTheme="minorHAnsi"/>
                <w:b/>
                <w:color w:val="FFFFFF" w:themeColor="background1"/>
                <w:sz w:val="22"/>
                <w:szCs w:val="22"/>
              </w:rPr>
            </w:pPr>
          </w:p>
          <w:p w:rsidR="004A4FF9" w:rsidRPr="00C67635" w:rsidRDefault="004A4FF9" w:rsidP="00485E81">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620" w:type="dxa"/>
            <w:shd w:val="clear" w:color="auto" w:fill="4F81BD" w:themeFill="accent1"/>
          </w:tcPr>
          <w:p w:rsidR="004A4FF9" w:rsidRPr="00C67635" w:rsidRDefault="004A4FF9" w:rsidP="00485E81">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xml:space="preserve">% of experiences with </w:t>
            </w:r>
            <w:r w:rsidR="00485E81">
              <w:rPr>
                <w:rFonts w:asciiTheme="minorHAnsi" w:hAnsiTheme="minorHAnsi"/>
                <w:b/>
                <w:color w:val="FFFFFF" w:themeColor="background1"/>
                <w:sz w:val="22"/>
                <w:szCs w:val="22"/>
              </w:rPr>
              <w:t>out</w:t>
            </w:r>
            <w:r w:rsidR="00441AF8">
              <w:rPr>
                <w:rFonts w:ascii="Helvetica" w:eastAsia="Helvetica" w:hAnsi="Helvetica" w:cs="Helvetica"/>
                <w:b/>
                <w:color w:val="FFFFFF" w:themeColor="background1"/>
                <w:sz w:val="22"/>
                <w:szCs w:val="22"/>
              </w:rPr>
              <w:t>-</w:t>
            </w:r>
            <w:r w:rsidR="00485E81">
              <w:rPr>
                <w:rFonts w:asciiTheme="minorHAnsi" w:hAnsiTheme="minorHAnsi"/>
                <w:b/>
                <w:color w:val="FFFFFF" w:themeColor="background1"/>
                <w:sz w:val="22"/>
                <w:szCs w:val="22"/>
              </w:rPr>
              <w:t>of</w:t>
            </w:r>
            <w:r w:rsidR="00441AF8">
              <w:rPr>
                <w:rFonts w:ascii="Helvetica" w:eastAsia="Helvetica" w:hAnsi="Helvetica" w:cs="Helvetica"/>
                <w:b/>
                <w:color w:val="FFFFFF" w:themeColor="background1"/>
                <w:sz w:val="22"/>
                <w:szCs w:val="22"/>
              </w:rPr>
              <w:t>-</w:t>
            </w:r>
            <w:r w:rsidR="00485E81">
              <w:rPr>
                <w:rFonts w:asciiTheme="minorHAnsi" w:hAnsiTheme="minorHAnsi"/>
                <w:b/>
                <w:color w:val="FFFFFF" w:themeColor="background1"/>
                <w:sz w:val="22"/>
                <w:szCs w:val="22"/>
              </w:rPr>
              <w:t>field teachers</w:t>
            </w:r>
          </w:p>
        </w:tc>
        <w:tc>
          <w:tcPr>
            <w:tcW w:w="720" w:type="dxa"/>
            <w:shd w:val="clear" w:color="auto" w:fill="4F81BD" w:themeFill="accent1"/>
          </w:tcPr>
          <w:p w:rsidR="00485E81" w:rsidRDefault="00485E81" w:rsidP="00485E81">
            <w:pPr>
              <w:jc w:val="center"/>
              <w:rPr>
                <w:rFonts w:asciiTheme="minorHAnsi" w:hAnsiTheme="minorHAnsi"/>
                <w:b/>
                <w:color w:val="FFFFFF" w:themeColor="background1"/>
                <w:sz w:val="22"/>
                <w:szCs w:val="22"/>
              </w:rPr>
            </w:pPr>
          </w:p>
          <w:p w:rsidR="00485E81" w:rsidRDefault="00485E81" w:rsidP="00485E81">
            <w:pPr>
              <w:jc w:val="center"/>
              <w:rPr>
                <w:rFonts w:asciiTheme="minorHAnsi" w:hAnsiTheme="minorHAnsi"/>
                <w:b/>
                <w:color w:val="FFFFFF" w:themeColor="background1"/>
                <w:sz w:val="22"/>
                <w:szCs w:val="22"/>
              </w:rPr>
            </w:pPr>
          </w:p>
          <w:p w:rsidR="004A4FF9" w:rsidRPr="00C67635" w:rsidRDefault="004A4FF9" w:rsidP="00485E81">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440" w:type="dxa"/>
            <w:shd w:val="clear" w:color="auto" w:fill="4F81BD" w:themeFill="accent1"/>
          </w:tcPr>
          <w:p w:rsidR="004A4FF9" w:rsidRPr="00C67635" w:rsidRDefault="004A4FF9" w:rsidP="00485E81">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lower</w:t>
            </w:r>
            <w:r w:rsidR="00441AF8">
              <w:rPr>
                <w:rFonts w:ascii="Helvetica" w:eastAsia="Helvetica" w:hAnsi="Helvetica" w:cs="Helvetica"/>
                <w:b/>
                <w:color w:val="FFFFFF" w:themeColor="background1"/>
                <w:sz w:val="22"/>
                <w:szCs w:val="22"/>
              </w:rPr>
              <w:t>-</w:t>
            </w:r>
            <w:r w:rsidRPr="00C67635">
              <w:rPr>
                <w:rFonts w:asciiTheme="minorHAnsi" w:hAnsiTheme="minorHAnsi"/>
                <w:b/>
                <w:color w:val="FFFFFF" w:themeColor="background1"/>
                <w:sz w:val="22"/>
                <w:szCs w:val="22"/>
              </w:rPr>
              <w:t>rated teachers</w:t>
            </w:r>
          </w:p>
        </w:tc>
        <w:tc>
          <w:tcPr>
            <w:tcW w:w="810" w:type="dxa"/>
            <w:shd w:val="clear" w:color="auto" w:fill="4F81BD" w:themeFill="accent1"/>
          </w:tcPr>
          <w:p w:rsidR="00485E81" w:rsidRDefault="00485E81" w:rsidP="00485E81">
            <w:pPr>
              <w:jc w:val="center"/>
              <w:rPr>
                <w:rFonts w:asciiTheme="minorHAnsi" w:hAnsiTheme="minorHAnsi"/>
                <w:b/>
                <w:color w:val="FFFFFF" w:themeColor="background1"/>
                <w:sz w:val="22"/>
                <w:szCs w:val="22"/>
              </w:rPr>
            </w:pPr>
          </w:p>
          <w:p w:rsidR="00485E81" w:rsidRDefault="00485E81" w:rsidP="00485E81">
            <w:pPr>
              <w:jc w:val="center"/>
              <w:rPr>
                <w:rFonts w:asciiTheme="minorHAnsi" w:hAnsiTheme="minorHAnsi"/>
                <w:b/>
                <w:color w:val="FFFFFF" w:themeColor="background1"/>
                <w:sz w:val="22"/>
                <w:szCs w:val="22"/>
              </w:rPr>
            </w:pPr>
          </w:p>
          <w:p w:rsidR="004A4FF9" w:rsidRPr="00C67635" w:rsidRDefault="004A4FF9" w:rsidP="00485E81">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r>
      <w:tr w:rsidR="004A4FF9" w:rsidTr="00CE049F">
        <w:trPr>
          <w:tblHeader/>
        </w:trPr>
        <w:tc>
          <w:tcPr>
            <w:tcW w:w="2448" w:type="dxa"/>
          </w:tcPr>
          <w:p w:rsidR="004A4FF9" w:rsidRPr="00C67635" w:rsidRDefault="004A4FF9" w:rsidP="00212AD9">
            <w:pPr>
              <w:rPr>
                <w:rFonts w:asciiTheme="minorHAnsi" w:hAnsiTheme="minorHAnsi"/>
                <w:sz w:val="22"/>
                <w:szCs w:val="22"/>
              </w:rPr>
            </w:pPr>
            <w:r w:rsidRPr="00C67635">
              <w:rPr>
                <w:rFonts w:asciiTheme="minorHAnsi" w:hAnsiTheme="minorHAnsi"/>
                <w:sz w:val="22"/>
                <w:szCs w:val="22"/>
              </w:rPr>
              <w:t>Non</w:t>
            </w:r>
            <w:r w:rsidR="00441AF8">
              <w:rPr>
                <w:rFonts w:ascii="Helvetica" w:eastAsia="Helvetica" w:hAnsi="Helvetica" w:cs="Helvetica"/>
                <w:sz w:val="22"/>
                <w:szCs w:val="22"/>
              </w:rPr>
              <w:t>-</w:t>
            </w:r>
            <w:r w:rsidRPr="00C67635">
              <w:rPr>
                <w:rFonts w:asciiTheme="minorHAnsi" w:hAnsiTheme="minorHAnsi"/>
                <w:sz w:val="22"/>
                <w:szCs w:val="22"/>
              </w:rPr>
              <w:t>eco. dis</w:t>
            </w:r>
            <w:r w:rsidR="00351E0A">
              <w:rPr>
                <w:rFonts w:asciiTheme="minorHAnsi" w:hAnsiTheme="minorHAnsi"/>
                <w:sz w:val="22"/>
                <w:szCs w:val="22"/>
              </w:rPr>
              <w:t>advantaged</w:t>
            </w:r>
          </w:p>
        </w:tc>
        <w:tc>
          <w:tcPr>
            <w:tcW w:w="1710" w:type="dxa"/>
          </w:tcPr>
          <w:p w:rsidR="004A4FF9" w:rsidRPr="00C67635" w:rsidRDefault="002821A0" w:rsidP="00212AD9">
            <w:pPr>
              <w:jc w:val="center"/>
              <w:rPr>
                <w:rFonts w:asciiTheme="minorHAnsi" w:hAnsiTheme="minorHAnsi"/>
                <w:sz w:val="22"/>
                <w:szCs w:val="22"/>
              </w:rPr>
            </w:pPr>
            <w:r>
              <w:rPr>
                <w:rFonts w:asciiTheme="minorHAnsi" w:hAnsiTheme="minorHAnsi"/>
                <w:sz w:val="22"/>
                <w:szCs w:val="22"/>
              </w:rPr>
              <w:t>14.2%</w:t>
            </w:r>
          </w:p>
        </w:tc>
        <w:tc>
          <w:tcPr>
            <w:tcW w:w="720" w:type="dxa"/>
            <w:vMerge w:val="restart"/>
            <w:vAlign w:val="center"/>
          </w:tcPr>
          <w:p w:rsidR="004A4FF9" w:rsidRPr="00C67635" w:rsidRDefault="002821A0" w:rsidP="00212AD9">
            <w:pPr>
              <w:jc w:val="center"/>
              <w:rPr>
                <w:rFonts w:asciiTheme="minorHAnsi" w:hAnsiTheme="minorHAnsi"/>
                <w:b/>
                <w:sz w:val="22"/>
                <w:szCs w:val="22"/>
              </w:rPr>
            </w:pPr>
            <w:r>
              <w:rPr>
                <w:rFonts w:asciiTheme="minorHAnsi" w:hAnsiTheme="minorHAnsi"/>
                <w:b/>
                <w:sz w:val="22"/>
                <w:szCs w:val="22"/>
              </w:rPr>
              <w:t>1.29</w:t>
            </w:r>
          </w:p>
        </w:tc>
        <w:tc>
          <w:tcPr>
            <w:tcW w:w="1620" w:type="dxa"/>
          </w:tcPr>
          <w:p w:rsidR="004A4FF9" w:rsidRPr="00C67635"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val="restart"/>
            <w:vAlign w:val="center"/>
          </w:tcPr>
          <w:p w:rsidR="004A4FF9" w:rsidRPr="00351E0A" w:rsidRDefault="00351E0A" w:rsidP="00212AD9">
            <w:pPr>
              <w:jc w:val="center"/>
              <w:rPr>
                <w:rFonts w:asciiTheme="minorHAnsi" w:hAnsiTheme="minorHAnsi"/>
                <w:sz w:val="22"/>
                <w:szCs w:val="22"/>
              </w:rPr>
            </w:pPr>
            <w:r w:rsidRPr="00351E0A">
              <w:rPr>
                <w:rFonts w:asciiTheme="minorHAnsi" w:hAnsiTheme="minorHAnsi"/>
                <w:sz w:val="22"/>
                <w:szCs w:val="22"/>
              </w:rPr>
              <w:t>*</w:t>
            </w:r>
          </w:p>
        </w:tc>
        <w:tc>
          <w:tcPr>
            <w:tcW w:w="1440" w:type="dxa"/>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3.3%</w:t>
            </w:r>
          </w:p>
        </w:tc>
        <w:tc>
          <w:tcPr>
            <w:tcW w:w="810" w:type="dxa"/>
            <w:vMerge w:val="restart"/>
            <w:vAlign w:val="center"/>
          </w:tcPr>
          <w:p w:rsidR="004A4FF9" w:rsidRPr="00C67635" w:rsidRDefault="00652D15" w:rsidP="00212AD9">
            <w:pPr>
              <w:jc w:val="center"/>
              <w:rPr>
                <w:rFonts w:asciiTheme="minorHAnsi" w:hAnsiTheme="minorHAnsi"/>
                <w:b/>
                <w:sz w:val="22"/>
                <w:szCs w:val="22"/>
              </w:rPr>
            </w:pPr>
            <w:r>
              <w:rPr>
                <w:rFonts w:asciiTheme="minorHAnsi" w:hAnsiTheme="minorHAnsi"/>
                <w:b/>
                <w:sz w:val="22"/>
                <w:szCs w:val="22"/>
              </w:rPr>
              <w:t>1.75</w:t>
            </w:r>
          </w:p>
        </w:tc>
      </w:tr>
      <w:tr w:rsidR="004A4FF9" w:rsidTr="004160E1">
        <w:trPr>
          <w:tblHeader/>
        </w:trPr>
        <w:tc>
          <w:tcPr>
            <w:tcW w:w="2448" w:type="dxa"/>
            <w:tcBorders>
              <w:bottom w:val="single" w:sz="12" w:space="0" w:color="auto"/>
            </w:tcBorders>
            <w:shd w:val="clear" w:color="auto" w:fill="DBE5F1" w:themeFill="accent1" w:themeFillTint="33"/>
          </w:tcPr>
          <w:p w:rsidR="004A4FF9" w:rsidRPr="00C67635" w:rsidRDefault="004A4FF9" w:rsidP="00212AD9">
            <w:pPr>
              <w:rPr>
                <w:rFonts w:asciiTheme="minorHAnsi" w:hAnsiTheme="minorHAnsi"/>
                <w:sz w:val="22"/>
                <w:szCs w:val="22"/>
              </w:rPr>
            </w:pPr>
            <w:r w:rsidRPr="00C67635">
              <w:rPr>
                <w:rFonts w:asciiTheme="minorHAnsi" w:hAnsiTheme="minorHAnsi"/>
                <w:sz w:val="22"/>
                <w:szCs w:val="22"/>
              </w:rPr>
              <w:t xml:space="preserve">Eco. </w:t>
            </w:r>
            <w:r w:rsidR="00EA212B">
              <w:rPr>
                <w:rFonts w:asciiTheme="minorHAnsi" w:hAnsiTheme="minorHAnsi"/>
                <w:sz w:val="22"/>
                <w:szCs w:val="22"/>
              </w:rPr>
              <w:t>d</w:t>
            </w:r>
            <w:r w:rsidRPr="00C67635">
              <w:rPr>
                <w:rFonts w:asciiTheme="minorHAnsi" w:hAnsiTheme="minorHAnsi"/>
                <w:sz w:val="22"/>
                <w:szCs w:val="22"/>
              </w:rPr>
              <w:t>is</w:t>
            </w:r>
            <w:r w:rsidR="00351E0A">
              <w:rPr>
                <w:rFonts w:asciiTheme="minorHAnsi" w:hAnsiTheme="minorHAnsi"/>
                <w:sz w:val="22"/>
                <w:szCs w:val="22"/>
              </w:rPr>
              <w:t>advantaged</w:t>
            </w:r>
          </w:p>
        </w:tc>
        <w:tc>
          <w:tcPr>
            <w:tcW w:w="1710" w:type="dxa"/>
            <w:tcBorders>
              <w:bottom w:val="single" w:sz="12" w:space="0" w:color="auto"/>
            </w:tcBorders>
            <w:shd w:val="clear" w:color="auto" w:fill="DBE5F1" w:themeFill="accent1" w:themeFillTint="33"/>
          </w:tcPr>
          <w:p w:rsidR="004A4FF9" w:rsidRPr="00C67635" w:rsidRDefault="002821A0" w:rsidP="002821A0">
            <w:pPr>
              <w:jc w:val="center"/>
              <w:rPr>
                <w:rFonts w:asciiTheme="minorHAnsi" w:hAnsiTheme="minorHAnsi"/>
                <w:sz w:val="22"/>
                <w:szCs w:val="22"/>
              </w:rPr>
            </w:pPr>
            <w:r>
              <w:rPr>
                <w:rFonts w:asciiTheme="minorHAnsi" w:hAnsiTheme="minorHAnsi"/>
                <w:sz w:val="22"/>
                <w:szCs w:val="22"/>
              </w:rPr>
              <w:t>18.4%</w:t>
            </w:r>
          </w:p>
        </w:tc>
        <w:tc>
          <w:tcPr>
            <w:tcW w:w="720" w:type="dxa"/>
            <w:vMerge/>
            <w:tcBorders>
              <w:bottom w:val="single" w:sz="12" w:space="0" w:color="auto"/>
            </w:tcBorders>
            <w:vAlign w:val="center"/>
          </w:tcPr>
          <w:p w:rsidR="004A4FF9" w:rsidRPr="00C67635" w:rsidRDefault="004A4FF9" w:rsidP="00212AD9">
            <w:pPr>
              <w:jc w:val="center"/>
              <w:rPr>
                <w:rFonts w:asciiTheme="minorHAnsi" w:hAnsiTheme="minorHAnsi"/>
                <w:b/>
                <w:sz w:val="22"/>
                <w:szCs w:val="22"/>
              </w:rPr>
            </w:pPr>
          </w:p>
        </w:tc>
        <w:tc>
          <w:tcPr>
            <w:tcW w:w="1620" w:type="dxa"/>
            <w:tcBorders>
              <w:bottom w:val="single" w:sz="12" w:space="0" w:color="auto"/>
            </w:tcBorders>
            <w:shd w:val="clear" w:color="auto" w:fill="DBE5F1" w:themeFill="accent1" w:themeFillTint="33"/>
          </w:tcPr>
          <w:p w:rsidR="004A4FF9" w:rsidRPr="00C67635"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tcBorders>
              <w:bottom w:val="single" w:sz="12" w:space="0" w:color="auto"/>
            </w:tcBorders>
            <w:vAlign w:val="center"/>
          </w:tcPr>
          <w:p w:rsidR="004A4FF9" w:rsidRPr="00351E0A" w:rsidRDefault="004A4FF9" w:rsidP="00212AD9">
            <w:pPr>
              <w:jc w:val="center"/>
              <w:rPr>
                <w:rFonts w:asciiTheme="minorHAnsi" w:hAnsiTheme="minorHAnsi"/>
                <w:sz w:val="22"/>
                <w:szCs w:val="22"/>
              </w:rPr>
            </w:pPr>
          </w:p>
        </w:tc>
        <w:tc>
          <w:tcPr>
            <w:tcW w:w="1440" w:type="dxa"/>
            <w:tcBorders>
              <w:bottom w:val="single" w:sz="12" w:space="0" w:color="auto"/>
            </w:tcBorders>
            <w:shd w:val="clear" w:color="auto" w:fill="DBE5F1" w:themeFill="accent1" w:themeFillTint="33"/>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5.8%</w:t>
            </w:r>
          </w:p>
        </w:tc>
        <w:tc>
          <w:tcPr>
            <w:tcW w:w="810" w:type="dxa"/>
            <w:vMerge/>
            <w:tcBorders>
              <w:bottom w:val="single" w:sz="12" w:space="0" w:color="auto"/>
            </w:tcBorders>
            <w:vAlign w:val="center"/>
          </w:tcPr>
          <w:p w:rsidR="004A4FF9" w:rsidRPr="00C67635" w:rsidRDefault="004A4FF9" w:rsidP="00212AD9">
            <w:pPr>
              <w:jc w:val="center"/>
              <w:rPr>
                <w:rFonts w:asciiTheme="minorHAnsi" w:hAnsiTheme="minorHAnsi"/>
                <w:b/>
                <w:sz w:val="22"/>
                <w:szCs w:val="22"/>
              </w:rPr>
            </w:pPr>
          </w:p>
        </w:tc>
      </w:tr>
      <w:tr w:rsidR="004A4FF9" w:rsidRPr="00A14BFA" w:rsidTr="004160E1">
        <w:trPr>
          <w:tblHeader/>
        </w:trPr>
        <w:tc>
          <w:tcPr>
            <w:tcW w:w="2448" w:type="dxa"/>
            <w:tcBorders>
              <w:top w:val="single" w:sz="12" w:space="0" w:color="auto"/>
            </w:tcBorders>
          </w:tcPr>
          <w:p w:rsidR="004A4FF9" w:rsidRPr="00A14BFA" w:rsidRDefault="004A4FF9" w:rsidP="00212AD9">
            <w:pPr>
              <w:rPr>
                <w:rFonts w:asciiTheme="minorHAnsi" w:hAnsiTheme="minorHAnsi"/>
                <w:sz w:val="22"/>
                <w:szCs w:val="22"/>
              </w:rPr>
            </w:pPr>
            <w:r w:rsidRPr="00A14BFA">
              <w:rPr>
                <w:rFonts w:asciiTheme="minorHAnsi" w:hAnsiTheme="minorHAnsi"/>
                <w:sz w:val="22"/>
                <w:szCs w:val="22"/>
              </w:rPr>
              <w:t>White students</w:t>
            </w:r>
          </w:p>
        </w:tc>
        <w:tc>
          <w:tcPr>
            <w:tcW w:w="1710" w:type="dxa"/>
            <w:tcBorders>
              <w:top w:val="single" w:sz="12" w:space="0" w:color="auto"/>
            </w:tcBorders>
          </w:tcPr>
          <w:p w:rsidR="004A4FF9" w:rsidRPr="00A14BFA" w:rsidRDefault="002821A0" w:rsidP="002821A0">
            <w:pPr>
              <w:jc w:val="center"/>
              <w:rPr>
                <w:rFonts w:asciiTheme="minorHAnsi" w:hAnsiTheme="minorHAnsi"/>
                <w:sz w:val="22"/>
                <w:szCs w:val="22"/>
              </w:rPr>
            </w:pPr>
            <w:r>
              <w:rPr>
                <w:rFonts w:asciiTheme="minorHAnsi" w:hAnsiTheme="minorHAnsi"/>
                <w:sz w:val="22"/>
                <w:szCs w:val="22"/>
              </w:rPr>
              <w:t>13.3%</w:t>
            </w:r>
          </w:p>
        </w:tc>
        <w:tc>
          <w:tcPr>
            <w:tcW w:w="72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1.43</w:t>
            </w:r>
          </w:p>
        </w:tc>
        <w:tc>
          <w:tcPr>
            <w:tcW w:w="1620" w:type="dxa"/>
            <w:tcBorders>
              <w:top w:val="single" w:sz="12" w:space="0" w:color="auto"/>
            </w:tcBorders>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val="restart"/>
            <w:tcBorders>
              <w:top w:val="single" w:sz="12" w:space="0" w:color="auto"/>
            </w:tcBorders>
            <w:vAlign w:val="center"/>
          </w:tcPr>
          <w:p w:rsidR="004A4FF9" w:rsidRPr="00351E0A" w:rsidRDefault="00351E0A" w:rsidP="00212AD9">
            <w:pPr>
              <w:jc w:val="center"/>
              <w:rPr>
                <w:rFonts w:asciiTheme="minorHAnsi" w:hAnsiTheme="minorHAnsi"/>
                <w:sz w:val="22"/>
                <w:szCs w:val="22"/>
              </w:rPr>
            </w:pPr>
            <w:r w:rsidRPr="00351E0A">
              <w:rPr>
                <w:rFonts w:asciiTheme="minorHAnsi" w:hAnsiTheme="minorHAnsi"/>
                <w:sz w:val="22"/>
                <w:szCs w:val="22"/>
              </w:rPr>
              <w:t>*</w:t>
            </w:r>
          </w:p>
        </w:tc>
        <w:tc>
          <w:tcPr>
            <w:tcW w:w="1440" w:type="dxa"/>
            <w:tcBorders>
              <w:top w:val="single" w:sz="12" w:space="0" w:color="auto"/>
            </w:tcBorders>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3.1%</w:t>
            </w:r>
          </w:p>
        </w:tc>
        <w:tc>
          <w:tcPr>
            <w:tcW w:w="81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1.79</w:t>
            </w:r>
          </w:p>
        </w:tc>
      </w:tr>
      <w:tr w:rsidR="004A4FF9" w:rsidRPr="00A14BFA" w:rsidTr="004160E1">
        <w:trPr>
          <w:tblHeader/>
        </w:trPr>
        <w:tc>
          <w:tcPr>
            <w:tcW w:w="2448" w:type="dxa"/>
            <w:tcBorders>
              <w:bottom w:val="single" w:sz="12" w:space="0" w:color="auto"/>
            </w:tcBorders>
            <w:shd w:val="clear" w:color="auto" w:fill="DBE5F1" w:themeFill="accent1" w:themeFillTint="33"/>
          </w:tcPr>
          <w:p w:rsidR="004A4FF9" w:rsidRPr="00A14BFA" w:rsidRDefault="004A4FF9" w:rsidP="00A22931">
            <w:pPr>
              <w:rPr>
                <w:rFonts w:asciiTheme="minorHAnsi" w:hAnsiTheme="minorHAnsi"/>
                <w:sz w:val="22"/>
                <w:szCs w:val="22"/>
              </w:rPr>
            </w:pPr>
            <w:r w:rsidRPr="00A14BFA">
              <w:rPr>
                <w:rFonts w:asciiTheme="minorHAnsi" w:hAnsiTheme="minorHAnsi"/>
                <w:sz w:val="22"/>
                <w:szCs w:val="22"/>
              </w:rPr>
              <w:t>Students of color</w:t>
            </w:r>
          </w:p>
        </w:tc>
        <w:tc>
          <w:tcPr>
            <w:tcW w:w="1710" w:type="dxa"/>
            <w:tcBorders>
              <w:bottom w:val="single" w:sz="12" w:space="0" w:color="auto"/>
            </w:tcBorders>
            <w:shd w:val="clear" w:color="auto" w:fill="DBE5F1" w:themeFill="accent1" w:themeFillTint="33"/>
          </w:tcPr>
          <w:p w:rsidR="004A4FF9" w:rsidRPr="00A14BFA" w:rsidRDefault="002821A0" w:rsidP="00212AD9">
            <w:pPr>
              <w:jc w:val="center"/>
              <w:rPr>
                <w:rFonts w:asciiTheme="minorHAnsi" w:hAnsiTheme="minorHAnsi"/>
                <w:sz w:val="22"/>
                <w:szCs w:val="22"/>
              </w:rPr>
            </w:pPr>
            <w:r>
              <w:rPr>
                <w:rFonts w:asciiTheme="minorHAnsi" w:hAnsiTheme="minorHAnsi"/>
                <w:sz w:val="22"/>
                <w:szCs w:val="22"/>
              </w:rPr>
              <w:t>19.0%</w:t>
            </w:r>
          </w:p>
        </w:tc>
        <w:tc>
          <w:tcPr>
            <w:tcW w:w="720" w:type="dxa"/>
            <w:vMerge/>
            <w:tcBorders>
              <w:bottom w:val="single" w:sz="12" w:space="0" w:color="auto"/>
            </w:tcBorders>
            <w:vAlign w:val="center"/>
          </w:tcPr>
          <w:p w:rsidR="004A4FF9" w:rsidRPr="00A14BFA" w:rsidRDefault="004A4FF9" w:rsidP="00212AD9">
            <w:pPr>
              <w:jc w:val="center"/>
              <w:rPr>
                <w:rFonts w:asciiTheme="minorHAnsi" w:hAnsiTheme="minorHAnsi"/>
                <w:b/>
                <w:sz w:val="22"/>
                <w:szCs w:val="22"/>
              </w:rPr>
            </w:pPr>
          </w:p>
        </w:tc>
        <w:tc>
          <w:tcPr>
            <w:tcW w:w="1620" w:type="dxa"/>
            <w:tcBorders>
              <w:bottom w:val="single" w:sz="12" w:space="0" w:color="auto"/>
            </w:tcBorders>
            <w:shd w:val="clear" w:color="auto" w:fill="DBE5F1" w:themeFill="accent1" w:themeFillTint="33"/>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tcBorders>
              <w:bottom w:val="single" w:sz="12" w:space="0" w:color="auto"/>
            </w:tcBorders>
            <w:vAlign w:val="center"/>
          </w:tcPr>
          <w:p w:rsidR="004A4FF9" w:rsidRPr="00351E0A" w:rsidRDefault="004A4FF9" w:rsidP="00212AD9">
            <w:pPr>
              <w:jc w:val="center"/>
              <w:rPr>
                <w:rFonts w:asciiTheme="minorHAnsi" w:hAnsiTheme="minorHAnsi"/>
                <w:sz w:val="22"/>
                <w:szCs w:val="22"/>
              </w:rPr>
            </w:pPr>
          </w:p>
        </w:tc>
        <w:tc>
          <w:tcPr>
            <w:tcW w:w="1440" w:type="dxa"/>
            <w:tcBorders>
              <w:bottom w:val="single" w:sz="12" w:space="0" w:color="auto"/>
            </w:tcBorders>
            <w:shd w:val="clear" w:color="auto" w:fill="DBE5F1" w:themeFill="accent1" w:themeFillTint="33"/>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5.5%</w:t>
            </w:r>
          </w:p>
        </w:tc>
        <w:tc>
          <w:tcPr>
            <w:tcW w:w="810" w:type="dxa"/>
            <w:vMerge/>
            <w:tcBorders>
              <w:bottom w:val="single" w:sz="12" w:space="0" w:color="auto"/>
            </w:tcBorders>
            <w:vAlign w:val="center"/>
          </w:tcPr>
          <w:p w:rsidR="004A4FF9" w:rsidRPr="00A14BFA" w:rsidRDefault="004A4FF9" w:rsidP="00212AD9">
            <w:pPr>
              <w:jc w:val="center"/>
              <w:rPr>
                <w:rFonts w:asciiTheme="minorHAnsi" w:hAnsiTheme="minorHAnsi"/>
                <w:b/>
                <w:sz w:val="22"/>
                <w:szCs w:val="22"/>
              </w:rPr>
            </w:pPr>
          </w:p>
        </w:tc>
      </w:tr>
      <w:tr w:rsidR="004A4FF9" w:rsidRPr="00A14BFA" w:rsidTr="004160E1">
        <w:trPr>
          <w:tblHeader/>
        </w:trPr>
        <w:tc>
          <w:tcPr>
            <w:tcW w:w="2448" w:type="dxa"/>
            <w:tcBorders>
              <w:top w:val="single" w:sz="12" w:space="0" w:color="auto"/>
            </w:tcBorders>
          </w:tcPr>
          <w:p w:rsidR="004A4FF9" w:rsidRPr="00A14BFA" w:rsidRDefault="004A4FF9" w:rsidP="00212AD9">
            <w:pPr>
              <w:rPr>
                <w:rFonts w:asciiTheme="minorHAnsi" w:hAnsiTheme="minorHAnsi"/>
                <w:sz w:val="22"/>
                <w:szCs w:val="22"/>
              </w:rPr>
            </w:pPr>
            <w:r w:rsidRPr="00A14BFA">
              <w:rPr>
                <w:rFonts w:asciiTheme="minorHAnsi" w:hAnsiTheme="minorHAnsi"/>
                <w:sz w:val="22"/>
                <w:szCs w:val="22"/>
              </w:rPr>
              <w:t>Non</w:t>
            </w:r>
            <w:r w:rsidR="00441AF8">
              <w:rPr>
                <w:rFonts w:ascii="Helvetica" w:eastAsia="Helvetica" w:hAnsi="Helvetica" w:cs="Helvetica"/>
                <w:sz w:val="22"/>
                <w:szCs w:val="22"/>
              </w:rPr>
              <w:t>-</w:t>
            </w:r>
            <w:r w:rsidRPr="00A14BFA">
              <w:rPr>
                <w:rFonts w:asciiTheme="minorHAnsi" w:hAnsiTheme="minorHAnsi"/>
                <w:sz w:val="22"/>
                <w:szCs w:val="22"/>
              </w:rPr>
              <w:t>English learners</w:t>
            </w:r>
          </w:p>
        </w:tc>
        <w:tc>
          <w:tcPr>
            <w:tcW w:w="1710" w:type="dxa"/>
            <w:tcBorders>
              <w:top w:val="single" w:sz="12" w:space="0" w:color="auto"/>
            </w:tcBorders>
          </w:tcPr>
          <w:p w:rsidR="004A4FF9" w:rsidRPr="00A14BFA" w:rsidRDefault="00652D15" w:rsidP="00212AD9">
            <w:pPr>
              <w:jc w:val="center"/>
              <w:rPr>
                <w:rFonts w:asciiTheme="minorHAnsi" w:hAnsiTheme="minorHAnsi"/>
                <w:sz w:val="22"/>
                <w:szCs w:val="22"/>
              </w:rPr>
            </w:pPr>
            <w:r>
              <w:rPr>
                <w:rFonts w:asciiTheme="minorHAnsi" w:hAnsiTheme="minorHAnsi"/>
                <w:sz w:val="22"/>
                <w:szCs w:val="22"/>
              </w:rPr>
              <w:t>14.9%</w:t>
            </w:r>
          </w:p>
        </w:tc>
        <w:tc>
          <w:tcPr>
            <w:tcW w:w="72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1.39</w:t>
            </w:r>
          </w:p>
        </w:tc>
        <w:tc>
          <w:tcPr>
            <w:tcW w:w="1620" w:type="dxa"/>
            <w:tcBorders>
              <w:top w:val="single" w:sz="12" w:space="0" w:color="auto"/>
            </w:tcBorders>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val="restart"/>
            <w:tcBorders>
              <w:top w:val="single" w:sz="12" w:space="0" w:color="auto"/>
            </w:tcBorders>
            <w:vAlign w:val="center"/>
          </w:tcPr>
          <w:p w:rsidR="004A4FF9" w:rsidRPr="00351E0A" w:rsidRDefault="00351E0A" w:rsidP="00212AD9">
            <w:pPr>
              <w:jc w:val="center"/>
              <w:rPr>
                <w:rFonts w:asciiTheme="minorHAnsi" w:hAnsiTheme="minorHAnsi"/>
                <w:sz w:val="22"/>
                <w:szCs w:val="22"/>
              </w:rPr>
            </w:pPr>
            <w:r w:rsidRPr="00351E0A">
              <w:rPr>
                <w:rFonts w:asciiTheme="minorHAnsi" w:hAnsiTheme="minorHAnsi"/>
                <w:sz w:val="22"/>
                <w:szCs w:val="22"/>
              </w:rPr>
              <w:t>*</w:t>
            </w:r>
          </w:p>
        </w:tc>
        <w:tc>
          <w:tcPr>
            <w:tcW w:w="1440" w:type="dxa"/>
            <w:tcBorders>
              <w:top w:val="single" w:sz="12" w:space="0" w:color="auto"/>
            </w:tcBorders>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3.8%</w:t>
            </w:r>
          </w:p>
        </w:tc>
        <w:tc>
          <w:tcPr>
            <w:tcW w:w="81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1.73</w:t>
            </w:r>
          </w:p>
        </w:tc>
      </w:tr>
      <w:tr w:rsidR="004A4FF9" w:rsidRPr="00A14BFA" w:rsidTr="004160E1">
        <w:trPr>
          <w:tblHeader/>
        </w:trPr>
        <w:tc>
          <w:tcPr>
            <w:tcW w:w="2448" w:type="dxa"/>
            <w:tcBorders>
              <w:bottom w:val="single" w:sz="12" w:space="0" w:color="auto"/>
            </w:tcBorders>
            <w:shd w:val="clear" w:color="auto" w:fill="DBE5F1" w:themeFill="accent1" w:themeFillTint="33"/>
          </w:tcPr>
          <w:p w:rsidR="004A4FF9" w:rsidRPr="00A14BFA" w:rsidRDefault="004A4FF9" w:rsidP="00212AD9">
            <w:pPr>
              <w:rPr>
                <w:rFonts w:asciiTheme="minorHAnsi" w:hAnsiTheme="minorHAnsi"/>
                <w:sz w:val="22"/>
                <w:szCs w:val="22"/>
              </w:rPr>
            </w:pPr>
            <w:r w:rsidRPr="00A14BFA">
              <w:rPr>
                <w:rFonts w:asciiTheme="minorHAnsi" w:hAnsiTheme="minorHAnsi"/>
                <w:sz w:val="22"/>
                <w:szCs w:val="22"/>
              </w:rPr>
              <w:t>English learners</w:t>
            </w:r>
          </w:p>
        </w:tc>
        <w:tc>
          <w:tcPr>
            <w:tcW w:w="1710" w:type="dxa"/>
            <w:tcBorders>
              <w:bottom w:val="single" w:sz="12" w:space="0" w:color="auto"/>
            </w:tcBorders>
            <w:shd w:val="clear" w:color="auto" w:fill="DBE5F1" w:themeFill="accent1" w:themeFillTint="33"/>
          </w:tcPr>
          <w:p w:rsidR="004A4FF9" w:rsidRPr="00A14BFA" w:rsidRDefault="00652D15" w:rsidP="00212AD9">
            <w:pPr>
              <w:jc w:val="center"/>
              <w:rPr>
                <w:rFonts w:asciiTheme="minorHAnsi" w:hAnsiTheme="minorHAnsi"/>
                <w:sz w:val="22"/>
                <w:szCs w:val="22"/>
              </w:rPr>
            </w:pPr>
            <w:r>
              <w:rPr>
                <w:rFonts w:asciiTheme="minorHAnsi" w:hAnsiTheme="minorHAnsi"/>
                <w:sz w:val="22"/>
                <w:szCs w:val="22"/>
              </w:rPr>
              <w:t>20.8%</w:t>
            </w:r>
          </w:p>
        </w:tc>
        <w:tc>
          <w:tcPr>
            <w:tcW w:w="720" w:type="dxa"/>
            <w:vMerge/>
            <w:tcBorders>
              <w:bottom w:val="single" w:sz="12" w:space="0" w:color="auto"/>
            </w:tcBorders>
            <w:vAlign w:val="center"/>
          </w:tcPr>
          <w:p w:rsidR="004A4FF9" w:rsidRPr="00A14BFA" w:rsidRDefault="004A4FF9" w:rsidP="00212AD9">
            <w:pPr>
              <w:jc w:val="center"/>
              <w:rPr>
                <w:rFonts w:asciiTheme="minorHAnsi" w:hAnsiTheme="minorHAnsi"/>
                <w:b/>
                <w:sz w:val="22"/>
                <w:szCs w:val="22"/>
              </w:rPr>
            </w:pPr>
          </w:p>
        </w:tc>
        <w:tc>
          <w:tcPr>
            <w:tcW w:w="1620" w:type="dxa"/>
            <w:tcBorders>
              <w:bottom w:val="single" w:sz="12" w:space="0" w:color="auto"/>
            </w:tcBorders>
            <w:shd w:val="clear" w:color="auto" w:fill="DBE5F1" w:themeFill="accent1" w:themeFillTint="33"/>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tcBorders>
              <w:bottom w:val="single" w:sz="12" w:space="0" w:color="auto"/>
            </w:tcBorders>
            <w:vAlign w:val="center"/>
          </w:tcPr>
          <w:p w:rsidR="004A4FF9" w:rsidRPr="00351E0A" w:rsidRDefault="004A4FF9" w:rsidP="00212AD9">
            <w:pPr>
              <w:jc w:val="center"/>
              <w:rPr>
                <w:rFonts w:asciiTheme="minorHAnsi" w:hAnsiTheme="minorHAnsi"/>
                <w:sz w:val="22"/>
                <w:szCs w:val="22"/>
              </w:rPr>
            </w:pPr>
          </w:p>
        </w:tc>
        <w:tc>
          <w:tcPr>
            <w:tcW w:w="1440" w:type="dxa"/>
            <w:tcBorders>
              <w:bottom w:val="single" w:sz="12" w:space="0" w:color="auto"/>
            </w:tcBorders>
            <w:shd w:val="clear" w:color="auto" w:fill="DBE5F1" w:themeFill="accent1" w:themeFillTint="33"/>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6.5%</w:t>
            </w:r>
          </w:p>
        </w:tc>
        <w:tc>
          <w:tcPr>
            <w:tcW w:w="810" w:type="dxa"/>
            <w:vMerge/>
            <w:tcBorders>
              <w:bottom w:val="single" w:sz="12" w:space="0" w:color="auto"/>
            </w:tcBorders>
            <w:vAlign w:val="center"/>
          </w:tcPr>
          <w:p w:rsidR="004A4FF9" w:rsidRPr="00A14BFA" w:rsidRDefault="004A4FF9" w:rsidP="00212AD9">
            <w:pPr>
              <w:jc w:val="center"/>
              <w:rPr>
                <w:rFonts w:asciiTheme="minorHAnsi" w:hAnsiTheme="minorHAnsi"/>
                <w:b/>
                <w:sz w:val="22"/>
                <w:szCs w:val="22"/>
              </w:rPr>
            </w:pPr>
          </w:p>
        </w:tc>
      </w:tr>
      <w:tr w:rsidR="004A4FF9" w:rsidRPr="00A14BFA" w:rsidTr="004160E1">
        <w:trPr>
          <w:tblHeader/>
        </w:trPr>
        <w:tc>
          <w:tcPr>
            <w:tcW w:w="2448" w:type="dxa"/>
            <w:tcBorders>
              <w:top w:val="single" w:sz="12" w:space="0" w:color="auto"/>
            </w:tcBorders>
          </w:tcPr>
          <w:p w:rsidR="004A4FF9" w:rsidRPr="00A14BFA" w:rsidRDefault="004A4FF9" w:rsidP="00212AD9">
            <w:pPr>
              <w:rPr>
                <w:rFonts w:asciiTheme="minorHAnsi" w:hAnsiTheme="minorHAnsi"/>
                <w:sz w:val="22"/>
                <w:szCs w:val="22"/>
              </w:rPr>
            </w:pPr>
            <w:r w:rsidRPr="00A14BFA">
              <w:rPr>
                <w:rFonts w:asciiTheme="minorHAnsi" w:hAnsiTheme="minorHAnsi"/>
                <w:sz w:val="22"/>
                <w:szCs w:val="22"/>
              </w:rPr>
              <w:t>Students without disabilities</w:t>
            </w:r>
          </w:p>
        </w:tc>
        <w:tc>
          <w:tcPr>
            <w:tcW w:w="1710" w:type="dxa"/>
            <w:tcBorders>
              <w:top w:val="single" w:sz="12" w:space="0" w:color="auto"/>
            </w:tcBorders>
            <w:vAlign w:val="center"/>
          </w:tcPr>
          <w:p w:rsidR="004A4FF9" w:rsidRPr="00A14BFA" w:rsidRDefault="00652D15" w:rsidP="00212AD9">
            <w:pPr>
              <w:jc w:val="center"/>
              <w:rPr>
                <w:rFonts w:asciiTheme="minorHAnsi" w:hAnsiTheme="minorHAnsi"/>
                <w:sz w:val="22"/>
                <w:szCs w:val="22"/>
              </w:rPr>
            </w:pPr>
            <w:r>
              <w:rPr>
                <w:rFonts w:asciiTheme="minorHAnsi" w:hAnsiTheme="minorHAnsi"/>
                <w:sz w:val="22"/>
                <w:szCs w:val="22"/>
              </w:rPr>
              <w:t>15.4%</w:t>
            </w:r>
          </w:p>
        </w:tc>
        <w:tc>
          <w:tcPr>
            <w:tcW w:w="72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1.01</w:t>
            </w:r>
          </w:p>
        </w:tc>
        <w:tc>
          <w:tcPr>
            <w:tcW w:w="1620" w:type="dxa"/>
            <w:tcBorders>
              <w:top w:val="single" w:sz="12" w:space="0" w:color="auto"/>
            </w:tcBorders>
            <w:vAlign w:val="center"/>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val="restart"/>
            <w:tcBorders>
              <w:top w:val="single" w:sz="12" w:space="0" w:color="auto"/>
            </w:tcBorders>
            <w:vAlign w:val="center"/>
          </w:tcPr>
          <w:p w:rsidR="004A4FF9" w:rsidRPr="00351E0A" w:rsidRDefault="00351E0A" w:rsidP="00212AD9">
            <w:pPr>
              <w:jc w:val="center"/>
              <w:rPr>
                <w:rFonts w:asciiTheme="minorHAnsi" w:hAnsiTheme="minorHAnsi"/>
                <w:sz w:val="22"/>
                <w:szCs w:val="22"/>
              </w:rPr>
            </w:pPr>
            <w:r w:rsidRPr="00351E0A">
              <w:rPr>
                <w:rFonts w:asciiTheme="minorHAnsi" w:hAnsiTheme="minorHAnsi"/>
                <w:sz w:val="22"/>
                <w:szCs w:val="22"/>
              </w:rPr>
              <w:t>*</w:t>
            </w:r>
          </w:p>
        </w:tc>
        <w:tc>
          <w:tcPr>
            <w:tcW w:w="1440" w:type="dxa"/>
            <w:tcBorders>
              <w:top w:val="single" w:sz="12" w:space="0" w:color="auto"/>
            </w:tcBorders>
            <w:vAlign w:val="center"/>
          </w:tcPr>
          <w:p w:rsidR="004A4FF9" w:rsidRPr="00351E0A" w:rsidRDefault="00652D15" w:rsidP="00212AD9">
            <w:pPr>
              <w:jc w:val="center"/>
              <w:rPr>
                <w:rFonts w:asciiTheme="minorHAnsi" w:hAnsiTheme="minorHAnsi"/>
                <w:sz w:val="22"/>
                <w:szCs w:val="22"/>
              </w:rPr>
            </w:pPr>
            <w:r>
              <w:rPr>
                <w:rFonts w:asciiTheme="minorHAnsi" w:hAnsiTheme="minorHAnsi"/>
                <w:sz w:val="22"/>
                <w:szCs w:val="22"/>
              </w:rPr>
              <w:t>3.9%</w:t>
            </w:r>
          </w:p>
        </w:tc>
        <w:tc>
          <w:tcPr>
            <w:tcW w:w="810" w:type="dxa"/>
            <w:vMerge w:val="restart"/>
            <w:tcBorders>
              <w:top w:val="single" w:sz="12" w:space="0" w:color="auto"/>
            </w:tcBorders>
            <w:vAlign w:val="center"/>
          </w:tcPr>
          <w:p w:rsidR="004A4FF9" w:rsidRPr="00A14BFA" w:rsidRDefault="00652D15" w:rsidP="00212AD9">
            <w:pPr>
              <w:jc w:val="center"/>
              <w:rPr>
                <w:rFonts w:asciiTheme="minorHAnsi" w:hAnsiTheme="minorHAnsi"/>
                <w:b/>
                <w:sz w:val="22"/>
                <w:szCs w:val="22"/>
              </w:rPr>
            </w:pPr>
            <w:r>
              <w:rPr>
                <w:rFonts w:asciiTheme="minorHAnsi" w:hAnsiTheme="minorHAnsi"/>
                <w:b/>
                <w:sz w:val="22"/>
                <w:szCs w:val="22"/>
              </w:rPr>
              <w:t>1.11</w:t>
            </w:r>
          </w:p>
        </w:tc>
      </w:tr>
      <w:tr w:rsidR="004A4FF9" w:rsidRPr="00A14BFA" w:rsidTr="00CE049F">
        <w:trPr>
          <w:tblHeader/>
        </w:trPr>
        <w:tc>
          <w:tcPr>
            <w:tcW w:w="2448" w:type="dxa"/>
            <w:shd w:val="clear" w:color="auto" w:fill="DBE5F1" w:themeFill="accent1" w:themeFillTint="33"/>
          </w:tcPr>
          <w:p w:rsidR="004A4FF9" w:rsidRPr="00A14BFA" w:rsidRDefault="004A4FF9" w:rsidP="00212AD9">
            <w:pPr>
              <w:rPr>
                <w:rFonts w:asciiTheme="minorHAnsi" w:hAnsiTheme="minorHAnsi"/>
                <w:sz w:val="22"/>
                <w:szCs w:val="22"/>
              </w:rPr>
            </w:pPr>
            <w:r w:rsidRPr="00A14BFA">
              <w:rPr>
                <w:rFonts w:asciiTheme="minorHAnsi" w:hAnsiTheme="minorHAnsi"/>
                <w:sz w:val="22"/>
                <w:szCs w:val="22"/>
              </w:rPr>
              <w:t>Students with disabilities</w:t>
            </w:r>
          </w:p>
        </w:tc>
        <w:tc>
          <w:tcPr>
            <w:tcW w:w="1710" w:type="dxa"/>
            <w:shd w:val="clear" w:color="auto" w:fill="DBE5F1" w:themeFill="accent1" w:themeFillTint="33"/>
            <w:vAlign w:val="center"/>
          </w:tcPr>
          <w:p w:rsidR="004A4FF9" w:rsidRPr="00A14BFA" w:rsidRDefault="00652D15" w:rsidP="00212AD9">
            <w:pPr>
              <w:jc w:val="center"/>
              <w:rPr>
                <w:rFonts w:asciiTheme="minorHAnsi" w:hAnsiTheme="minorHAnsi"/>
                <w:sz w:val="22"/>
                <w:szCs w:val="22"/>
              </w:rPr>
            </w:pPr>
            <w:r>
              <w:rPr>
                <w:rFonts w:asciiTheme="minorHAnsi" w:hAnsiTheme="minorHAnsi"/>
                <w:sz w:val="22"/>
                <w:szCs w:val="22"/>
              </w:rPr>
              <w:t>15.5%</w:t>
            </w:r>
          </w:p>
        </w:tc>
        <w:tc>
          <w:tcPr>
            <w:tcW w:w="720" w:type="dxa"/>
            <w:vMerge/>
          </w:tcPr>
          <w:p w:rsidR="004A4FF9" w:rsidRPr="00A14BFA" w:rsidRDefault="004A4FF9" w:rsidP="00212AD9">
            <w:pPr>
              <w:rPr>
                <w:rFonts w:asciiTheme="minorHAnsi" w:hAnsiTheme="minorHAnsi"/>
                <w:sz w:val="22"/>
                <w:szCs w:val="22"/>
              </w:rPr>
            </w:pPr>
          </w:p>
        </w:tc>
        <w:tc>
          <w:tcPr>
            <w:tcW w:w="1620" w:type="dxa"/>
            <w:shd w:val="clear" w:color="auto" w:fill="DBE5F1" w:themeFill="accent1" w:themeFillTint="33"/>
            <w:vAlign w:val="center"/>
          </w:tcPr>
          <w:p w:rsidR="004A4FF9" w:rsidRPr="00A14BFA" w:rsidRDefault="004A4FF9" w:rsidP="00212AD9">
            <w:pPr>
              <w:jc w:val="center"/>
              <w:rPr>
                <w:rFonts w:asciiTheme="minorHAnsi" w:hAnsiTheme="minorHAnsi"/>
                <w:sz w:val="22"/>
                <w:szCs w:val="22"/>
              </w:rPr>
            </w:pPr>
            <w:r>
              <w:rPr>
                <w:rFonts w:asciiTheme="minorHAnsi" w:hAnsiTheme="minorHAnsi"/>
                <w:sz w:val="22"/>
                <w:szCs w:val="22"/>
              </w:rPr>
              <w:t>*</w:t>
            </w:r>
          </w:p>
        </w:tc>
        <w:tc>
          <w:tcPr>
            <w:tcW w:w="720" w:type="dxa"/>
            <w:vMerge/>
          </w:tcPr>
          <w:p w:rsidR="004A4FF9" w:rsidRPr="00A14BFA" w:rsidRDefault="004A4FF9" w:rsidP="00212AD9">
            <w:pPr>
              <w:rPr>
                <w:rFonts w:asciiTheme="minorHAnsi" w:hAnsiTheme="minorHAnsi"/>
                <w:sz w:val="22"/>
                <w:szCs w:val="22"/>
              </w:rPr>
            </w:pPr>
          </w:p>
        </w:tc>
        <w:tc>
          <w:tcPr>
            <w:tcW w:w="1440" w:type="dxa"/>
            <w:shd w:val="clear" w:color="auto" w:fill="DBE5F1" w:themeFill="accent1" w:themeFillTint="33"/>
            <w:vAlign w:val="center"/>
          </w:tcPr>
          <w:p w:rsidR="004A4FF9" w:rsidRPr="00A14BFA" w:rsidRDefault="00652D15" w:rsidP="00212AD9">
            <w:pPr>
              <w:jc w:val="center"/>
              <w:rPr>
                <w:rFonts w:asciiTheme="minorHAnsi" w:hAnsiTheme="minorHAnsi"/>
                <w:sz w:val="22"/>
                <w:szCs w:val="22"/>
              </w:rPr>
            </w:pPr>
            <w:r>
              <w:rPr>
                <w:rFonts w:asciiTheme="minorHAnsi" w:hAnsiTheme="minorHAnsi"/>
                <w:sz w:val="22"/>
                <w:szCs w:val="22"/>
              </w:rPr>
              <w:t>4.3%</w:t>
            </w:r>
          </w:p>
        </w:tc>
        <w:tc>
          <w:tcPr>
            <w:tcW w:w="810" w:type="dxa"/>
            <w:vMerge/>
          </w:tcPr>
          <w:p w:rsidR="004A4FF9" w:rsidRPr="00A14BFA" w:rsidRDefault="004A4FF9" w:rsidP="00212AD9">
            <w:pPr>
              <w:rPr>
                <w:rFonts w:asciiTheme="minorHAnsi" w:hAnsiTheme="minorHAnsi"/>
              </w:rPr>
            </w:pPr>
          </w:p>
        </w:tc>
      </w:tr>
    </w:tbl>
    <w:p w:rsidR="004A4FF9" w:rsidRPr="00404D1A" w:rsidRDefault="004A4FF9" w:rsidP="00404D1A">
      <w:pPr>
        <w:pStyle w:val="Footer"/>
        <w:rPr>
          <w:rFonts w:asciiTheme="minorHAnsi" w:hAnsiTheme="minorHAnsi"/>
          <w:i/>
          <w:sz w:val="20"/>
          <w:szCs w:val="20"/>
        </w:rPr>
      </w:pPr>
      <w:r w:rsidRPr="00404D1A">
        <w:rPr>
          <w:rFonts w:asciiTheme="minorHAnsi" w:hAnsiTheme="minorHAnsi"/>
          <w:i/>
          <w:sz w:val="20"/>
          <w:szCs w:val="20"/>
        </w:rPr>
        <w:t xml:space="preserve">* Due to </w:t>
      </w:r>
      <w:r w:rsidR="005C467B">
        <w:rPr>
          <w:rFonts w:asciiTheme="minorHAnsi" w:hAnsiTheme="minorHAnsi"/>
          <w:i/>
          <w:sz w:val="20"/>
          <w:szCs w:val="20"/>
        </w:rPr>
        <w:t xml:space="preserve">the </w:t>
      </w:r>
      <w:r w:rsidRPr="00404D1A">
        <w:rPr>
          <w:rFonts w:asciiTheme="minorHAnsi" w:hAnsiTheme="minorHAnsi"/>
          <w:i/>
          <w:sz w:val="20"/>
          <w:szCs w:val="20"/>
        </w:rPr>
        <w:t xml:space="preserve">shift to </w:t>
      </w:r>
      <w:r w:rsidR="005C467B">
        <w:rPr>
          <w:rFonts w:asciiTheme="minorHAnsi" w:hAnsiTheme="minorHAnsi"/>
          <w:i/>
          <w:sz w:val="20"/>
          <w:szCs w:val="20"/>
        </w:rPr>
        <w:t xml:space="preserve">a </w:t>
      </w:r>
      <w:r w:rsidRPr="00404D1A">
        <w:rPr>
          <w:rFonts w:asciiTheme="minorHAnsi" w:hAnsiTheme="minorHAnsi"/>
          <w:i/>
          <w:sz w:val="20"/>
          <w:szCs w:val="20"/>
        </w:rPr>
        <w:t>new method of calculating rates of assignment to in</w:t>
      </w:r>
      <w:r w:rsidR="00441AF8">
        <w:rPr>
          <w:rFonts w:ascii="Helvetica" w:eastAsia="Helvetica" w:hAnsi="Helvetica" w:cs="Helvetica"/>
          <w:i/>
          <w:sz w:val="20"/>
          <w:szCs w:val="20"/>
        </w:rPr>
        <w:t>-</w:t>
      </w:r>
      <w:r w:rsidRPr="00404D1A">
        <w:rPr>
          <w:rFonts w:asciiTheme="minorHAnsi" w:hAnsiTheme="minorHAnsi"/>
          <w:i/>
          <w:sz w:val="20"/>
          <w:szCs w:val="20"/>
        </w:rPr>
        <w:t>field and out</w:t>
      </w:r>
      <w:r w:rsidR="00441AF8">
        <w:rPr>
          <w:rFonts w:ascii="Helvetica" w:eastAsia="Helvetica" w:hAnsi="Helvetica" w:cs="Helvetica"/>
          <w:i/>
          <w:sz w:val="20"/>
          <w:szCs w:val="20"/>
        </w:rPr>
        <w:t>-</w:t>
      </w:r>
      <w:r w:rsidRPr="00404D1A">
        <w:rPr>
          <w:rFonts w:asciiTheme="minorHAnsi" w:hAnsiTheme="minorHAnsi"/>
          <w:i/>
          <w:sz w:val="20"/>
          <w:szCs w:val="20"/>
        </w:rPr>
        <w:t>of</w:t>
      </w:r>
      <w:r w:rsidR="00441AF8">
        <w:rPr>
          <w:rFonts w:ascii="Helvetica" w:eastAsia="Helvetica" w:hAnsi="Helvetica" w:cs="Helvetica"/>
          <w:i/>
          <w:sz w:val="20"/>
          <w:szCs w:val="20"/>
        </w:rPr>
        <w:t>-</w:t>
      </w:r>
      <w:r w:rsidRPr="00404D1A">
        <w:rPr>
          <w:rFonts w:asciiTheme="minorHAnsi" w:hAnsiTheme="minorHAnsi"/>
          <w:i/>
          <w:sz w:val="20"/>
          <w:szCs w:val="20"/>
        </w:rPr>
        <w:t xml:space="preserve">field teachers, this data is not yet available statewide. See </w:t>
      </w:r>
      <w:hyperlink w:anchor="_Equity_Gap_3:" w:history="1">
        <w:r w:rsidRPr="00483A9E">
          <w:rPr>
            <w:rStyle w:val="Hyperlink"/>
            <w:rFonts w:asciiTheme="minorHAnsi" w:hAnsiTheme="minorHAnsi"/>
            <w:i/>
            <w:sz w:val="20"/>
            <w:szCs w:val="20"/>
          </w:rPr>
          <w:t>Educator Qualifications</w:t>
        </w:r>
      </w:hyperlink>
      <w:r w:rsidRPr="00404D1A">
        <w:rPr>
          <w:rFonts w:asciiTheme="minorHAnsi" w:hAnsiTheme="minorHAnsi"/>
          <w:i/>
          <w:sz w:val="20"/>
          <w:szCs w:val="20"/>
        </w:rPr>
        <w:t xml:space="preserve"> </w:t>
      </w:r>
      <w:r>
        <w:rPr>
          <w:rFonts w:asciiTheme="minorHAnsi" w:hAnsiTheme="minorHAnsi"/>
          <w:i/>
          <w:sz w:val="20"/>
          <w:szCs w:val="20"/>
        </w:rPr>
        <w:t xml:space="preserve">for </w:t>
      </w:r>
      <w:r w:rsidRPr="00404D1A">
        <w:rPr>
          <w:rFonts w:asciiTheme="minorHAnsi" w:hAnsiTheme="minorHAnsi"/>
          <w:i/>
          <w:sz w:val="20"/>
          <w:szCs w:val="20"/>
        </w:rPr>
        <w:t>details.</w:t>
      </w:r>
    </w:p>
    <w:p w:rsidR="0099796D" w:rsidRDefault="0099796D" w:rsidP="00C131A1">
      <w:pPr>
        <w:tabs>
          <w:tab w:val="left" w:pos="0"/>
          <w:tab w:val="left" w:pos="540"/>
        </w:tabs>
        <w:rPr>
          <w:rFonts w:ascii="Calibri" w:hAnsi="Calibri"/>
          <w:sz w:val="22"/>
          <w:szCs w:val="22"/>
        </w:rPr>
      </w:pPr>
    </w:p>
    <w:p w:rsidR="00D22441" w:rsidRDefault="004160E1" w:rsidP="00C131A1">
      <w:pPr>
        <w:tabs>
          <w:tab w:val="left" w:pos="0"/>
          <w:tab w:val="left" w:pos="540"/>
        </w:tabs>
        <w:rPr>
          <w:rFonts w:ascii="Calibri" w:hAnsi="Calibri"/>
          <w:sz w:val="22"/>
          <w:szCs w:val="22"/>
        </w:rPr>
      </w:pPr>
      <w:r>
        <w:rPr>
          <w:rFonts w:ascii="Calibri" w:hAnsi="Calibri"/>
          <w:sz w:val="22"/>
          <w:szCs w:val="22"/>
        </w:rPr>
        <w:lastRenderedPageBreak/>
        <w:t xml:space="preserve">As </w:t>
      </w:r>
      <w:r w:rsidR="00203264">
        <w:rPr>
          <w:rFonts w:ascii="Calibri" w:hAnsi="Calibri"/>
          <w:sz w:val="22"/>
          <w:szCs w:val="22"/>
        </w:rPr>
        <w:t>Table 1 shows</w:t>
      </w:r>
      <w:r>
        <w:rPr>
          <w:rFonts w:ascii="Calibri" w:hAnsi="Calibri"/>
          <w:sz w:val="22"/>
          <w:szCs w:val="22"/>
        </w:rPr>
        <w:t>, e</w:t>
      </w:r>
      <w:r w:rsidR="00696D71">
        <w:rPr>
          <w:rFonts w:ascii="Calibri" w:hAnsi="Calibri"/>
          <w:sz w:val="22"/>
          <w:szCs w:val="22"/>
        </w:rPr>
        <w:t>conomically</w:t>
      </w:r>
      <w:r w:rsidR="00713725">
        <w:rPr>
          <w:rFonts w:ascii="Calibri" w:hAnsi="Calibri"/>
          <w:sz w:val="22"/>
          <w:szCs w:val="22"/>
        </w:rPr>
        <w:t xml:space="preserve"> disadvantaged students, students of color, and </w:t>
      </w:r>
      <w:r w:rsidR="00DE28D6">
        <w:rPr>
          <w:rFonts w:ascii="Calibri" w:hAnsi="Calibri"/>
          <w:sz w:val="22"/>
          <w:szCs w:val="22"/>
        </w:rPr>
        <w:t>ELs</w:t>
      </w:r>
      <w:r w:rsidR="00713725">
        <w:rPr>
          <w:rFonts w:ascii="Calibri" w:hAnsi="Calibri"/>
          <w:sz w:val="22"/>
          <w:szCs w:val="22"/>
        </w:rPr>
        <w:t xml:space="preserve"> were more likely than their peers to </w:t>
      </w:r>
      <w:r w:rsidR="00BF70DB">
        <w:rPr>
          <w:rFonts w:ascii="Calibri" w:hAnsi="Calibri"/>
          <w:sz w:val="22"/>
          <w:szCs w:val="22"/>
        </w:rPr>
        <w:t>be assigned to</w:t>
      </w:r>
      <w:r w:rsidR="00713725">
        <w:rPr>
          <w:rFonts w:ascii="Calibri" w:hAnsi="Calibri"/>
          <w:sz w:val="22"/>
          <w:szCs w:val="22"/>
        </w:rPr>
        <w:t xml:space="preserve"> inexperienced teachers and those rated Needs </w:t>
      </w:r>
      <w:r w:rsidR="00713725" w:rsidRPr="007C4F39">
        <w:rPr>
          <w:rFonts w:ascii="Calibri" w:hAnsi="Calibri"/>
          <w:sz w:val="22"/>
          <w:szCs w:val="22"/>
        </w:rPr>
        <w:t>Improvement</w:t>
      </w:r>
      <w:r w:rsidR="00577745">
        <w:rPr>
          <w:rFonts w:ascii="Calibri" w:hAnsi="Calibri"/>
          <w:sz w:val="22"/>
          <w:szCs w:val="22"/>
        </w:rPr>
        <w:t xml:space="preserve"> or </w:t>
      </w:r>
      <w:r w:rsidR="00713725" w:rsidRPr="007C4F39">
        <w:rPr>
          <w:rFonts w:ascii="Calibri" w:hAnsi="Calibri"/>
          <w:sz w:val="22"/>
          <w:szCs w:val="22"/>
        </w:rPr>
        <w:t>Unsatisfactory</w:t>
      </w:r>
      <w:r w:rsidR="00577745">
        <w:rPr>
          <w:rFonts w:ascii="Calibri" w:hAnsi="Calibri"/>
          <w:sz w:val="22"/>
          <w:szCs w:val="22"/>
        </w:rPr>
        <w:t>. Notably, the d</w:t>
      </w:r>
      <w:r w:rsidR="009E3924" w:rsidRPr="007C4F39">
        <w:rPr>
          <w:rFonts w:ascii="Calibri" w:hAnsi="Calibri"/>
          <w:sz w:val="22"/>
          <w:szCs w:val="22"/>
        </w:rPr>
        <w:t xml:space="preserve">isparities are </w:t>
      </w:r>
      <w:r w:rsidR="00577745">
        <w:rPr>
          <w:rFonts w:ascii="Calibri" w:hAnsi="Calibri"/>
          <w:sz w:val="22"/>
          <w:szCs w:val="22"/>
        </w:rPr>
        <w:t xml:space="preserve">significantly </w:t>
      </w:r>
      <w:r w:rsidR="009E3924" w:rsidRPr="007C4F39">
        <w:rPr>
          <w:rFonts w:ascii="Calibri" w:hAnsi="Calibri"/>
          <w:sz w:val="22"/>
          <w:szCs w:val="22"/>
        </w:rPr>
        <w:t xml:space="preserve">greater </w:t>
      </w:r>
      <w:r w:rsidR="00577745">
        <w:rPr>
          <w:rFonts w:ascii="Calibri" w:hAnsi="Calibri"/>
          <w:sz w:val="22"/>
          <w:szCs w:val="22"/>
        </w:rPr>
        <w:t xml:space="preserve">for these groups </w:t>
      </w:r>
      <w:r w:rsidR="009E3924" w:rsidRPr="007C4F39">
        <w:rPr>
          <w:rFonts w:ascii="Calibri" w:hAnsi="Calibri"/>
          <w:sz w:val="22"/>
          <w:szCs w:val="22"/>
        </w:rPr>
        <w:t xml:space="preserve">in </w:t>
      </w:r>
      <w:r w:rsidR="00577745">
        <w:rPr>
          <w:rFonts w:ascii="Calibri" w:hAnsi="Calibri"/>
          <w:sz w:val="22"/>
          <w:szCs w:val="22"/>
        </w:rPr>
        <w:t xml:space="preserve">the </w:t>
      </w:r>
      <w:r w:rsidR="009E3924" w:rsidRPr="007C4F39">
        <w:rPr>
          <w:rFonts w:ascii="Calibri" w:hAnsi="Calibri"/>
          <w:sz w:val="22"/>
          <w:szCs w:val="22"/>
        </w:rPr>
        <w:t>rates of assignment to teachers</w:t>
      </w:r>
      <w:r w:rsidR="00577745">
        <w:rPr>
          <w:rFonts w:ascii="Calibri" w:hAnsi="Calibri"/>
          <w:sz w:val="22"/>
          <w:szCs w:val="22"/>
        </w:rPr>
        <w:t xml:space="preserve"> whose pe</w:t>
      </w:r>
      <w:r w:rsidR="00983145">
        <w:rPr>
          <w:rFonts w:ascii="Calibri" w:hAnsi="Calibri"/>
          <w:sz w:val="22"/>
          <w:szCs w:val="22"/>
        </w:rPr>
        <w:t>rformance was rated lower than Exemplary or P</w:t>
      </w:r>
      <w:r w:rsidR="00577745">
        <w:rPr>
          <w:rFonts w:ascii="Calibri" w:hAnsi="Calibri"/>
          <w:sz w:val="22"/>
          <w:szCs w:val="22"/>
        </w:rPr>
        <w:t>roficient</w:t>
      </w:r>
      <w:r w:rsidR="009E3924" w:rsidRPr="007C4F39">
        <w:rPr>
          <w:rFonts w:ascii="Calibri" w:hAnsi="Calibri"/>
          <w:sz w:val="22"/>
          <w:szCs w:val="22"/>
        </w:rPr>
        <w:t>.</w:t>
      </w:r>
    </w:p>
    <w:p w:rsidR="005E74C2" w:rsidRDefault="00D22441" w:rsidP="005E74C2">
      <w:pPr>
        <w:pStyle w:val="Heading4"/>
        <w:rPr>
          <w:rFonts w:ascii="Calibri" w:hAnsi="Calibri"/>
          <w:b w:val="0"/>
          <w:i w:val="0"/>
          <w:color w:val="auto"/>
          <w:sz w:val="22"/>
          <w:szCs w:val="22"/>
        </w:rPr>
      </w:pPr>
      <w:r>
        <w:rPr>
          <w:rFonts w:ascii="Calibri" w:hAnsi="Calibri"/>
          <w:b w:val="0"/>
          <w:i w:val="0"/>
          <w:color w:val="auto"/>
          <w:sz w:val="22"/>
          <w:szCs w:val="22"/>
        </w:rPr>
        <w:t xml:space="preserve">Closing equity gaps requires targeted efforts at the state and local levels. </w:t>
      </w:r>
      <w:r w:rsidR="00624199">
        <w:rPr>
          <w:rFonts w:ascii="Calibri" w:hAnsi="Calibri"/>
          <w:b w:val="0"/>
          <w:i w:val="0"/>
          <w:color w:val="auto"/>
          <w:sz w:val="22"/>
          <w:szCs w:val="22"/>
        </w:rPr>
        <w:t>This document’s</w:t>
      </w:r>
      <w:r w:rsidRPr="00D22441">
        <w:rPr>
          <w:rFonts w:ascii="Calibri" w:hAnsi="Calibri"/>
          <w:b w:val="0"/>
          <w:i w:val="0"/>
          <w:color w:val="auto"/>
          <w:sz w:val="22"/>
          <w:szCs w:val="22"/>
        </w:rPr>
        <w:t xml:space="preserve"> section on </w:t>
      </w:r>
      <w:hyperlink w:anchor="_Strategies_to_Eliminate" w:history="1">
        <w:r w:rsidRPr="00D22441">
          <w:rPr>
            <w:rStyle w:val="Hyperlink"/>
            <w:rFonts w:ascii="Calibri" w:hAnsi="Calibri"/>
            <w:b w:val="0"/>
            <w:i w:val="0"/>
            <w:sz w:val="22"/>
            <w:szCs w:val="22"/>
          </w:rPr>
          <w:t>Strategies to Eliminate Equity Gaps</w:t>
        </w:r>
      </w:hyperlink>
      <w:r w:rsidRPr="00D22441">
        <w:rPr>
          <w:rFonts w:ascii="Calibri" w:hAnsi="Calibri"/>
          <w:b w:val="0"/>
          <w:i w:val="0"/>
          <w:color w:val="auto"/>
          <w:sz w:val="22"/>
          <w:szCs w:val="22"/>
        </w:rPr>
        <w:t xml:space="preserve"> provides an overview of DESE’s work to address equitable access gaps.</w:t>
      </w:r>
      <w:r w:rsidR="005E74C2">
        <w:rPr>
          <w:rFonts w:ascii="Calibri" w:hAnsi="Calibri"/>
          <w:b w:val="0"/>
          <w:i w:val="0"/>
          <w:color w:val="auto"/>
          <w:sz w:val="22"/>
          <w:szCs w:val="22"/>
        </w:rPr>
        <w:t xml:space="preserve"> </w:t>
      </w:r>
    </w:p>
    <w:p w:rsidR="00D22441" w:rsidRPr="005E74C2" w:rsidRDefault="00D22441" w:rsidP="005E74C2">
      <w:pPr>
        <w:pStyle w:val="Heading4"/>
        <w:rPr>
          <w:rFonts w:ascii="Calibri" w:hAnsi="Calibri"/>
          <w:b w:val="0"/>
          <w:i w:val="0"/>
          <w:color w:val="auto"/>
          <w:sz w:val="22"/>
          <w:szCs w:val="22"/>
        </w:rPr>
      </w:pPr>
      <w:r w:rsidRPr="005E74C2">
        <w:rPr>
          <w:rFonts w:ascii="Calibri" w:hAnsi="Calibri"/>
          <w:b w:val="0"/>
          <w:i w:val="0"/>
          <w:color w:val="auto"/>
          <w:sz w:val="22"/>
          <w:szCs w:val="22"/>
        </w:rPr>
        <w:t>2018 will be the first year for all districts to analyze local data on equity gaps and, where applicable, develop their own equitable access strategies based on local needs. This identification and reporting will align with requirements under the 2015 Every Student Succeeds Act</w:t>
      </w:r>
      <w:r w:rsidR="00893A6F">
        <w:rPr>
          <w:rFonts w:ascii="Calibri" w:hAnsi="Calibri"/>
          <w:b w:val="0"/>
          <w:i w:val="0"/>
          <w:color w:val="auto"/>
          <w:sz w:val="22"/>
          <w:szCs w:val="22"/>
        </w:rPr>
        <w:t xml:space="preserve"> (ESSA)</w:t>
      </w:r>
      <w:r w:rsidRPr="005E74C2">
        <w:rPr>
          <w:rFonts w:ascii="Calibri" w:hAnsi="Calibri"/>
          <w:b w:val="0"/>
          <w:i w:val="0"/>
          <w:color w:val="auto"/>
          <w:sz w:val="22"/>
          <w:szCs w:val="22"/>
        </w:rPr>
        <w:t xml:space="preserve">. </w:t>
      </w:r>
    </w:p>
    <w:p w:rsidR="00D22441" w:rsidRDefault="00D22441" w:rsidP="00D22441">
      <w:pPr>
        <w:rPr>
          <w:rFonts w:ascii="Calibri" w:hAnsi="Calibri"/>
          <w:sz w:val="22"/>
        </w:rPr>
      </w:pPr>
    </w:p>
    <w:p w:rsidR="00D22441" w:rsidRPr="00510013" w:rsidRDefault="00D22441" w:rsidP="00D22441">
      <w:pPr>
        <w:tabs>
          <w:tab w:val="left" w:pos="0"/>
          <w:tab w:val="left" w:pos="540"/>
        </w:tabs>
        <w:rPr>
          <w:rFonts w:ascii="Calibri" w:hAnsi="Calibri"/>
          <w:color w:val="FF0000"/>
          <w:sz w:val="22"/>
          <w:szCs w:val="22"/>
        </w:rPr>
      </w:pPr>
      <w:r>
        <w:rPr>
          <w:rFonts w:ascii="Calibri" w:hAnsi="Calibri"/>
          <w:sz w:val="22"/>
        </w:rPr>
        <w:t>DESE resources will support districts in equi</w:t>
      </w:r>
      <w:r w:rsidR="005E74C2">
        <w:rPr>
          <w:rFonts w:ascii="Calibri" w:hAnsi="Calibri"/>
          <w:sz w:val="22"/>
        </w:rPr>
        <w:t xml:space="preserve">ty work. Districts will use an </w:t>
      </w:r>
      <w:hyperlink w:anchor="_Student_Learning_Experience" w:history="1">
        <w:r w:rsidR="005E74C2" w:rsidRPr="005E74C2">
          <w:rPr>
            <w:rStyle w:val="Hyperlink"/>
            <w:rFonts w:ascii="Calibri" w:hAnsi="Calibri"/>
            <w:sz w:val="22"/>
          </w:rPr>
          <w:t>Edwin data tool</w:t>
        </w:r>
      </w:hyperlink>
      <w:r>
        <w:rPr>
          <w:rFonts w:ascii="Calibri" w:hAnsi="Calibri"/>
          <w:sz w:val="22"/>
        </w:rPr>
        <w:t xml:space="preserve"> to identify substantial discrepancies in student subgroups’ rates of assignment to teachers who are experienced, in-field, and rated Exemplary or Proficient. </w:t>
      </w:r>
      <w:hyperlink w:anchor="_Technical_assistance_for" w:history="1">
        <w:r w:rsidR="005E74C2" w:rsidRPr="00F7543D">
          <w:rPr>
            <w:rStyle w:val="Hyperlink"/>
            <w:rFonts w:ascii="Calibri" w:hAnsi="Calibri"/>
            <w:sz w:val="22"/>
          </w:rPr>
          <w:t>T</w:t>
        </w:r>
        <w:r w:rsidRPr="00F7543D">
          <w:rPr>
            <w:rStyle w:val="Hyperlink"/>
            <w:rFonts w:ascii="Calibri" w:hAnsi="Calibri"/>
            <w:sz w:val="22"/>
          </w:rPr>
          <w:t>echnical assistance opportunities</w:t>
        </w:r>
      </w:hyperlink>
      <w:r>
        <w:rPr>
          <w:rFonts w:ascii="Calibri" w:hAnsi="Calibri"/>
          <w:sz w:val="22"/>
        </w:rPr>
        <w:t>, as well as equity-specific guidance resources, will facilitate development and implementation of strategies to address local inequities in access to educators.</w:t>
      </w:r>
    </w:p>
    <w:p w:rsidR="007C32FE" w:rsidRPr="00051514" w:rsidRDefault="007C32FE" w:rsidP="007C32FE">
      <w:pPr>
        <w:pStyle w:val="Heading2"/>
        <w:tabs>
          <w:tab w:val="left" w:pos="0"/>
          <w:tab w:val="left" w:pos="540"/>
        </w:tabs>
        <w:rPr>
          <w:rFonts w:ascii="Calibri" w:hAnsi="Calibri"/>
          <w:color w:val="7FA3CF"/>
        </w:rPr>
      </w:pPr>
      <w:bookmarkStart w:id="17" w:name="_Toc481485209"/>
      <w:bookmarkStart w:id="18" w:name="_Toc509831820"/>
      <w:r>
        <w:rPr>
          <w:rFonts w:ascii="Calibri" w:hAnsi="Calibri"/>
          <w:color w:val="7FA3CF"/>
        </w:rPr>
        <w:t>Equity Gap 1</w:t>
      </w:r>
      <w:r w:rsidRPr="0099796D">
        <w:rPr>
          <w:rFonts w:ascii="Calibri" w:hAnsi="Calibri"/>
          <w:color w:val="7FA3CF"/>
        </w:rPr>
        <w:t>: Educator Evaluation Summative Ratings</w:t>
      </w:r>
      <w:bookmarkEnd w:id="17"/>
      <w:bookmarkEnd w:id="18"/>
    </w:p>
    <w:p w:rsidR="007C32FE" w:rsidRDefault="007C32FE" w:rsidP="007C32FE">
      <w:pPr>
        <w:rPr>
          <w:rFonts w:ascii="Calibri" w:hAnsi="Calibri"/>
          <w:sz w:val="22"/>
          <w:szCs w:val="22"/>
        </w:rPr>
      </w:pPr>
      <w:r>
        <w:rPr>
          <w:rFonts w:ascii="Calibri" w:hAnsi="Calibri"/>
          <w:sz w:val="22"/>
          <w:szCs w:val="22"/>
        </w:rPr>
        <w:t xml:space="preserve">The Massachusetts Educator Evaluation Framework has four ratings: Exemplary, Proficient, Needs Improvement, and Unsatisfactory. In 2017, </w:t>
      </w:r>
      <w:r w:rsidRPr="004B676B">
        <w:rPr>
          <w:rFonts w:ascii="Calibri" w:hAnsi="Calibri"/>
          <w:color w:val="000000" w:themeColor="text1"/>
          <w:sz w:val="22"/>
          <w:szCs w:val="22"/>
        </w:rPr>
        <w:t>most teachers (84.2</w:t>
      </w:r>
      <w:r>
        <w:rPr>
          <w:rFonts w:ascii="Calibri" w:hAnsi="Calibri"/>
          <w:color w:val="000000" w:themeColor="text1"/>
          <w:sz w:val="22"/>
          <w:szCs w:val="22"/>
        </w:rPr>
        <w:t xml:space="preserve"> percent</w:t>
      </w:r>
      <w:r w:rsidRPr="004B676B">
        <w:rPr>
          <w:rFonts w:ascii="Calibri" w:hAnsi="Calibri"/>
          <w:color w:val="000000" w:themeColor="text1"/>
          <w:sz w:val="22"/>
          <w:szCs w:val="22"/>
        </w:rPr>
        <w:t xml:space="preserve">) received summative ratings of Proficient. Exemplary ratings </w:t>
      </w:r>
      <w:r>
        <w:rPr>
          <w:rFonts w:ascii="Calibri" w:hAnsi="Calibri"/>
          <w:color w:val="000000" w:themeColor="text1"/>
          <w:sz w:val="22"/>
          <w:szCs w:val="22"/>
        </w:rPr>
        <w:t>rose from 10.7 percent in 2016 to</w:t>
      </w:r>
      <w:r w:rsidRPr="004B676B">
        <w:rPr>
          <w:rFonts w:ascii="Calibri" w:hAnsi="Calibri"/>
          <w:color w:val="000000" w:themeColor="text1"/>
          <w:sz w:val="22"/>
          <w:szCs w:val="22"/>
        </w:rPr>
        <w:t xml:space="preserve"> 11.8 percent, Needs Improvement </w:t>
      </w:r>
      <w:r>
        <w:rPr>
          <w:rFonts w:ascii="Calibri" w:hAnsi="Calibri"/>
          <w:color w:val="000000" w:themeColor="text1"/>
          <w:sz w:val="22"/>
          <w:szCs w:val="22"/>
        </w:rPr>
        <w:t xml:space="preserve">rose slightly </w:t>
      </w:r>
      <w:r w:rsidRPr="004B676B">
        <w:rPr>
          <w:rFonts w:ascii="Calibri" w:hAnsi="Calibri"/>
          <w:color w:val="000000" w:themeColor="text1"/>
          <w:sz w:val="22"/>
          <w:szCs w:val="22"/>
        </w:rPr>
        <w:t xml:space="preserve">to 3.6 percent, and Unsatisfactory </w:t>
      </w:r>
      <w:r>
        <w:rPr>
          <w:rFonts w:ascii="Calibri" w:hAnsi="Calibri"/>
          <w:color w:val="000000" w:themeColor="text1"/>
          <w:sz w:val="22"/>
          <w:szCs w:val="22"/>
        </w:rPr>
        <w:t xml:space="preserve">decreased slightly to </w:t>
      </w:r>
      <w:r w:rsidRPr="004B676B">
        <w:rPr>
          <w:rFonts w:ascii="Calibri" w:hAnsi="Calibri"/>
          <w:color w:val="000000" w:themeColor="text1"/>
          <w:sz w:val="22"/>
          <w:szCs w:val="22"/>
        </w:rPr>
        <w:t>0.3</w:t>
      </w:r>
      <w:r w:rsidRPr="004B676B">
        <w:rPr>
          <w:rFonts w:ascii="Calibri" w:hAnsi="Calibri"/>
          <w:b/>
          <w:color w:val="000000" w:themeColor="text1"/>
          <w:sz w:val="22"/>
          <w:szCs w:val="22"/>
        </w:rPr>
        <w:t xml:space="preserve"> </w:t>
      </w:r>
      <w:r>
        <w:rPr>
          <w:rFonts w:ascii="Calibri" w:hAnsi="Calibri"/>
          <w:sz w:val="22"/>
          <w:szCs w:val="22"/>
        </w:rPr>
        <w:t xml:space="preserve">percent. </w:t>
      </w:r>
    </w:p>
    <w:tbl>
      <w:tblPr>
        <w:tblStyle w:val="TableGrid"/>
        <w:tblpPr w:leftFromText="180" w:rightFromText="180" w:vertAnchor="text" w:horzAnchor="margin" w:tblpY="181"/>
        <w:tblW w:w="0" w:type="auto"/>
        <w:tblLook w:val="04A0" w:firstRow="1" w:lastRow="0" w:firstColumn="1" w:lastColumn="0" w:noHBand="0" w:noVBand="1"/>
        <w:tblDescription w:val="On average, Massachusetts students assigned to teachers rated Exemplary gain about 18 to 24 additional weeks of learning in a year, compared to students assigned to teachers rated Unsatisfactory.  Even the difference between students assigned to Exemplary teachers and those assigned to Proficient teachers is still substantial, representing about nine to ten additional weeks of learning.   "/>
      </w:tblPr>
      <w:tblGrid>
        <w:gridCol w:w="9330"/>
      </w:tblGrid>
      <w:tr w:rsidR="007C32FE" w:rsidRPr="003C2F46" w:rsidTr="00D70325">
        <w:trPr>
          <w:trHeight w:val="1013"/>
          <w:tblHeader/>
        </w:trPr>
        <w:tc>
          <w:tcPr>
            <w:tcW w:w="9490"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7C32FE" w:rsidRPr="003C4B1D" w:rsidRDefault="007C32FE" w:rsidP="003A7BC6">
            <w:pPr>
              <w:rPr>
                <w:rFonts w:ascii="Calibri" w:hAnsi="Calibri"/>
                <w:i/>
              </w:rPr>
            </w:pPr>
            <w:r w:rsidRPr="003C4B1D">
              <w:rPr>
                <w:rFonts w:ascii="Calibri" w:hAnsi="Calibri"/>
                <w:i/>
              </w:rPr>
              <w:t xml:space="preserve">On average, Massachusetts students assigned to teachers rated Exemplary gain about </w:t>
            </w:r>
            <w:r w:rsidRPr="003C4B1D">
              <w:rPr>
                <w:rFonts w:ascii="Calibri" w:hAnsi="Calibri"/>
                <w:b/>
                <w:i/>
              </w:rPr>
              <w:t xml:space="preserve">18 to 24 additional weeks of learning </w:t>
            </w:r>
            <w:r w:rsidRPr="003C4B1D">
              <w:rPr>
                <w:rFonts w:ascii="Calibri" w:hAnsi="Calibri"/>
                <w:i/>
              </w:rPr>
              <w:t xml:space="preserve">in a year, compared to students assigned to teachers rated Unsatisfactory.  Even the difference between students assigned to Exemplary teachers and those assigned to Proficient teachers is still substantial, representing about </w:t>
            </w:r>
            <w:r w:rsidRPr="003C4B1D">
              <w:rPr>
                <w:rFonts w:ascii="Calibri" w:hAnsi="Calibri"/>
                <w:b/>
                <w:i/>
              </w:rPr>
              <w:t>nine to ten additional weeks of learning</w:t>
            </w:r>
            <w:r w:rsidRPr="003C4B1D">
              <w:rPr>
                <w:rFonts w:ascii="Calibri" w:hAnsi="Calibri"/>
                <w:i/>
              </w:rPr>
              <w:t>.</w:t>
            </w:r>
            <w:r w:rsidRPr="003C4B1D">
              <w:rPr>
                <w:rStyle w:val="EndnoteReference"/>
                <w:rFonts w:ascii="Calibri" w:hAnsi="Calibri"/>
                <w:i/>
              </w:rPr>
              <w:t xml:space="preserve"> </w:t>
            </w:r>
            <w:r w:rsidRPr="003C4B1D">
              <w:rPr>
                <w:rStyle w:val="EndnoteReference"/>
                <w:rFonts w:ascii="Calibri" w:hAnsi="Calibri"/>
                <w:i/>
              </w:rPr>
              <w:endnoteReference w:id="2"/>
            </w:r>
            <w:r w:rsidRPr="003C4B1D">
              <w:rPr>
                <w:rFonts w:ascii="Calibri" w:hAnsi="Calibri"/>
                <w:i/>
              </w:rPr>
              <w:t xml:space="preserve"> </w:t>
            </w:r>
          </w:p>
        </w:tc>
      </w:tr>
    </w:tbl>
    <w:p w:rsidR="007C32FE" w:rsidRDefault="007C32FE" w:rsidP="007C32FE">
      <w:pPr>
        <w:rPr>
          <w:rFonts w:asciiTheme="minorHAnsi" w:hAnsiTheme="minorHAnsi"/>
          <w:sz w:val="22"/>
          <w:szCs w:val="22"/>
        </w:rPr>
        <w:sectPr w:rsidR="007C32FE" w:rsidSect="00423AFF">
          <w:footerReference w:type="default" r:id="rId23"/>
          <w:footnotePr>
            <w:numFmt w:val="lowerRoman"/>
          </w:footnotePr>
          <w:endnotePr>
            <w:numFmt w:val="decimal"/>
          </w:endnotePr>
          <w:type w:val="continuous"/>
          <w:pgSz w:w="12240" w:h="15840" w:code="1"/>
          <w:pgMar w:top="1440" w:right="1440" w:bottom="1440" w:left="1440" w:header="720" w:footer="720" w:gutter="0"/>
          <w:cols w:space="180"/>
          <w:docGrid w:linePitch="360"/>
        </w:sectPr>
      </w:pPr>
    </w:p>
    <w:p w:rsidR="00DD2FFD" w:rsidRDefault="00DD2FFD" w:rsidP="007C32FE">
      <w:pPr>
        <w:rPr>
          <w:rFonts w:ascii="Calibri" w:hAnsi="Calibri"/>
          <w:sz w:val="22"/>
          <w:szCs w:val="22"/>
        </w:rPr>
      </w:pPr>
    </w:p>
    <w:p w:rsidR="007C32FE" w:rsidRDefault="007C32FE" w:rsidP="007C32FE">
      <w:pPr>
        <w:rPr>
          <w:rFonts w:ascii="Calibri" w:hAnsi="Calibri"/>
          <w:sz w:val="22"/>
          <w:szCs w:val="22"/>
        </w:rPr>
      </w:pPr>
      <w:r>
        <w:rPr>
          <w:rFonts w:ascii="Calibri" w:hAnsi="Calibri"/>
          <w:sz w:val="22"/>
          <w:szCs w:val="22"/>
        </w:rPr>
        <w:t>Massachusetts students face inequitable exposure to the benefits of learning from a higher</w:t>
      </w:r>
      <w:r w:rsidR="00EA212B">
        <w:rPr>
          <w:rFonts w:ascii="Calibri" w:hAnsi="Calibri"/>
          <w:sz w:val="22"/>
          <w:szCs w:val="22"/>
        </w:rPr>
        <w:t xml:space="preserve"> </w:t>
      </w:r>
      <w:r>
        <w:rPr>
          <w:rFonts w:ascii="Calibri" w:hAnsi="Calibri"/>
          <w:sz w:val="22"/>
          <w:szCs w:val="22"/>
        </w:rPr>
        <w:t>rated teacher, because:</w:t>
      </w:r>
    </w:p>
    <w:p w:rsidR="007C32FE" w:rsidRPr="00FB6947" w:rsidRDefault="007C32FE" w:rsidP="00FB6947">
      <w:pPr>
        <w:pStyle w:val="ListParagraph"/>
        <w:numPr>
          <w:ilvl w:val="0"/>
          <w:numId w:val="25"/>
        </w:numPr>
        <w:rPr>
          <w:rFonts w:ascii="Calibri" w:hAnsi="Calibri"/>
          <w:sz w:val="22"/>
          <w:szCs w:val="22"/>
        </w:rPr>
      </w:pPr>
      <w:r w:rsidRPr="004C76E9">
        <w:rPr>
          <w:rFonts w:ascii="Calibri" w:hAnsi="Calibri"/>
          <w:sz w:val="22"/>
          <w:szCs w:val="22"/>
        </w:rPr>
        <w:t>Students who are economically disadvantaged, students of color, or English learners are more than 1.7 times as likely to be assigned to a teacher rate</w:t>
      </w:r>
      <w:r>
        <w:rPr>
          <w:rFonts w:ascii="Calibri" w:hAnsi="Calibri"/>
          <w:sz w:val="22"/>
          <w:szCs w:val="22"/>
        </w:rPr>
        <w:t xml:space="preserve">d Needs Improvement/Unsatisfactory, </w:t>
      </w:r>
      <w:r w:rsidR="00100C8D">
        <w:rPr>
          <w:rFonts w:ascii="Calibri" w:hAnsi="Calibri"/>
          <w:sz w:val="22"/>
          <w:szCs w:val="22"/>
        </w:rPr>
        <w:t>compared to their peers (</w:t>
      </w:r>
      <w:hyperlink w:anchor="_Appendix_D:_Longitudinal" w:history="1">
        <w:r w:rsidR="00DD2FFD">
          <w:rPr>
            <w:rStyle w:val="Hyperlink"/>
            <w:rFonts w:ascii="Calibri" w:hAnsi="Calibri"/>
            <w:sz w:val="22"/>
            <w:szCs w:val="22"/>
          </w:rPr>
          <w:t>page 2</w:t>
        </w:r>
        <w:r w:rsidR="00F153F4">
          <w:rPr>
            <w:rStyle w:val="Hyperlink"/>
            <w:rFonts w:ascii="Calibri" w:hAnsi="Calibri"/>
            <w:sz w:val="22"/>
            <w:szCs w:val="22"/>
          </w:rPr>
          <w:t>0</w:t>
        </w:r>
        <w:r w:rsidRPr="00100C8D">
          <w:rPr>
            <w:rStyle w:val="Hyperlink"/>
            <w:rFonts w:ascii="Calibri" w:hAnsi="Calibri"/>
            <w:sz w:val="22"/>
            <w:szCs w:val="22"/>
          </w:rPr>
          <w:t>, Appendix D</w:t>
        </w:r>
      </w:hyperlink>
      <w:r w:rsidR="001D0E8F">
        <w:rPr>
          <w:rFonts w:ascii="Calibri" w:hAnsi="Calibri"/>
          <w:sz w:val="22"/>
          <w:szCs w:val="22"/>
        </w:rPr>
        <w:t>)</w:t>
      </w:r>
      <w:r w:rsidR="00FB6947">
        <w:rPr>
          <w:rFonts w:ascii="Calibri" w:hAnsi="Calibri"/>
          <w:sz w:val="22"/>
          <w:szCs w:val="22"/>
        </w:rPr>
        <w:t>; these students groups are also 1.6 times as likely to attend a school with a principal rated Needs Improvement/Unsatisfactory</w:t>
      </w:r>
      <w:r w:rsidR="00100C8D" w:rsidRPr="00FB6947">
        <w:rPr>
          <w:rFonts w:ascii="Calibri" w:hAnsi="Calibri"/>
          <w:color w:val="FF0000"/>
          <w:sz w:val="22"/>
          <w:szCs w:val="22"/>
        </w:rPr>
        <w:t xml:space="preserve"> </w:t>
      </w:r>
      <w:r w:rsidR="00100C8D" w:rsidRPr="00FB6947">
        <w:rPr>
          <w:rFonts w:ascii="Calibri" w:hAnsi="Calibri"/>
          <w:sz w:val="22"/>
          <w:szCs w:val="22"/>
        </w:rPr>
        <w:t>(</w:t>
      </w:r>
      <w:hyperlink w:anchor="_Appendix_D.2:_Principals" w:history="1">
        <w:r w:rsidR="00100C8D" w:rsidRPr="00FB6947">
          <w:rPr>
            <w:rStyle w:val="Hyperlink"/>
            <w:rFonts w:ascii="Calibri" w:hAnsi="Calibri"/>
            <w:sz w:val="22"/>
            <w:szCs w:val="22"/>
          </w:rPr>
          <w:t>page 2</w:t>
        </w:r>
        <w:r w:rsidR="00F153F4" w:rsidRPr="00FB6947">
          <w:rPr>
            <w:rStyle w:val="Hyperlink"/>
            <w:rFonts w:ascii="Calibri" w:hAnsi="Calibri"/>
            <w:sz w:val="22"/>
            <w:szCs w:val="22"/>
          </w:rPr>
          <w:t>3</w:t>
        </w:r>
        <w:r w:rsidRPr="00FB6947">
          <w:rPr>
            <w:rStyle w:val="Hyperlink"/>
            <w:rFonts w:ascii="Calibri" w:hAnsi="Calibri"/>
            <w:sz w:val="22"/>
            <w:szCs w:val="22"/>
          </w:rPr>
          <w:t xml:space="preserve">, Appendix </w:t>
        </w:r>
        <w:r w:rsidR="00100C8D" w:rsidRPr="00FB6947">
          <w:rPr>
            <w:rStyle w:val="Hyperlink"/>
            <w:rFonts w:ascii="Calibri" w:hAnsi="Calibri"/>
            <w:sz w:val="22"/>
            <w:szCs w:val="22"/>
          </w:rPr>
          <w:t>D.2</w:t>
        </w:r>
      </w:hyperlink>
      <w:r w:rsidRPr="00FB6947">
        <w:rPr>
          <w:rFonts w:ascii="Calibri" w:hAnsi="Calibri"/>
          <w:sz w:val="22"/>
          <w:szCs w:val="22"/>
        </w:rPr>
        <w:t>).</w:t>
      </w:r>
    </w:p>
    <w:p w:rsidR="007C32FE" w:rsidRDefault="00606294" w:rsidP="007C32FE">
      <w:pPr>
        <w:pStyle w:val="ListParagraph"/>
        <w:numPr>
          <w:ilvl w:val="0"/>
          <w:numId w:val="25"/>
        </w:numPr>
        <w:rPr>
          <w:rFonts w:ascii="Calibri" w:hAnsi="Calibri"/>
          <w:sz w:val="22"/>
          <w:szCs w:val="22"/>
        </w:rPr>
      </w:pPr>
      <w:r>
        <w:rPr>
          <w:rFonts w:ascii="Calibri" w:hAnsi="Calibri"/>
          <w:sz w:val="22"/>
          <w:szCs w:val="22"/>
        </w:rPr>
        <w:t xml:space="preserve">Hispanic or </w:t>
      </w:r>
      <w:r w:rsidR="007C32FE">
        <w:rPr>
          <w:rFonts w:ascii="Calibri" w:hAnsi="Calibri"/>
          <w:sz w:val="22"/>
          <w:szCs w:val="22"/>
        </w:rPr>
        <w:t>Latino students are 2.2 times as likely to be assigned to a teacher rated Ne</w:t>
      </w:r>
      <w:r w:rsidR="00100C8D">
        <w:rPr>
          <w:rFonts w:ascii="Calibri" w:hAnsi="Calibri"/>
          <w:sz w:val="22"/>
          <w:szCs w:val="22"/>
        </w:rPr>
        <w:t xml:space="preserve">eds Improvement/Unsatisfactory, </w:t>
      </w:r>
      <w:r w:rsidR="007C32FE">
        <w:rPr>
          <w:rFonts w:ascii="Calibri" w:hAnsi="Calibri"/>
          <w:sz w:val="22"/>
          <w:szCs w:val="22"/>
        </w:rPr>
        <w:t>compared to white students.</w:t>
      </w:r>
    </w:p>
    <w:p w:rsidR="007C32FE" w:rsidRPr="00E03C99" w:rsidRDefault="007C32FE" w:rsidP="007C32FE">
      <w:pPr>
        <w:pStyle w:val="ListParagraph"/>
        <w:numPr>
          <w:ilvl w:val="0"/>
          <w:numId w:val="25"/>
        </w:numPr>
        <w:rPr>
          <w:rFonts w:ascii="Calibri" w:hAnsi="Calibri"/>
          <w:sz w:val="22"/>
          <w:szCs w:val="22"/>
        </w:rPr>
      </w:pPr>
      <w:r w:rsidRPr="004C76E9">
        <w:rPr>
          <w:rFonts w:ascii="Calibri" w:hAnsi="Calibri"/>
          <w:sz w:val="22"/>
          <w:szCs w:val="22"/>
        </w:rPr>
        <w:t>Students with disabilities are 11</w:t>
      </w:r>
      <w:r>
        <w:rPr>
          <w:rFonts w:ascii="Calibri" w:hAnsi="Calibri"/>
          <w:sz w:val="22"/>
          <w:szCs w:val="22"/>
        </w:rPr>
        <w:t xml:space="preserve"> percent more likely to be assigned to </w:t>
      </w:r>
      <w:r w:rsidRPr="004C76E9">
        <w:rPr>
          <w:rFonts w:ascii="Calibri" w:hAnsi="Calibri"/>
          <w:sz w:val="22"/>
          <w:szCs w:val="22"/>
        </w:rPr>
        <w:t xml:space="preserve">teachers rated </w:t>
      </w:r>
      <w:r>
        <w:rPr>
          <w:rFonts w:ascii="Calibri" w:hAnsi="Calibri"/>
          <w:sz w:val="22"/>
          <w:szCs w:val="22"/>
        </w:rPr>
        <w:t>Needs Improvement/Unsatisfactory (</w:t>
      </w:r>
      <w:hyperlink w:anchor="_Appendix_D:_Longitudinal" w:history="1">
        <w:r w:rsidR="00100C8D" w:rsidRPr="00100C8D">
          <w:rPr>
            <w:rStyle w:val="Hyperlink"/>
            <w:rFonts w:ascii="Calibri" w:hAnsi="Calibri"/>
            <w:sz w:val="22"/>
            <w:szCs w:val="22"/>
          </w:rPr>
          <w:t>page 2</w:t>
        </w:r>
        <w:r w:rsidR="00F153F4">
          <w:rPr>
            <w:rStyle w:val="Hyperlink"/>
            <w:rFonts w:ascii="Calibri" w:hAnsi="Calibri"/>
            <w:sz w:val="22"/>
            <w:szCs w:val="22"/>
          </w:rPr>
          <w:t>0</w:t>
        </w:r>
        <w:r w:rsidR="00100C8D" w:rsidRPr="00100C8D">
          <w:rPr>
            <w:rStyle w:val="Hyperlink"/>
            <w:rFonts w:ascii="Calibri" w:hAnsi="Calibri"/>
            <w:sz w:val="22"/>
            <w:szCs w:val="22"/>
          </w:rPr>
          <w:t>, Appendix D</w:t>
        </w:r>
      </w:hyperlink>
      <w:r>
        <w:rPr>
          <w:rFonts w:ascii="Calibri" w:hAnsi="Calibri"/>
          <w:sz w:val="22"/>
          <w:szCs w:val="22"/>
        </w:rPr>
        <w:t>).</w:t>
      </w:r>
    </w:p>
    <w:p w:rsidR="007C32FE" w:rsidRDefault="007C32FE" w:rsidP="007C32FE">
      <w:pPr>
        <w:pStyle w:val="ListParagraph"/>
        <w:numPr>
          <w:ilvl w:val="0"/>
          <w:numId w:val="25"/>
        </w:numPr>
        <w:rPr>
          <w:rFonts w:ascii="Calibri" w:hAnsi="Calibri"/>
          <w:sz w:val="22"/>
          <w:szCs w:val="22"/>
        </w:rPr>
      </w:pPr>
      <w:r>
        <w:rPr>
          <w:rFonts w:ascii="Calibri" w:hAnsi="Calibri"/>
          <w:sz w:val="22"/>
          <w:szCs w:val="22"/>
        </w:rPr>
        <w:t>Schools with high proportions of students of color have more than three times as many teachers rated Needs Improvement/Unsatisfactory, compared to schools with low proportio</w:t>
      </w:r>
      <w:r w:rsidR="00100C8D">
        <w:rPr>
          <w:rFonts w:ascii="Calibri" w:hAnsi="Calibri"/>
          <w:sz w:val="22"/>
          <w:szCs w:val="22"/>
        </w:rPr>
        <w:t>ns of students of color (</w:t>
      </w:r>
      <w:hyperlink w:anchor="_Appendix_D.1,_cont’d.:" w:history="1">
        <w:r w:rsidR="00100C8D" w:rsidRPr="00100C8D">
          <w:rPr>
            <w:rStyle w:val="Hyperlink"/>
            <w:rFonts w:ascii="Calibri" w:hAnsi="Calibri"/>
            <w:sz w:val="22"/>
            <w:szCs w:val="22"/>
          </w:rPr>
          <w:t>page 2</w:t>
        </w:r>
        <w:r w:rsidR="00F153F4">
          <w:rPr>
            <w:rStyle w:val="Hyperlink"/>
            <w:rFonts w:ascii="Calibri" w:hAnsi="Calibri"/>
            <w:sz w:val="22"/>
            <w:szCs w:val="22"/>
          </w:rPr>
          <w:t>2</w:t>
        </w:r>
        <w:r w:rsidRPr="00100C8D">
          <w:rPr>
            <w:rStyle w:val="Hyperlink"/>
            <w:rFonts w:ascii="Calibri" w:hAnsi="Calibri"/>
            <w:sz w:val="22"/>
            <w:szCs w:val="22"/>
          </w:rPr>
          <w:t>, Appendix D</w:t>
        </w:r>
        <w:r w:rsidR="00100C8D" w:rsidRPr="00100C8D">
          <w:rPr>
            <w:rStyle w:val="Hyperlink"/>
            <w:rFonts w:ascii="Calibri" w:hAnsi="Calibri"/>
            <w:sz w:val="22"/>
            <w:szCs w:val="22"/>
          </w:rPr>
          <w:t>.1</w:t>
        </w:r>
      </w:hyperlink>
      <w:r>
        <w:rPr>
          <w:rFonts w:ascii="Calibri" w:hAnsi="Calibri"/>
          <w:sz w:val="22"/>
          <w:szCs w:val="22"/>
        </w:rPr>
        <w:t>).</w:t>
      </w:r>
    </w:p>
    <w:p w:rsidR="007C32FE" w:rsidRDefault="007C32FE" w:rsidP="007C32FE">
      <w:pPr>
        <w:rPr>
          <w:rFonts w:ascii="Calibri" w:hAnsi="Calibri"/>
          <w:sz w:val="22"/>
          <w:szCs w:val="22"/>
        </w:rPr>
      </w:pPr>
    </w:p>
    <w:p w:rsidR="007C32FE" w:rsidRDefault="007C32FE" w:rsidP="007C32FE">
      <w:pPr>
        <w:rPr>
          <w:rFonts w:asciiTheme="minorHAnsi" w:hAnsiTheme="minorHAnsi" w:cs="Courier New"/>
          <w:sz w:val="22"/>
          <w:szCs w:val="22"/>
        </w:rPr>
      </w:pPr>
      <w:r>
        <w:rPr>
          <w:rFonts w:ascii="Calibri" w:hAnsi="Calibri"/>
          <w:sz w:val="22"/>
          <w:szCs w:val="22"/>
        </w:rPr>
        <w:t>While students in historically disadvantaged subgroups were substantially more likely to be assigned to courses with lower rated teachers in 2016–17, the sizes of these gaps decreased since 2015–16 (</w:t>
      </w:r>
      <w:hyperlink w:anchor="_Appendix_D:_Longitudinal" w:history="1">
        <w:r w:rsidR="00AD52F2" w:rsidRPr="00100C8D">
          <w:rPr>
            <w:rStyle w:val="Hyperlink"/>
            <w:rFonts w:ascii="Calibri" w:hAnsi="Calibri"/>
            <w:sz w:val="22"/>
            <w:szCs w:val="22"/>
          </w:rPr>
          <w:t xml:space="preserve">page </w:t>
        </w:r>
        <w:r w:rsidR="00AD52F2" w:rsidRPr="00100C8D">
          <w:rPr>
            <w:rStyle w:val="Hyperlink"/>
            <w:rFonts w:ascii="Calibri" w:hAnsi="Calibri"/>
            <w:sz w:val="22"/>
            <w:szCs w:val="22"/>
          </w:rPr>
          <w:lastRenderedPageBreak/>
          <w:t>2</w:t>
        </w:r>
        <w:r w:rsidR="00F153F4">
          <w:rPr>
            <w:rStyle w:val="Hyperlink"/>
            <w:rFonts w:ascii="Calibri" w:hAnsi="Calibri"/>
            <w:sz w:val="22"/>
            <w:szCs w:val="22"/>
          </w:rPr>
          <w:t>0</w:t>
        </w:r>
        <w:r w:rsidR="00AD52F2" w:rsidRPr="00100C8D">
          <w:rPr>
            <w:rStyle w:val="Hyperlink"/>
            <w:rFonts w:ascii="Calibri" w:hAnsi="Calibri"/>
            <w:sz w:val="22"/>
            <w:szCs w:val="22"/>
          </w:rPr>
          <w:t>, Appendix D</w:t>
        </w:r>
      </w:hyperlink>
      <w:r>
        <w:rPr>
          <w:rFonts w:ascii="Calibri" w:hAnsi="Calibri"/>
          <w:sz w:val="22"/>
          <w:szCs w:val="22"/>
        </w:rPr>
        <w:t xml:space="preserve">). However, </w:t>
      </w:r>
      <w:r w:rsidR="00B633E0">
        <w:rPr>
          <w:rFonts w:asciiTheme="minorHAnsi" w:hAnsiTheme="minorHAnsi" w:cs="Courier New"/>
          <w:sz w:val="22"/>
          <w:szCs w:val="22"/>
        </w:rPr>
        <w:t>because these data are new, DESE cannot yet measure trends, but will look to do so in coming years.</w:t>
      </w:r>
      <w:r>
        <w:rPr>
          <w:rFonts w:asciiTheme="minorHAnsi" w:hAnsiTheme="minorHAnsi" w:cs="Courier New"/>
          <w:sz w:val="22"/>
          <w:szCs w:val="22"/>
        </w:rPr>
        <w:t xml:space="preserve"> In 2018, we will begin the work of assessing trend data and, with our stakeholders, setting goals and targets towards closing these gaps. </w:t>
      </w:r>
    </w:p>
    <w:p w:rsidR="004A4FF9" w:rsidRDefault="004A4FF9" w:rsidP="00253A5B">
      <w:pPr>
        <w:pStyle w:val="Heading2"/>
        <w:tabs>
          <w:tab w:val="left" w:pos="0"/>
          <w:tab w:val="left" w:pos="540"/>
        </w:tabs>
        <w:rPr>
          <w:rFonts w:ascii="Calibri" w:hAnsi="Calibri"/>
          <w:color w:val="7FA3CF"/>
        </w:rPr>
      </w:pPr>
      <w:bookmarkStart w:id="19" w:name="_Toc509831821"/>
      <w:r w:rsidRPr="004403B5">
        <w:rPr>
          <w:rFonts w:ascii="Calibri" w:hAnsi="Calibri"/>
          <w:color w:val="7FA3CF"/>
        </w:rPr>
        <w:t xml:space="preserve">Equity Gap </w:t>
      </w:r>
      <w:r w:rsidR="007C32FE">
        <w:rPr>
          <w:rFonts w:ascii="Calibri" w:hAnsi="Calibri"/>
          <w:color w:val="7FA3CF"/>
        </w:rPr>
        <w:t>2</w:t>
      </w:r>
      <w:r w:rsidRPr="004403B5">
        <w:rPr>
          <w:rFonts w:ascii="Calibri" w:hAnsi="Calibri"/>
          <w:color w:val="7FA3CF"/>
        </w:rPr>
        <w:t>: Educator Experience</w:t>
      </w:r>
      <w:bookmarkEnd w:id="16"/>
      <w:bookmarkEnd w:id="19"/>
    </w:p>
    <w:tbl>
      <w:tblPr>
        <w:tblStyle w:val="TableGrid"/>
        <w:tblpPr w:leftFromText="180" w:rightFromText="180" w:vertAnchor="text" w:horzAnchor="margin" w:tblpY="85"/>
        <w:tblW w:w="0" w:type="auto"/>
        <w:tblLook w:val="04A0" w:firstRow="1" w:lastRow="0" w:firstColumn="1" w:lastColumn="0" w:noHBand="0" w:noVBand="1"/>
        <w:tblDescription w:val="On average, Massachusetts students of a third-year teacher achieve one additional month of math and ELA learning in a year, compared to students of a first-year teacher. "/>
      </w:tblPr>
      <w:tblGrid>
        <w:gridCol w:w="3531"/>
      </w:tblGrid>
      <w:tr w:rsidR="00E36914" w:rsidRPr="003C4B1D" w:rsidTr="00D70325">
        <w:trPr>
          <w:trHeight w:val="1914"/>
          <w:tblHeader/>
        </w:trPr>
        <w:tc>
          <w:tcPr>
            <w:tcW w:w="353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E36914" w:rsidRPr="003C4B1D" w:rsidRDefault="00E36914" w:rsidP="00E36914">
            <w:pPr>
              <w:rPr>
                <w:rFonts w:ascii="Calibri" w:hAnsi="Calibri"/>
                <w:i/>
              </w:rPr>
            </w:pPr>
            <w:r w:rsidRPr="003C4B1D">
              <w:rPr>
                <w:rFonts w:ascii="Calibri" w:hAnsi="Calibri"/>
                <w:i/>
              </w:rPr>
              <w:t>On average, Massachusetts students of a third</w:t>
            </w:r>
            <w:r w:rsidRPr="003C4B1D">
              <w:rPr>
                <w:rFonts w:ascii="Helvetica" w:eastAsia="Helvetica" w:hAnsi="Helvetica" w:cs="Helvetica"/>
                <w:i/>
              </w:rPr>
              <w:t>-</w:t>
            </w:r>
            <w:r w:rsidRPr="003C4B1D">
              <w:rPr>
                <w:rFonts w:ascii="Calibri" w:hAnsi="Calibri"/>
                <w:i/>
              </w:rPr>
              <w:t xml:space="preserve">year teacher achieve </w:t>
            </w:r>
            <w:r w:rsidRPr="00E36914">
              <w:rPr>
                <w:rFonts w:ascii="Calibri" w:hAnsi="Calibri"/>
                <w:b/>
                <w:i/>
              </w:rPr>
              <w:t>one additional month of math and ELA learning</w:t>
            </w:r>
            <w:r w:rsidRPr="003C4B1D">
              <w:rPr>
                <w:rFonts w:ascii="Calibri" w:hAnsi="Calibri"/>
                <w:i/>
              </w:rPr>
              <w:t xml:space="preserve"> in a year, compared to students of a first</w:t>
            </w:r>
            <w:r w:rsidRPr="00893A6F">
              <w:rPr>
                <w:rFonts w:ascii="Helvetica" w:eastAsia="Helvetica" w:hAnsi="Helvetica" w:cs="Helvetica"/>
                <w:i/>
              </w:rPr>
              <w:t>-</w:t>
            </w:r>
            <w:r w:rsidRPr="003C4B1D">
              <w:rPr>
                <w:rFonts w:ascii="Calibri" w:hAnsi="Calibri"/>
                <w:i/>
              </w:rPr>
              <w:t>year teacher.</w:t>
            </w:r>
            <w:r w:rsidRPr="003C4B1D">
              <w:rPr>
                <w:rStyle w:val="EndnoteReference"/>
                <w:rFonts w:ascii="Calibri" w:hAnsi="Calibri"/>
                <w:i/>
              </w:rPr>
              <w:endnoteReference w:id="3"/>
            </w:r>
          </w:p>
        </w:tc>
      </w:tr>
    </w:tbl>
    <w:p w:rsidR="00972C16" w:rsidRPr="00FA06E9" w:rsidRDefault="00972C16" w:rsidP="00972C16">
      <w:pPr>
        <w:rPr>
          <w:rFonts w:asciiTheme="minorHAnsi" w:hAnsiTheme="minorHAnsi"/>
          <w:sz w:val="22"/>
          <w:szCs w:val="22"/>
        </w:rPr>
      </w:pPr>
      <w:r>
        <w:rPr>
          <w:rFonts w:ascii="Calibri" w:hAnsi="Calibri"/>
          <w:sz w:val="22"/>
          <w:szCs w:val="22"/>
        </w:rPr>
        <w:t xml:space="preserve">In </w:t>
      </w:r>
      <w:r w:rsidRPr="003C2F46">
        <w:rPr>
          <w:rFonts w:asciiTheme="minorHAnsi" w:hAnsiTheme="minorHAnsi"/>
          <w:sz w:val="22"/>
          <w:szCs w:val="22"/>
        </w:rPr>
        <w:t>2016</w:t>
      </w:r>
      <w:r w:rsidRPr="003C2F46">
        <w:rPr>
          <w:rFonts w:asciiTheme="minorHAnsi" w:eastAsia="Helvetica" w:hAnsiTheme="minorHAnsi" w:cs="Helvetica"/>
          <w:sz w:val="22"/>
          <w:szCs w:val="22"/>
        </w:rPr>
        <w:t>–</w:t>
      </w:r>
      <w:r w:rsidRPr="003C2F46">
        <w:rPr>
          <w:rFonts w:asciiTheme="minorHAnsi" w:hAnsiTheme="minorHAnsi"/>
          <w:sz w:val="22"/>
          <w:szCs w:val="22"/>
        </w:rPr>
        <w:t>17, 10 percent of Massachusetts teachers were in their first year of practice, and 25 percent of teachers had fewer than three years of experience</w:t>
      </w:r>
      <w:r w:rsidR="00B633E0">
        <w:rPr>
          <w:rFonts w:asciiTheme="minorHAnsi" w:hAnsiTheme="minorHAnsi"/>
          <w:sz w:val="22"/>
          <w:szCs w:val="22"/>
        </w:rPr>
        <w:t>. Though some teachers may be very effective in their first years of teaching,</w:t>
      </w:r>
      <w:r w:rsidR="004A4FF9" w:rsidRPr="00FA06E9">
        <w:rPr>
          <w:rFonts w:asciiTheme="minorHAnsi" w:hAnsiTheme="minorHAnsi"/>
          <w:sz w:val="22"/>
          <w:szCs w:val="22"/>
        </w:rPr>
        <w:t xml:space="preserve"> national</w:t>
      </w:r>
      <w:r w:rsidR="004A4FF9" w:rsidRPr="00FA06E9">
        <w:rPr>
          <w:rStyle w:val="EndnoteReference"/>
          <w:rFonts w:asciiTheme="minorHAnsi" w:hAnsiTheme="minorHAnsi"/>
          <w:sz w:val="22"/>
          <w:szCs w:val="22"/>
        </w:rPr>
        <w:endnoteReference w:id="4"/>
      </w:r>
      <w:r w:rsidR="004A4FF9" w:rsidRPr="00FA06E9">
        <w:rPr>
          <w:rFonts w:asciiTheme="minorHAnsi" w:hAnsiTheme="minorHAnsi"/>
          <w:sz w:val="22"/>
          <w:szCs w:val="22"/>
        </w:rPr>
        <w:t xml:space="preserve"> and Massachusetts</w:t>
      </w:r>
      <w:r w:rsidR="00441AF8" w:rsidRPr="00FA06E9">
        <w:rPr>
          <w:rFonts w:asciiTheme="minorHAnsi" w:eastAsia="Helvetica" w:hAnsiTheme="minorHAnsi" w:cs="Helvetica"/>
          <w:sz w:val="22"/>
          <w:szCs w:val="22"/>
        </w:rPr>
        <w:t>-</w:t>
      </w:r>
      <w:r w:rsidR="004A4FF9" w:rsidRPr="00FA06E9">
        <w:rPr>
          <w:rFonts w:asciiTheme="minorHAnsi" w:hAnsiTheme="minorHAnsi"/>
          <w:sz w:val="22"/>
          <w:szCs w:val="22"/>
        </w:rPr>
        <w:t>specific</w:t>
      </w:r>
      <w:r w:rsidR="004A4FF9" w:rsidRPr="00FA06E9">
        <w:rPr>
          <w:rStyle w:val="EndnoteReference"/>
          <w:rFonts w:asciiTheme="minorHAnsi" w:hAnsiTheme="minorHAnsi"/>
          <w:sz w:val="22"/>
          <w:szCs w:val="22"/>
        </w:rPr>
        <w:endnoteReference w:id="5"/>
      </w:r>
      <w:r w:rsidR="004A4FF9" w:rsidRPr="00FA06E9">
        <w:rPr>
          <w:rFonts w:asciiTheme="minorHAnsi" w:hAnsiTheme="minorHAnsi"/>
          <w:sz w:val="22"/>
          <w:szCs w:val="22"/>
        </w:rPr>
        <w:t xml:space="preserve"> research tends to indicate that on average, inexperienced teachers are less effective than their colleagues.</w:t>
      </w:r>
    </w:p>
    <w:p w:rsidR="00972C16" w:rsidRDefault="00972C16" w:rsidP="00253A5B">
      <w:pPr>
        <w:tabs>
          <w:tab w:val="left" w:pos="0"/>
          <w:tab w:val="left" w:pos="540"/>
        </w:tabs>
        <w:rPr>
          <w:rFonts w:asciiTheme="minorHAnsi" w:hAnsiTheme="minorHAnsi"/>
          <w:sz w:val="22"/>
          <w:szCs w:val="22"/>
        </w:rPr>
      </w:pPr>
    </w:p>
    <w:p w:rsidR="00972C16" w:rsidRDefault="00972C16" w:rsidP="00253A5B">
      <w:pPr>
        <w:tabs>
          <w:tab w:val="left" w:pos="0"/>
          <w:tab w:val="left" w:pos="540"/>
        </w:tabs>
        <w:rPr>
          <w:rFonts w:asciiTheme="minorHAnsi" w:hAnsiTheme="minorHAnsi"/>
          <w:sz w:val="22"/>
          <w:szCs w:val="22"/>
        </w:rPr>
      </w:pPr>
      <w:r>
        <w:rPr>
          <w:rFonts w:asciiTheme="minorHAnsi" w:hAnsiTheme="minorHAnsi"/>
          <w:sz w:val="22"/>
          <w:szCs w:val="22"/>
        </w:rPr>
        <w:t>This trend has implications for disparities in students’ educational experiences:</w:t>
      </w:r>
    </w:p>
    <w:p w:rsidR="00972C16" w:rsidRDefault="00972C16" w:rsidP="00972C16">
      <w:pPr>
        <w:pStyle w:val="ListParagraph"/>
        <w:numPr>
          <w:ilvl w:val="0"/>
          <w:numId w:val="25"/>
        </w:numPr>
        <w:tabs>
          <w:tab w:val="left" w:pos="0"/>
          <w:tab w:val="left" w:pos="540"/>
        </w:tabs>
        <w:rPr>
          <w:rFonts w:asciiTheme="minorHAnsi" w:hAnsiTheme="minorHAnsi"/>
          <w:sz w:val="22"/>
          <w:szCs w:val="22"/>
        </w:rPr>
      </w:pPr>
      <w:r>
        <w:rPr>
          <w:rFonts w:asciiTheme="minorHAnsi" w:hAnsiTheme="minorHAnsi"/>
          <w:sz w:val="22"/>
          <w:szCs w:val="22"/>
        </w:rPr>
        <w:t xml:space="preserve">Economically disadvantaged students, students of color, and English learners (ELs) are disproportionately assigned </w:t>
      </w:r>
      <w:r w:rsidR="00893A6F">
        <w:rPr>
          <w:rFonts w:asciiTheme="minorHAnsi" w:hAnsiTheme="minorHAnsi"/>
          <w:sz w:val="22"/>
          <w:szCs w:val="22"/>
        </w:rPr>
        <w:t xml:space="preserve">to an </w:t>
      </w:r>
      <w:r>
        <w:rPr>
          <w:rFonts w:asciiTheme="minorHAnsi" w:hAnsiTheme="minorHAnsi"/>
          <w:sz w:val="22"/>
          <w:szCs w:val="22"/>
        </w:rPr>
        <w:t xml:space="preserve"> inexperienced teacher</w:t>
      </w:r>
      <w:r w:rsidR="00B633E0">
        <w:rPr>
          <w:rFonts w:asciiTheme="minorHAnsi" w:hAnsiTheme="minorHAnsi"/>
          <w:sz w:val="22"/>
          <w:szCs w:val="22"/>
        </w:rPr>
        <w:t xml:space="preserve"> (those with fewer than three years’ experience)</w:t>
      </w:r>
      <w:r w:rsidR="000751EE">
        <w:rPr>
          <w:rFonts w:asciiTheme="minorHAnsi" w:hAnsiTheme="minorHAnsi"/>
          <w:sz w:val="22"/>
          <w:szCs w:val="22"/>
        </w:rPr>
        <w:t xml:space="preserve"> compared to their peers</w:t>
      </w:r>
      <w:r w:rsidR="0097585E">
        <w:rPr>
          <w:rFonts w:asciiTheme="minorHAnsi" w:hAnsiTheme="minorHAnsi"/>
          <w:sz w:val="22"/>
          <w:szCs w:val="22"/>
        </w:rPr>
        <w:t>—</w:t>
      </w:r>
      <w:r w:rsidR="00954F5E">
        <w:rPr>
          <w:rFonts w:asciiTheme="minorHAnsi" w:hAnsiTheme="minorHAnsi"/>
          <w:sz w:val="22"/>
          <w:szCs w:val="22"/>
        </w:rPr>
        <w:t xml:space="preserve">29 percent, 43 percent, and 39 percent more </w:t>
      </w:r>
      <w:r w:rsidR="000751EE">
        <w:rPr>
          <w:rFonts w:asciiTheme="minorHAnsi" w:hAnsiTheme="minorHAnsi"/>
          <w:sz w:val="22"/>
          <w:szCs w:val="22"/>
        </w:rPr>
        <w:t>often</w:t>
      </w:r>
      <w:r w:rsidR="00954F5E">
        <w:rPr>
          <w:rFonts w:asciiTheme="minorHAnsi" w:hAnsiTheme="minorHAnsi"/>
          <w:sz w:val="22"/>
          <w:szCs w:val="22"/>
        </w:rPr>
        <w:t>, respectively</w:t>
      </w:r>
      <w:r>
        <w:rPr>
          <w:rFonts w:asciiTheme="minorHAnsi" w:hAnsiTheme="minorHAnsi"/>
          <w:sz w:val="22"/>
          <w:szCs w:val="22"/>
        </w:rPr>
        <w:t xml:space="preserve"> (</w:t>
      </w:r>
      <w:hyperlink w:anchor="_Appendix_D:_Longitudinal" w:history="1">
        <w:r w:rsidR="005A74C4" w:rsidRPr="00100C8D">
          <w:rPr>
            <w:rStyle w:val="Hyperlink"/>
            <w:rFonts w:ascii="Calibri" w:hAnsi="Calibri"/>
            <w:sz w:val="22"/>
            <w:szCs w:val="22"/>
          </w:rPr>
          <w:t>page 2</w:t>
        </w:r>
        <w:r w:rsidR="0055367B">
          <w:rPr>
            <w:rStyle w:val="Hyperlink"/>
            <w:rFonts w:ascii="Calibri" w:hAnsi="Calibri"/>
            <w:sz w:val="22"/>
            <w:szCs w:val="22"/>
          </w:rPr>
          <w:t>0</w:t>
        </w:r>
        <w:r w:rsidR="005A74C4" w:rsidRPr="00100C8D">
          <w:rPr>
            <w:rStyle w:val="Hyperlink"/>
            <w:rFonts w:ascii="Calibri" w:hAnsi="Calibri"/>
            <w:sz w:val="22"/>
            <w:szCs w:val="22"/>
          </w:rPr>
          <w:t>, Appendix D</w:t>
        </w:r>
      </w:hyperlink>
      <w:r>
        <w:rPr>
          <w:rFonts w:asciiTheme="minorHAnsi" w:hAnsiTheme="minorHAnsi"/>
          <w:sz w:val="22"/>
          <w:szCs w:val="22"/>
        </w:rPr>
        <w:t>)</w:t>
      </w:r>
      <w:r w:rsidR="004F135F">
        <w:rPr>
          <w:rFonts w:asciiTheme="minorHAnsi" w:hAnsiTheme="minorHAnsi"/>
          <w:sz w:val="22"/>
          <w:szCs w:val="22"/>
        </w:rPr>
        <w:t>.</w:t>
      </w:r>
    </w:p>
    <w:p w:rsidR="00972C16" w:rsidRDefault="00606294" w:rsidP="00972C16">
      <w:pPr>
        <w:pStyle w:val="ListParagraph"/>
        <w:numPr>
          <w:ilvl w:val="0"/>
          <w:numId w:val="25"/>
        </w:numPr>
        <w:tabs>
          <w:tab w:val="left" w:pos="0"/>
          <w:tab w:val="left" w:pos="540"/>
        </w:tabs>
        <w:rPr>
          <w:rFonts w:asciiTheme="minorHAnsi" w:hAnsiTheme="minorHAnsi"/>
          <w:sz w:val="22"/>
          <w:szCs w:val="22"/>
        </w:rPr>
      </w:pPr>
      <w:r>
        <w:rPr>
          <w:rFonts w:asciiTheme="minorHAnsi" w:hAnsiTheme="minorHAnsi"/>
          <w:sz w:val="22"/>
          <w:szCs w:val="22"/>
        </w:rPr>
        <w:t xml:space="preserve">Hispanic or </w:t>
      </w:r>
      <w:r w:rsidR="00E12115">
        <w:rPr>
          <w:rFonts w:asciiTheme="minorHAnsi" w:hAnsiTheme="minorHAnsi"/>
          <w:sz w:val="22"/>
          <w:szCs w:val="22"/>
        </w:rPr>
        <w:t>Latino students are 58 percent more likely than white students to be assigned to an inexperienced teacher</w:t>
      </w:r>
      <w:r w:rsidR="004F135F">
        <w:rPr>
          <w:rFonts w:asciiTheme="minorHAnsi" w:hAnsiTheme="minorHAnsi"/>
          <w:sz w:val="22"/>
          <w:szCs w:val="22"/>
        </w:rPr>
        <w:t>.</w:t>
      </w:r>
    </w:p>
    <w:p w:rsidR="00E12115" w:rsidRPr="00972C16" w:rsidRDefault="00E12115" w:rsidP="00972C16">
      <w:pPr>
        <w:pStyle w:val="ListParagraph"/>
        <w:numPr>
          <w:ilvl w:val="0"/>
          <w:numId w:val="25"/>
        </w:numPr>
        <w:tabs>
          <w:tab w:val="left" w:pos="0"/>
          <w:tab w:val="left" w:pos="540"/>
        </w:tabs>
        <w:rPr>
          <w:rFonts w:asciiTheme="minorHAnsi" w:hAnsiTheme="minorHAnsi"/>
          <w:sz w:val="22"/>
          <w:szCs w:val="22"/>
        </w:rPr>
      </w:pPr>
      <w:r>
        <w:rPr>
          <w:rFonts w:asciiTheme="minorHAnsi" w:hAnsiTheme="minorHAnsi"/>
          <w:sz w:val="22"/>
          <w:szCs w:val="22"/>
        </w:rPr>
        <w:t>African American/black students are 47 percent more likely than white students to be assigned to an inexperienced teacher</w:t>
      </w:r>
      <w:r w:rsidR="004F135F">
        <w:rPr>
          <w:rFonts w:asciiTheme="minorHAnsi" w:hAnsiTheme="minorHAnsi"/>
          <w:sz w:val="22"/>
          <w:szCs w:val="22"/>
        </w:rPr>
        <w:t>.</w:t>
      </w:r>
    </w:p>
    <w:p w:rsidR="0072314E" w:rsidRPr="0043202D" w:rsidRDefault="00821985" w:rsidP="0099796D">
      <w:pPr>
        <w:pStyle w:val="ListParagraph"/>
        <w:numPr>
          <w:ilvl w:val="0"/>
          <w:numId w:val="25"/>
        </w:numPr>
        <w:tabs>
          <w:tab w:val="left" w:pos="0"/>
          <w:tab w:val="left" w:pos="540"/>
        </w:tabs>
        <w:rPr>
          <w:rFonts w:asciiTheme="minorHAnsi" w:hAnsiTheme="minorHAnsi"/>
          <w:sz w:val="22"/>
          <w:szCs w:val="22"/>
        </w:rPr>
      </w:pPr>
      <w:r>
        <w:rPr>
          <w:rFonts w:asciiTheme="minorHAnsi" w:hAnsiTheme="minorHAnsi"/>
          <w:sz w:val="22"/>
          <w:szCs w:val="22"/>
        </w:rPr>
        <w:t xml:space="preserve">First-year </w:t>
      </w:r>
      <w:r w:rsidR="00972C16">
        <w:rPr>
          <w:rFonts w:asciiTheme="minorHAnsi" w:hAnsiTheme="minorHAnsi"/>
          <w:sz w:val="22"/>
          <w:szCs w:val="22"/>
        </w:rPr>
        <w:t>teachers—and principals—are more likely to work in lower performing schools</w:t>
      </w:r>
      <w:r w:rsidR="00972C16">
        <w:rPr>
          <w:rStyle w:val="EndnoteReference"/>
          <w:rFonts w:asciiTheme="minorHAnsi" w:hAnsiTheme="minorHAnsi"/>
          <w:sz w:val="22"/>
          <w:szCs w:val="22"/>
        </w:rPr>
        <w:endnoteReference w:id="6"/>
      </w:r>
      <w:r w:rsidR="00972C16">
        <w:rPr>
          <w:rFonts w:asciiTheme="minorHAnsi" w:hAnsiTheme="minorHAnsi"/>
          <w:sz w:val="22"/>
          <w:szCs w:val="22"/>
        </w:rPr>
        <w:t xml:space="preserve">  and in schools with large proportions of economically disadvantaged students and students of color</w:t>
      </w:r>
      <w:r w:rsidR="00C007C0">
        <w:rPr>
          <w:rFonts w:asciiTheme="minorHAnsi" w:hAnsiTheme="minorHAnsi"/>
          <w:sz w:val="22"/>
          <w:szCs w:val="22"/>
        </w:rPr>
        <w:t xml:space="preserve"> (</w:t>
      </w:r>
      <w:r w:rsidR="00DD2FFD">
        <w:rPr>
          <w:rFonts w:asciiTheme="minorHAnsi" w:hAnsiTheme="minorHAnsi"/>
          <w:sz w:val="22"/>
          <w:szCs w:val="22"/>
        </w:rPr>
        <w:t>page 2</w:t>
      </w:r>
      <w:r w:rsidR="0055367B">
        <w:rPr>
          <w:rFonts w:asciiTheme="minorHAnsi" w:hAnsiTheme="minorHAnsi"/>
          <w:sz w:val="22"/>
          <w:szCs w:val="22"/>
        </w:rPr>
        <w:t>4</w:t>
      </w:r>
      <w:r w:rsidR="00DD2FFD">
        <w:rPr>
          <w:rFonts w:asciiTheme="minorHAnsi" w:hAnsiTheme="minorHAnsi"/>
          <w:sz w:val="22"/>
          <w:szCs w:val="22"/>
        </w:rPr>
        <w:t>–2</w:t>
      </w:r>
      <w:r w:rsidR="0055367B">
        <w:rPr>
          <w:rFonts w:asciiTheme="minorHAnsi" w:hAnsiTheme="minorHAnsi"/>
          <w:sz w:val="22"/>
          <w:szCs w:val="22"/>
        </w:rPr>
        <w:t>5</w:t>
      </w:r>
      <w:r w:rsidR="0027050C">
        <w:rPr>
          <w:rFonts w:asciiTheme="minorHAnsi" w:hAnsiTheme="minorHAnsi"/>
          <w:sz w:val="22"/>
          <w:szCs w:val="22"/>
        </w:rPr>
        <w:t>,</w:t>
      </w:r>
      <w:r w:rsidR="00C007C0">
        <w:rPr>
          <w:rFonts w:asciiTheme="minorHAnsi" w:hAnsiTheme="minorHAnsi"/>
          <w:b/>
          <w:sz w:val="22"/>
          <w:szCs w:val="22"/>
        </w:rPr>
        <w:t xml:space="preserve"> </w:t>
      </w:r>
      <w:r w:rsidR="005A74C4">
        <w:rPr>
          <w:rFonts w:asciiTheme="minorHAnsi" w:hAnsiTheme="minorHAnsi"/>
          <w:sz w:val="22"/>
          <w:szCs w:val="22"/>
        </w:rPr>
        <w:t xml:space="preserve">Appendices </w:t>
      </w:r>
      <w:hyperlink w:anchor="_Appendix_D.3:_Inexperienced" w:history="1">
        <w:r w:rsidR="005A74C4" w:rsidRPr="005A74C4">
          <w:rPr>
            <w:rStyle w:val="Hyperlink"/>
            <w:rFonts w:asciiTheme="minorHAnsi" w:hAnsiTheme="minorHAnsi"/>
            <w:sz w:val="22"/>
            <w:szCs w:val="22"/>
          </w:rPr>
          <w:t>D.3</w:t>
        </w:r>
      </w:hyperlink>
      <w:r w:rsidR="005A74C4">
        <w:rPr>
          <w:rFonts w:asciiTheme="minorHAnsi" w:hAnsiTheme="minorHAnsi"/>
          <w:sz w:val="22"/>
          <w:szCs w:val="22"/>
        </w:rPr>
        <w:t xml:space="preserve"> and </w:t>
      </w:r>
      <w:hyperlink w:anchor="_Appendix_D.4:_Inexperienced" w:history="1">
        <w:r w:rsidR="005A74C4" w:rsidRPr="005A74C4">
          <w:rPr>
            <w:rStyle w:val="Hyperlink"/>
            <w:rFonts w:asciiTheme="minorHAnsi" w:hAnsiTheme="minorHAnsi"/>
            <w:sz w:val="22"/>
            <w:szCs w:val="22"/>
          </w:rPr>
          <w:t>D.4</w:t>
        </w:r>
      </w:hyperlink>
      <w:r w:rsidR="00C007C0">
        <w:rPr>
          <w:rFonts w:asciiTheme="minorHAnsi" w:hAnsiTheme="minorHAnsi"/>
          <w:sz w:val="22"/>
          <w:szCs w:val="22"/>
        </w:rPr>
        <w:t>)</w:t>
      </w:r>
      <w:bookmarkStart w:id="20" w:name="_Toc481485208"/>
      <w:r w:rsidR="004F135F">
        <w:rPr>
          <w:rFonts w:asciiTheme="minorHAnsi" w:hAnsiTheme="minorHAnsi"/>
          <w:sz w:val="22"/>
          <w:szCs w:val="22"/>
        </w:rPr>
        <w:t>.</w:t>
      </w:r>
    </w:p>
    <w:p w:rsidR="007C32FE" w:rsidRPr="0099796D" w:rsidRDefault="007C32FE" w:rsidP="007C32FE">
      <w:pPr>
        <w:pStyle w:val="Heading2"/>
        <w:tabs>
          <w:tab w:val="left" w:pos="0"/>
          <w:tab w:val="left" w:pos="540"/>
        </w:tabs>
        <w:rPr>
          <w:rFonts w:ascii="Calibri" w:hAnsi="Calibri"/>
          <w:color w:val="7FA3CF"/>
        </w:rPr>
      </w:pPr>
      <w:bookmarkStart w:id="21" w:name="_Equity_Gap_3:"/>
      <w:bookmarkStart w:id="22" w:name="_Toc509831822"/>
      <w:bookmarkEnd w:id="20"/>
      <w:bookmarkEnd w:id="21"/>
      <w:r>
        <w:rPr>
          <w:rFonts w:ascii="Calibri" w:hAnsi="Calibri"/>
          <w:color w:val="7FA3CF"/>
        </w:rPr>
        <w:t>Equity Gap 3</w:t>
      </w:r>
      <w:r w:rsidRPr="0099796D">
        <w:rPr>
          <w:rFonts w:ascii="Calibri" w:hAnsi="Calibri"/>
          <w:color w:val="7FA3CF"/>
        </w:rPr>
        <w:t>: Educator Qualifications</w:t>
      </w:r>
      <w:bookmarkEnd w:id="22"/>
    </w:p>
    <w:p w:rsidR="007C32FE" w:rsidRDefault="007C32FE" w:rsidP="007C32FE">
      <w:pPr>
        <w:rPr>
          <w:rFonts w:asciiTheme="minorHAnsi" w:hAnsiTheme="minorHAnsi"/>
          <w:sz w:val="22"/>
          <w:szCs w:val="22"/>
        </w:rPr>
      </w:pPr>
      <w:r>
        <w:rPr>
          <w:rFonts w:asciiTheme="minorHAnsi" w:hAnsiTheme="minorHAnsi"/>
          <w:sz w:val="22"/>
          <w:szCs w:val="22"/>
        </w:rPr>
        <w:t xml:space="preserve">The 2015 Massachusetts Equity Plan and 2017 </w:t>
      </w:r>
      <w:r w:rsidRPr="00167120">
        <w:rPr>
          <w:rFonts w:asciiTheme="minorHAnsi" w:hAnsiTheme="minorHAnsi"/>
          <w:sz w:val="22"/>
          <w:szCs w:val="22"/>
        </w:rPr>
        <w:t>Equity Update both provided statewide data on rates of access to out</w:t>
      </w:r>
      <w:r w:rsidRPr="00167120">
        <w:rPr>
          <w:rFonts w:asciiTheme="minorHAnsi" w:eastAsia="Helvetica" w:hAnsiTheme="minorHAnsi" w:cs="Helvetica"/>
          <w:sz w:val="22"/>
          <w:szCs w:val="22"/>
        </w:rPr>
        <w:t>-</w:t>
      </w:r>
      <w:r w:rsidRPr="00167120">
        <w:rPr>
          <w:rFonts w:asciiTheme="minorHAnsi" w:hAnsiTheme="minorHAnsi"/>
          <w:sz w:val="22"/>
          <w:szCs w:val="22"/>
        </w:rPr>
        <w:t>of</w:t>
      </w:r>
      <w:r w:rsidRPr="00167120">
        <w:rPr>
          <w:rFonts w:asciiTheme="minorHAnsi" w:eastAsia="Helvetica" w:hAnsiTheme="minorHAnsi" w:cs="Helvetica"/>
          <w:sz w:val="22"/>
          <w:szCs w:val="22"/>
        </w:rPr>
        <w:t>-</w:t>
      </w:r>
      <w:r w:rsidRPr="00167120">
        <w:rPr>
          <w:rFonts w:asciiTheme="minorHAnsi" w:hAnsiTheme="minorHAnsi"/>
          <w:sz w:val="22"/>
          <w:szCs w:val="22"/>
        </w:rPr>
        <w:t>field educators</w:t>
      </w:r>
      <w:r>
        <w:rPr>
          <w:rFonts w:asciiTheme="minorHAnsi" w:hAnsiTheme="minorHAnsi"/>
          <w:sz w:val="22"/>
          <w:szCs w:val="22"/>
        </w:rPr>
        <w:t xml:space="preserve"> using the nationally accepted definition of a “Highly Qualified”</w:t>
      </w:r>
      <w:r w:rsidRPr="0027050C">
        <w:rPr>
          <w:rStyle w:val="FootnoteReference"/>
          <w:rFonts w:asciiTheme="minorHAnsi" w:hAnsiTheme="minorHAnsi"/>
          <w:sz w:val="22"/>
          <w:szCs w:val="22"/>
        </w:rPr>
        <w:t xml:space="preserve"> </w:t>
      </w:r>
      <w:r>
        <w:rPr>
          <w:rStyle w:val="FootnoteReference"/>
          <w:rFonts w:asciiTheme="minorHAnsi" w:hAnsiTheme="minorHAnsi"/>
          <w:sz w:val="22"/>
          <w:szCs w:val="22"/>
        </w:rPr>
        <w:footnoteReference w:id="4"/>
      </w:r>
      <w:r>
        <w:rPr>
          <w:rFonts w:asciiTheme="minorHAnsi" w:hAnsiTheme="minorHAnsi"/>
          <w:sz w:val="22"/>
          <w:szCs w:val="22"/>
        </w:rPr>
        <w:t xml:space="preserve"> educator. However, t</w:t>
      </w:r>
      <w:r w:rsidRPr="00167120">
        <w:rPr>
          <w:rFonts w:asciiTheme="minorHAnsi" w:hAnsiTheme="minorHAnsi"/>
          <w:sz w:val="22"/>
          <w:szCs w:val="22"/>
        </w:rPr>
        <w:t>he federal E</w:t>
      </w:r>
      <w:r>
        <w:rPr>
          <w:rFonts w:asciiTheme="minorHAnsi" w:hAnsiTheme="minorHAnsi"/>
          <w:sz w:val="22"/>
          <w:szCs w:val="22"/>
        </w:rPr>
        <w:t>very Student Succeeds Act (ESSA) eliminated this term and definition, necessitating an alternative calculation for this category of equitable access reporting.</w:t>
      </w:r>
    </w:p>
    <w:p w:rsidR="007C32FE" w:rsidRDefault="007C32FE" w:rsidP="007C32FE">
      <w:pPr>
        <w:rPr>
          <w:rFonts w:asciiTheme="minorHAnsi" w:hAnsiTheme="minorHAnsi"/>
          <w:sz w:val="22"/>
          <w:szCs w:val="22"/>
        </w:rPr>
      </w:pPr>
    </w:p>
    <w:p w:rsidR="007C32FE" w:rsidRDefault="007C32FE" w:rsidP="00B949BC">
      <w:pPr>
        <w:rPr>
          <w:rFonts w:asciiTheme="minorHAnsi" w:hAnsiTheme="minorHAnsi"/>
          <w:sz w:val="22"/>
          <w:szCs w:val="22"/>
        </w:rPr>
      </w:pPr>
      <w:r>
        <w:rPr>
          <w:rFonts w:asciiTheme="minorHAnsi" w:hAnsiTheme="minorHAnsi"/>
          <w:sz w:val="22"/>
          <w:szCs w:val="22"/>
        </w:rPr>
        <w:t xml:space="preserve">As a result, DESE has been </w:t>
      </w:r>
      <w:r w:rsidRPr="00167120">
        <w:rPr>
          <w:rFonts w:asciiTheme="minorHAnsi" w:hAnsiTheme="minorHAnsi"/>
          <w:sz w:val="22"/>
          <w:szCs w:val="22"/>
        </w:rPr>
        <w:t>working with content</w:t>
      </w:r>
      <w:r w:rsidRPr="00167120">
        <w:rPr>
          <w:rFonts w:asciiTheme="minorHAnsi" w:eastAsia="Helvetica" w:hAnsiTheme="minorHAnsi" w:cs="Helvetica"/>
          <w:sz w:val="22"/>
          <w:szCs w:val="22"/>
        </w:rPr>
        <w:t>-</w:t>
      </w:r>
      <w:r w:rsidRPr="00167120">
        <w:rPr>
          <w:rFonts w:asciiTheme="minorHAnsi" w:hAnsiTheme="minorHAnsi"/>
          <w:sz w:val="22"/>
          <w:szCs w:val="22"/>
        </w:rPr>
        <w:t>area specialists and stakeholders to clearly map all existing teacher licenses to specific courses. This mapping will define future data on equitable access to courses taught by in</w:t>
      </w:r>
      <w:r w:rsidRPr="00167120">
        <w:rPr>
          <w:rFonts w:asciiTheme="minorHAnsi" w:eastAsia="Helvetica" w:hAnsiTheme="minorHAnsi" w:cs="Helvetica"/>
          <w:sz w:val="22"/>
          <w:szCs w:val="22"/>
        </w:rPr>
        <w:t>-</w:t>
      </w:r>
      <w:r w:rsidRPr="00167120">
        <w:rPr>
          <w:rFonts w:asciiTheme="minorHAnsi" w:hAnsiTheme="minorHAnsi"/>
          <w:sz w:val="22"/>
          <w:szCs w:val="22"/>
        </w:rPr>
        <w:t>field and out</w:t>
      </w:r>
      <w:r w:rsidRPr="00167120">
        <w:rPr>
          <w:rFonts w:asciiTheme="minorHAnsi" w:eastAsia="Helvetica" w:hAnsiTheme="minorHAnsi" w:cs="Helvetica"/>
          <w:sz w:val="22"/>
          <w:szCs w:val="22"/>
        </w:rPr>
        <w:t>-</w:t>
      </w:r>
      <w:r w:rsidRPr="00167120">
        <w:rPr>
          <w:rFonts w:asciiTheme="minorHAnsi" w:hAnsiTheme="minorHAnsi"/>
          <w:sz w:val="22"/>
          <w:szCs w:val="22"/>
        </w:rPr>
        <w:t>of</w:t>
      </w:r>
      <w:r w:rsidRPr="00167120">
        <w:rPr>
          <w:rFonts w:asciiTheme="minorHAnsi" w:eastAsia="Helvetica" w:hAnsiTheme="minorHAnsi" w:cs="Helvetica"/>
          <w:sz w:val="22"/>
          <w:szCs w:val="22"/>
        </w:rPr>
        <w:t>-</w:t>
      </w:r>
      <w:r w:rsidRPr="00167120">
        <w:rPr>
          <w:rFonts w:asciiTheme="minorHAnsi" w:hAnsiTheme="minorHAnsi"/>
          <w:sz w:val="22"/>
          <w:szCs w:val="22"/>
        </w:rPr>
        <w:t>field teachers</w:t>
      </w:r>
      <w:r>
        <w:rPr>
          <w:rFonts w:asciiTheme="minorHAnsi" w:hAnsiTheme="minorHAnsi"/>
          <w:sz w:val="22"/>
          <w:szCs w:val="22"/>
        </w:rPr>
        <w:t xml:space="preserve"> and is expected to be available for districts by July 2018.</w:t>
      </w:r>
      <w:r w:rsidR="00CA1FC7">
        <w:rPr>
          <w:rFonts w:asciiTheme="minorHAnsi" w:hAnsiTheme="minorHAnsi"/>
          <w:sz w:val="22"/>
          <w:szCs w:val="22"/>
        </w:rPr>
        <w:t xml:space="preserve"> </w:t>
      </w:r>
    </w:p>
    <w:p w:rsidR="0063542C" w:rsidRDefault="0063542C" w:rsidP="00B949BC">
      <w:pPr>
        <w:rPr>
          <w:rFonts w:asciiTheme="minorHAnsi" w:hAnsiTheme="minorHAnsi"/>
          <w:sz w:val="22"/>
          <w:szCs w:val="22"/>
        </w:rPr>
      </w:pPr>
    </w:p>
    <w:p w:rsidR="0063542C" w:rsidRDefault="0063542C" w:rsidP="00B949BC">
      <w:pPr>
        <w:rPr>
          <w:rFonts w:asciiTheme="minorHAnsi" w:hAnsiTheme="minorHAnsi"/>
          <w:sz w:val="22"/>
          <w:szCs w:val="22"/>
        </w:rPr>
      </w:pPr>
    </w:p>
    <w:p w:rsidR="0063542C" w:rsidRDefault="0063542C" w:rsidP="00B949BC">
      <w:pPr>
        <w:rPr>
          <w:rFonts w:asciiTheme="minorHAnsi" w:hAnsiTheme="minorHAnsi"/>
          <w:sz w:val="22"/>
          <w:szCs w:val="22"/>
        </w:rPr>
      </w:pPr>
    </w:p>
    <w:p w:rsidR="0063542C" w:rsidRPr="00AD52F2" w:rsidRDefault="0063542C" w:rsidP="00B949BC">
      <w:pPr>
        <w:rPr>
          <w:rFonts w:asciiTheme="minorHAnsi" w:hAnsiTheme="minorHAnsi"/>
          <w:sz w:val="22"/>
          <w:szCs w:val="22"/>
        </w:rPr>
      </w:pPr>
    </w:p>
    <w:bookmarkStart w:id="23" w:name="_Educator_retention_data"/>
    <w:bookmarkStart w:id="24" w:name="_Toc509831823"/>
    <w:bookmarkEnd w:id="23"/>
    <w:p w:rsidR="00B56462" w:rsidRPr="0072314E" w:rsidRDefault="0063542C" w:rsidP="0072314E">
      <w:pPr>
        <w:pStyle w:val="Heading1"/>
        <w:rPr>
          <w:rFonts w:ascii="Calibri" w:hAnsi="Calibri"/>
          <w:sz w:val="36"/>
          <w:szCs w:val="36"/>
        </w:rPr>
      </w:pPr>
      <w:r>
        <w:rPr>
          <w:rFonts w:ascii="Calibri" w:hAnsi="Calibri"/>
          <w:noProof/>
          <w:sz w:val="36"/>
          <w:szCs w:val="36"/>
          <w:lang w:eastAsia="zh-CN"/>
        </w:rPr>
        <w:lastRenderedPageBreak/>
        <mc:AlternateContent>
          <mc:Choice Requires="wps">
            <w:drawing>
              <wp:anchor distT="0" distB="0" distL="114300" distR="114300" simplePos="0" relativeHeight="251683840" behindDoc="0" locked="0" layoutInCell="1" allowOverlap="1" wp14:anchorId="52DD795C" wp14:editId="073D8B92">
                <wp:simplePos x="0" y="0"/>
                <wp:positionH relativeFrom="column">
                  <wp:posOffset>-314325</wp:posOffset>
                </wp:positionH>
                <wp:positionV relativeFrom="paragraph">
                  <wp:posOffset>-171450</wp:posOffset>
                </wp:positionV>
                <wp:extent cx="6457950" cy="8782050"/>
                <wp:effectExtent l="0" t="0" r="0" b="0"/>
                <wp:wrapNone/>
                <wp:docPr id="24" name="Rectangle 20" descr="Light 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8782050"/>
                        </a:xfrm>
                        <a:prstGeom prst="rect">
                          <a:avLst/>
                        </a:prstGeom>
                        <a:solidFill>
                          <a:srgbClr val="DBE5F1">
                            <a:alpha val="1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BE82C" id="Rectangle 20" o:spid="_x0000_s1026" alt="Light blue background" style="position:absolute;margin-left:-24.75pt;margin-top:-13.5pt;width:508.5pt;height:69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" fillcolor="#dbe5f1" stroked="f">
                <v:fill opacity="12336f"/>
              </v:rect>
            </w:pict>
          </mc:Fallback>
        </mc:AlternateContent>
      </w:r>
      <w:r w:rsidR="00CC4B0E" w:rsidRPr="003432ED">
        <w:rPr>
          <w:rFonts w:ascii="Calibri" w:hAnsi="Calibri"/>
          <w:sz w:val="36"/>
          <w:szCs w:val="36"/>
        </w:rPr>
        <w:t>Educator retention data</w:t>
      </w:r>
      <w:bookmarkEnd w:id="24"/>
    </w:p>
    <w:p w:rsidR="00B56462" w:rsidRDefault="00385FE1" w:rsidP="00531864">
      <w:pPr>
        <w:rPr>
          <w:rFonts w:ascii="Calibri" w:hAnsi="Calibri"/>
          <w:sz w:val="22"/>
          <w:szCs w:val="22"/>
        </w:rPr>
      </w:pPr>
      <w:r>
        <w:rPr>
          <w:rFonts w:ascii="Calibri" w:hAnsi="Calibri"/>
          <w:sz w:val="22"/>
          <w:szCs w:val="22"/>
        </w:rPr>
        <w:t>When effective teachers leave the school or district, new</w:t>
      </w:r>
      <w:r w:rsidR="00723B48">
        <w:rPr>
          <w:rFonts w:ascii="Calibri" w:hAnsi="Calibri"/>
          <w:sz w:val="22"/>
          <w:szCs w:val="22"/>
        </w:rPr>
        <w:t>er</w:t>
      </w:r>
      <w:r>
        <w:rPr>
          <w:rFonts w:ascii="Calibri" w:hAnsi="Calibri"/>
          <w:sz w:val="22"/>
          <w:szCs w:val="22"/>
        </w:rPr>
        <w:t xml:space="preserve"> or less effective teachers may take their place. </w:t>
      </w:r>
      <w:r w:rsidR="006B37FB">
        <w:rPr>
          <w:rFonts w:ascii="Calibri" w:hAnsi="Calibri"/>
          <w:sz w:val="22"/>
          <w:szCs w:val="22"/>
        </w:rPr>
        <w:t xml:space="preserve">DESE conducted additional analyses </w:t>
      </w:r>
      <w:r>
        <w:rPr>
          <w:rFonts w:ascii="Calibri" w:hAnsi="Calibri"/>
          <w:sz w:val="22"/>
          <w:szCs w:val="22"/>
        </w:rPr>
        <w:t xml:space="preserve">into </w:t>
      </w:r>
      <w:r w:rsidR="006B37FB">
        <w:rPr>
          <w:rFonts w:ascii="Calibri" w:hAnsi="Calibri"/>
          <w:sz w:val="22"/>
          <w:szCs w:val="22"/>
        </w:rPr>
        <w:t>the issue of retention</w:t>
      </w:r>
      <w:r w:rsidR="00D4487E">
        <w:rPr>
          <w:rFonts w:ascii="Calibri" w:hAnsi="Calibri"/>
          <w:sz w:val="22"/>
          <w:szCs w:val="22"/>
        </w:rPr>
        <w:t xml:space="preserve">, to better understand </w:t>
      </w:r>
      <w:r w:rsidR="006B37FB">
        <w:rPr>
          <w:rFonts w:ascii="Calibri" w:hAnsi="Calibri"/>
          <w:sz w:val="22"/>
          <w:szCs w:val="22"/>
        </w:rPr>
        <w:t xml:space="preserve">the following questions: </w:t>
      </w:r>
    </w:p>
    <w:p w:rsidR="00AD4E47" w:rsidRPr="00605BCD" w:rsidRDefault="00760F40" w:rsidP="00605BCD">
      <w:pPr>
        <w:pStyle w:val="ListParagraph"/>
        <w:numPr>
          <w:ilvl w:val="0"/>
          <w:numId w:val="25"/>
        </w:numPr>
        <w:rPr>
          <w:rFonts w:ascii="Calibri" w:hAnsi="Calibri"/>
          <w:sz w:val="22"/>
          <w:szCs w:val="22"/>
        </w:rPr>
      </w:pPr>
      <w:r>
        <w:rPr>
          <w:rFonts w:ascii="Calibri" w:hAnsi="Calibri"/>
          <w:sz w:val="22"/>
          <w:szCs w:val="22"/>
        </w:rPr>
        <w:t xml:space="preserve">Are educators rated Needs Improvement or Unsatisfactory leaving the profession at a higher rate than those rated Exemplary </w:t>
      </w:r>
      <w:r w:rsidR="00440B41">
        <w:rPr>
          <w:rFonts w:ascii="Calibri" w:hAnsi="Calibri"/>
          <w:sz w:val="22"/>
          <w:szCs w:val="22"/>
        </w:rPr>
        <w:t>or</w:t>
      </w:r>
      <w:r>
        <w:rPr>
          <w:rFonts w:ascii="Calibri" w:hAnsi="Calibri"/>
          <w:sz w:val="22"/>
          <w:szCs w:val="22"/>
        </w:rPr>
        <w:t xml:space="preserve"> Proficient—or are they just moving among schools?</w:t>
      </w:r>
    </w:p>
    <w:p w:rsidR="00AD4E47" w:rsidRPr="00605BCD" w:rsidRDefault="006B37FB" w:rsidP="00605BCD">
      <w:pPr>
        <w:pStyle w:val="ListParagraph"/>
        <w:numPr>
          <w:ilvl w:val="0"/>
          <w:numId w:val="25"/>
        </w:numPr>
        <w:rPr>
          <w:rFonts w:ascii="Calibri" w:hAnsi="Calibri"/>
          <w:sz w:val="22"/>
          <w:szCs w:val="22"/>
        </w:rPr>
      </w:pPr>
      <w:r w:rsidRPr="00760F40">
        <w:rPr>
          <w:rFonts w:ascii="Calibri" w:hAnsi="Calibri"/>
          <w:sz w:val="22"/>
          <w:szCs w:val="22"/>
        </w:rPr>
        <w:t xml:space="preserve">Are equity gaps exacerbated by low rates of </w:t>
      </w:r>
      <w:r w:rsidRPr="00605BCD">
        <w:rPr>
          <w:rFonts w:ascii="Calibri" w:hAnsi="Calibri"/>
          <w:sz w:val="22"/>
          <w:szCs w:val="22"/>
        </w:rPr>
        <w:t>retention in specific subject or program areas?</w:t>
      </w:r>
    </w:p>
    <w:p w:rsidR="00AD4E47" w:rsidRPr="00605BCD" w:rsidRDefault="006B37FB" w:rsidP="00605BCD">
      <w:pPr>
        <w:pStyle w:val="ListParagraph"/>
        <w:numPr>
          <w:ilvl w:val="0"/>
          <w:numId w:val="25"/>
        </w:numPr>
        <w:rPr>
          <w:rFonts w:ascii="Calibri" w:hAnsi="Calibri"/>
          <w:sz w:val="22"/>
          <w:szCs w:val="22"/>
        </w:rPr>
      </w:pPr>
      <w:r w:rsidRPr="00605BCD">
        <w:rPr>
          <w:rFonts w:ascii="Calibri" w:hAnsi="Calibri"/>
          <w:sz w:val="22"/>
          <w:szCs w:val="22"/>
        </w:rPr>
        <w:t xml:space="preserve">Are </w:t>
      </w:r>
      <w:r w:rsidR="00440B41">
        <w:rPr>
          <w:rFonts w:ascii="Calibri" w:hAnsi="Calibri"/>
          <w:sz w:val="22"/>
          <w:szCs w:val="22"/>
        </w:rPr>
        <w:t xml:space="preserve">schools retaining </w:t>
      </w:r>
      <w:r w:rsidRPr="00605BCD">
        <w:rPr>
          <w:rFonts w:ascii="Calibri" w:hAnsi="Calibri"/>
          <w:sz w:val="22"/>
          <w:szCs w:val="22"/>
        </w:rPr>
        <w:t>educators of color at lower rates than their white colleagues?</w:t>
      </w:r>
    </w:p>
    <w:p w:rsidR="00B56462" w:rsidRDefault="00B56462" w:rsidP="00531864">
      <w:pPr>
        <w:rPr>
          <w:rFonts w:ascii="Calibri" w:hAnsi="Calibri"/>
          <w:sz w:val="22"/>
          <w:szCs w:val="22"/>
        </w:rPr>
      </w:pPr>
    </w:p>
    <w:p w:rsidR="004A4FF9" w:rsidRPr="003432ED" w:rsidRDefault="0072314E" w:rsidP="00531864">
      <w:pPr>
        <w:rPr>
          <w:rFonts w:ascii="Calibri" w:hAnsi="Calibri"/>
          <w:sz w:val="22"/>
          <w:szCs w:val="22"/>
        </w:rPr>
      </w:pPr>
      <w:r>
        <w:rPr>
          <w:rFonts w:ascii="Calibri" w:hAnsi="Calibri"/>
          <w:sz w:val="22"/>
          <w:szCs w:val="22"/>
        </w:rPr>
        <w:t>H</w:t>
      </w:r>
      <w:r w:rsidRPr="003432ED">
        <w:rPr>
          <w:rFonts w:ascii="Calibri" w:hAnsi="Calibri"/>
          <w:sz w:val="22"/>
          <w:szCs w:val="22"/>
        </w:rPr>
        <w:t xml:space="preserve">igh </w:t>
      </w:r>
      <w:r w:rsidR="003F1DDF">
        <w:rPr>
          <w:rFonts w:ascii="Calibri" w:hAnsi="Calibri"/>
          <w:sz w:val="22"/>
          <w:szCs w:val="22"/>
        </w:rPr>
        <w:t xml:space="preserve">teacher </w:t>
      </w:r>
      <w:r w:rsidRPr="003432ED">
        <w:rPr>
          <w:rFonts w:ascii="Calibri" w:hAnsi="Calibri"/>
          <w:sz w:val="22"/>
          <w:szCs w:val="22"/>
        </w:rPr>
        <w:t>turnover has been found to negatively affect student outcomes</w:t>
      </w:r>
      <w:r w:rsidRPr="003432ED">
        <w:rPr>
          <w:rFonts w:ascii="Calibri" w:hAnsi="Calibri"/>
          <w:sz w:val="22"/>
          <w:szCs w:val="22"/>
          <w:vertAlign w:val="superscript"/>
        </w:rPr>
        <w:endnoteReference w:id="7"/>
      </w:r>
      <w:r w:rsidRPr="003432ED">
        <w:rPr>
          <w:rFonts w:ascii="Calibri" w:hAnsi="Calibri"/>
          <w:sz w:val="22"/>
          <w:szCs w:val="22"/>
          <w:vertAlign w:val="superscript"/>
        </w:rPr>
        <w:t xml:space="preserve"> </w:t>
      </w:r>
      <w:r w:rsidRPr="003432ED">
        <w:rPr>
          <w:rFonts w:ascii="Calibri" w:hAnsi="Calibri"/>
          <w:sz w:val="22"/>
          <w:szCs w:val="22"/>
        </w:rPr>
        <w:t xml:space="preserve"> </w:t>
      </w:r>
      <w:r w:rsidR="003F1DDF">
        <w:rPr>
          <w:rFonts w:ascii="Calibri" w:hAnsi="Calibri"/>
          <w:sz w:val="22"/>
          <w:szCs w:val="22"/>
        </w:rPr>
        <w:t xml:space="preserve">and, importantly, </w:t>
      </w:r>
      <w:r w:rsidRPr="003432ED">
        <w:rPr>
          <w:rFonts w:ascii="Calibri" w:hAnsi="Calibri"/>
          <w:sz w:val="22"/>
          <w:szCs w:val="22"/>
        </w:rPr>
        <w:t>is more frequent in low performing schools.</w:t>
      </w:r>
      <w:r w:rsidRPr="003432ED">
        <w:rPr>
          <w:rFonts w:ascii="Calibri" w:hAnsi="Calibri"/>
          <w:sz w:val="22"/>
          <w:szCs w:val="22"/>
          <w:vertAlign w:val="superscript"/>
        </w:rPr>
        <w:endnoteReference w:id="8"/>
      </w:r>
      <w:r w:rsidR="003F1DDF">
        <w:rPr>
          <w:rFonts w:ascii="Calibri" w:hAnsi="Calibri"/>
          <w:sz w:val="22"/>
          <w:szCs w:val="22"/>
        </w:rPr>
        <w:t xml:space="preserve"> Additionally, l</w:t>
      </w:r>
      <w:r w:rsidR="00D93674" w:rsidRPr="003432ED">
        <w:rPr>
          <w:rFonts w:ascii="Calibri" w:hAnsi="Calibri"/>
          <w:sz w:val="22"/>
          <w:szCs w:val="22"/>
        </w:rPr>
        <w:t>osing effective educators is</w:t>
      </w:r>
      <w:r w:rsidR="004A4FF9" w:rsidRPr="003432ED">
        <w:rPr>
          <w:rFonts w:ascii="Calibri" w:hAnsi="Calibri"/>
          <w:sz w:val="22"/>
          <w:szCs w:val="22"/>
        </w:rPr>
        <w:t xml:space="preserve"> costly for schools in terms of time, labor, and finances.</w:t>
      </w:r>
      <w:r w:rsidR="00D4487E" w:rsidRPr="00D4487E">
        <w:rPr>
          <w:rFonts w:ascii="Calibri" w:hAnsi="Calibri"/>
          <w:sz w:val="22"/>
          <w:szCs w:val="22"/>
          <w:vertAlign w:val="superscript"/>
        </w:rPr>
        <w:t xml:space="preserve"> </w:t>
      </w:r>
      <w:r w:rsidR="00D4487E" w:rsidRPr="003432ED">
        <w:rPr>
          <w:rFonts w:ascii="Calibri" w:hAnsi="Calibri"/>
          <w:sz w:val="22"/>
          <w:szCs w:val="22"/>
          <w:vertAlign w:val="superscript"/>
        </w:rPr>
        <w:endnoteReference w:id="9"/>
      </w:r>
      <w:r w:rsidR="004A4FF9" w:rsidRPr="003432ED">
        <w:rPr>
          <w:rFonts w:ascii="Calibri" w:hAnsi="Calibri"/>
          <w:sz w:val="22"/>
          <w:szCs w:val="22"/>
        </w:rPr>
        <w:t xml:space="preserve"> The school also loses the expertise the teacher has gained in district culture and procedures, and in familiarity with the students, staff, and families.</w:t>
      </w:r>
      <w:r w:rsidR="004A4FF9" w:rsidRPr="003432ED">
        <w:rPr>
          <w:rFonts w:ascii="Calibri" w:hAnsi="Calibri"/>
          <w:sz w:val="22"/>
          <w:szCs w:val="22"/>
          <w:vertAlign w:val="superscript"/>
        </w:rPr>
        <w:endnoteReference w:id="10"/>
      </w:r>
    </w:p>
    <w:p w:rsidR="003428BE" w:rsidRDefault="003428BE" w:rsidP="003428BE">
      <w:pPr>
        <w:rPr>
          <w:rFonts w:ascii="Calibri" w:hAnsi="Calibri"/>
          <w:sz w:val="22"/>
          <w:szCs w:val="22"/>
        </w:rPr>
      </w:pPr>
    </w:p>
    <w:p w:rsidR="003428BE" w:rsidRDefault="003428BE" w:rsidP="003428BE">
      <w:pPr>
        <w:rPr>
          <w:rFonts w:ascii="Calibri" w:hAnsi="Calibri"/>
          <w:sz w:val="22"/>
          <w:szCs w:val="22"/>
        </w:rPr>
      </w:pPr>
      <w:r>
        <w:rPr>
          <w:rFonts w:ascii="Calibri" w:hAnsi="Calibri"/>
          <w:sz w:val="22"/>
          <w:szCs w:val="22"/>
        </w:rPr>
        <w:t>Detailed findings related to these questions can be found below in the following sections</w:t>
      </w:r>
      <w:r w:rsidR="003F1DDF">
        <w:rPr>
          <w:rFonts w:ascii="Calibri" w:hAnsi="Calibri"/>
          <w:sz w:val="22"/>
          <w:szCs w:val="22"/>
        </w:rPr>
        <w:t>. Key findings include</w:t>
      </w:r>
      <w:r>
        <w:rPr>
          <w:rFonts w:ascii="Calibri" w:hAnsi="Calibri"/>
          <w:sz w:val="22"/>
          <w:szCs w:val="22"/>
        </w:rPr>
        <w:t xml:space="preserve">: </w:t>
      </w:r>
    </w:p>
    <w:p w:rsidR="003428BE" w:rsidRDefault="00760F40" w:rsidP="00605BCD">
      <w:pPr>
        <w:pStyle w:val="ListParagraph"/>
        <w:numPr>
          <w:ilvl w:val="0"/>
          <w:numId w:val="25"/>
        </w:numPr>
        <w:rPr>
          <w:rFonts w:ascii="Calibri" w:hAnsi="Calibri"/>
          <w:sz w:val="22"/>
          <w:szCs w:val="22"/>
        </w:rPr>
      </w:pPr>
      <w:r>
        <w:rPr>
          <w:rFonts w:ascii="Calibri" w:hAnsi="Calibri"/>
          <w:sz w:val="22"/>
          <w:szCs w:val="22"/>
        </w:rPr>
        <w:t>Teachers a</w:t>
      </w:r>
      <w:r w:rsidR="00280A94">
        <w:rPr>
          <w:rFonts w:ascii="Calibri" w:hAnsi="Calibri"/>
          <w:sz w:val="22"/>
          <w:szCs w:val="22"/>
        </w:rPr>
        <w:t>nd principals rated Exemplary or</w:t>
      </w:r>
      <w:r>
        <w:rPr>
          <w:rFonts w:ascii="Calibri" w:hAnsi="Calibri"/>
          <w:sz w:val="22"/>
          <w:szCs w:val="22"/>
        </w:rPr>
        <w:t xml:space="preserve"> Proficient are more likely to stay in the profession, and in the same school and district</w:t>
      </w:r>
      <w:r w:rsidR="00780C50">
        <w:rPr>
          <w:rFonts w:ascii="Calibri" w:hAnsi="Calibri"/>
          <w:sz w:val="22"/>
          <w:szCs w:val="22"/>
        </w:rPr>
        <w:t>.</w:t>
      </w:r>
    </w:p>
    <w:p w:rsidR="000F32FE" w:rsidRDefault="000F32FE" w:rsidP="00605BCD">
      <w:pPr>
        <w:pStyle w:val="ListParagraph"/>
        <w:numPr>
          <w:ilvl w:val="0"/>
          <w:numId w:val="25"/>
        </w:numPr>
        <w:rPr>
          <w:rFonts w:ascii="Calibri" w:hAnsi="Calibri"/>
          <w:sz w:val="22"/>
          <w:szCs w:val="22"/>
        </w:rPr>
      </w:pPr>
      <w:r>
        <w:rPr>
          <w:rFonts w:ascii="Calibri" w:hAnsi="Calibri"/>
          <w:sz w:val="22"/>
          <w:szCs w:val="22"/>
        </w:rPr>
        <w:t>Among English as a Second Language (ESL) teachers who return to Massachusetts public schools from one school year to the next, about 24 percent switch to a program area other than ESL. Sixteen percent of retained special education teachers also switch their program area.</w:t>
      </w:r>
    </w:p>
    <w:p w:rsidR="003428BE" w:rsidRPr="00280A94" w:rsidRDefault="00780C50" w:rsidP="00605BCD">
      <w:pPr>
        <w:pStyle w:val="ListParagraph"/>
        <w:numPr>
          <w:ilvl w:val="0"/>
          <w:numId w:val="25"/>
        </w:numPr>
        <w:rPr>
          <w:rFonts w:ascii="Calibri" w:hAnsi="Calibri"/>
          <w:sz w:val="22"/>
          <w:szCs w:val="22"/>
        </w:rPr>
      </w:pPr>
      <w:r>
        <w:rPr>
          <w:rFonts w:ascii="Calibri" w:hAnsi="Calibri"/>
          <w:sz w:val="22"/>
          <w:szCs w:val="22"/>
        </w:rPr>
        <w:t>White teachers are more likely to remain in the profession, and in the same school and district, compared to teachers of color.</w:t>
      </w:r>
    </w:p>
    <w:p w:rsidR="004A4FF9" w:rsidRPr="003432ED" w:rsidRDefault="004A4FF9" w:rsidP="00531864">
      <w:pPr>
        <w:pStyle w:val="Heading2"/>
        <w:rPr>
          <w:rFonts w:ascii="Calibri" w:hAnsi="Calibri"/>
        </w:rPr>
      </w:pPr>
      <w:bookmarkStart w:id="25" w:name="_Toc509831824"/>
      <w:r w:rsidRPr="003432ED">
        <w:rPr>
          <w:rFonts w:ascii="Calibri" w:hAnsi="Calibri"/>
        </w:rPr>
        <w:t>Educator retention by evaluation ratings</w:t>
      </w:r>
      <w:bookmarkEnd w:id="25"/>
    </w:p>
    <w:p w:rsidR="00E342E1" w:rsidRDefault="00E342E1" w:rsidP="00E342E1">
      <w:pPr>
        <w:rPr>
          <w:rFonts w:asciiTheme="minorHAnsi" w:hAnsiTheme="minorHAnsi"/>
          <w:sz w:val="22"/>
          <w:szCs w:val="22"/>
        </w:rPr>
      </w:pPr>
      <w:r w:rsidRPr="003432ED">
        <w:rPr>
          <w:rFonts w:asciiTheme="minorHAnsi" w:hAnsiTheme="minorHAnsi"/>
          <w:sz w:val="22"/>
          <w:szCs w:val="22"/>
        </w:rPr>
        <w:t xml:space="preserve">Consideration of educator retention rates must begin by acknowledging that efforts should focus on </w:t>
      </w:r>
      <w:r w:rsidR="00082635">
        <w:rPr>
          <w:rFonts w:asciiTheme="minorHAnsi" w:hAnsiTheme="minorHAnsi"/>
          <w:sz w:val="22"/>
          <w:szCs w:val="22"/>
        </w:rPr>
        <w:t xml:space="preserve">retaining </w:t>
      </w:r>
      <w:r w:rsidRPr="003432ED">
        <w:rPr>
          <w:rFonts w:asciiTheme="minorHAnsi" w:hAnsiTheme="minorHAnsi"/>
          <w:sz w:val="22"/>
          <w:szCs w:val="22"/>
        </w:rPr>
        <w:t xml:space="preserve">effective educators. </w:t>
      </w:r>
      <w:r w:rsidR="00440B41">
        <w:rPr>
          <w:rFonts w:asciiTheme="minorHAnsi" w:hAnsiTheme="minorHAnsi"/>
          <w:sz w:val="22"/>
          <w:szCs w:val="22"/>
        </w:rPr>
        <w:t>Schools and districts expect s</w:t>
      </w:r>
      <w:r w:rsidR="00440B41" w:rsidRPr="003432ED">
        <w:rPr>
          <w:rFonts w:asciiTheme="minorHAnsi" w:hAnsiTheme="minorHAnsi"/>
          <w:sz w:val="22"/>
          <w:szCs w:val="22"/>
        </w:rPr>
        <w:t xml:space="preserve">ome </w:t>
      </w:r>
      <w:r w:rsidRPr="003432ED">
        <w:rPr>
          <w:rFonts w:asciiTheme="minorHAnsi" w:hAnsiTheme="minorHAnsi"/>
          <w:sz w:val="22"/>
          <w:szCs w:val="22"/>
        </w:rPr>
        <w:t>attrition of educators from the profession. When developing strategies to improve retention, school and district leaders should prioritize educators who are effective and/or showing progress. Educator evaluation provides one measure of effectiveness, and the following data differentiates retention rates by summative evaluation ratings.</w:t>
      </w:r>
      <w:r w:rsidR="001C7B6C" w:rsidRPr="001C7B6C">
        <w:rPr>
          <w:rFonts w:asciiTheme="minorHAnsi" w:hAnsiTheme="minorHAnsi"/>
          <w:sz w:val="22"/>
          <w:szCs w:val="22"/>
        </w:rPr>
        <w:t xml:space="preserve"> </w:t>
      </w:r>
    </w:p>
    <w:p w:rsidR="00074508" w:rsidRDefault="00074508" w:rsidP="00E342E1">
      <w:pPr>
        <w:rPr>
          <w:rFonts w:asciiTheme="minorHAnsi" w:hAnsiTheme="minorHAnsi"/>
          <w:sz w:val="22"/>
          <w:szCs w:val="22"/>
        </w:rPr>
      </w:pPr>
    </w:p>
    <w:p w:rsidR="00074508" w:rsidRDefault="00074508" w:rsidP="00E342E1">
      <w:pPr>
        <w:rPr>
          <w:rFonts w:asciiTheme="minorHAnsi" w:hAnsiTheme="minorHAnsi"/>
          <w:sz w:val="22"/>
          <w:szCs w:val="22"/>
        </w:rPr>
      </w:pPr>
      <w:r>
        <w:rPr>
          <w:rFonts w:asciiTheme="minorHAnsi" w:hAnsiTheme="minorHAnsi"/>
          <w:noProof/>
          <w:sz w:val="22"/>
          <w:szCs w:val="22"/>
          <w:lang w:eastAsia="zh-CN"/>
        </w:rPr>
        <w:drawing>
          <wp:anchor distT="0" distB="0" distL="114300" distR="114300" simplePos="0" relativeHeight="251673600" behindDoc="0" locked="0" layoutInCell="1" allowOverlap="1" wp14:anchorId="1585A587" wp14:editId="432BDD1F">
            <wp:simplePos x="0" y="0"/>
            <wp:positionH relativeFrom="column">
              <wp:posOffset>200025</wp:posOffset>
            </wp:positionH>
            <wp:positionV relativeFrom="paragraph">
              <wp:posOffset>635</wp:posOffset>
            </wp:positionV>
            <wp:extent cx="5200650" cy="2019300"/>
            <wp:effectExtent l="19050" t="0" r="0" b="0"/>
            <wp:wrapNone/>
            <wp:docPr id="1" name="Picture 1" descr="Graph 1: Teacher retention by evaluation rating&#10;E/P teachers retained in school: 89.4%&#10;E/P teachers retained in district: 91.9%&#10;E/P teachers retained in state: 93.7%&#10;NI/U teachers retained in school: 63.8%&#10;NI/U teachers retained in districts: 63.8%&#10;NI/U teachers retained in state: 78.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200650" cy="2019300"/>
                    </a:xfrm>
                    <a:prstGeom prst="rect">
                      <a:avLst/>
                    </a:prstGeom>
                    <a:noFill/>
                    <a:ln w="9525">
                      <a:noFill/>
                      <a:miter lim="800000"/>
                      <a:headEnd/>
                      <a:tailEnd/>
                    </a:ln>
                  </pic:spPr>
                </pic:pic>
              </a:graphicData>
            </a:graphic>
          </wp:anchor>
        </w:drawing>
      </w:r>
    </w:p>
    <w:p w:rsidR="00074508" w:rsidRDefault="00074508" w:rsidP="00E342E1">
      <w:pPr>
        <w:rPr>
          <w:rFonts w:asciiTheme="minorHAnsi" w:hAnsiTheme="minorHAnsi"/>
          <w:sz w:val="22"/>
          <w:szCs w:val="22"/>
        </w:rPr>
      </w:pPr>
    </w:p>
    <w:p w:rsidR="00074508" w:rsidRDefault="00074508" w:rsidP="00E342E1">
      <w:pPr>
        <w:rPr>
          <w:rFonts w:asciiTheme="minorHAnsi" w:hAnsiTheme="minorHAnsi"/>
          <w:sz w:val="22"/>
          <w:szCs w:val="22"/>
        </w:rPr>
      </w:pPr>
    </w:p>
    <w:p w:rsidR="00074508" w:rsidRDefault="00074508" w:rsidP="00E342E1">
      <w:pPr>
        <w:rPr>
          <w:rFonts w:asciiTheme="minorHAnsi" w:hAnsiTheme="minorHAnsi"/>
          <w:sz w:val="22"/>
          <w:szCs w:val="22"/>
        </w:rPr>
      </w:pPr>
    </w:p>
    <w:p w:rsidR="00074508" w:rsidRPr="003432ED" w:rsidRDefault="00074508" w:rsidP="00E342E1">
      <w:pPr>
        <w:rPr>
          <w:rFonts w:asciiTheme="minorHAnsi" w:hAnsiTheme="minorHAnsi"/>
          <w:sz w:val="22"/>
          <w:szCs w:val="22"/>
        </w:rPr>
      </w:pPr>
    </w:p>
    <w:p w:rsidR="001C7B6C" w:rsidRDefault="00074508" w:rsidP="00253A5B">
      <w:pPr>
        <w:rPr>
          <w:b/>
        </w:rPr>
      </w:pPr>
      <w:r w:rsidRPr="00074508">
        <w:rPr>
          <w:b/>
        </w:rPr>
        <w:t xml:space="preserve"> </w:t>
      </w:r>
    </w:p>
    <w:p w:rsidR="001C7B6C" w:rsidRDefault="001C7B6C" w:rsidP="00253A5B">
      <w:pPr>
        <w:rPr>
          <w:b/>
        </w:rPr>
      </w:pPr>
    </w:p>
    <w:p w:rsidR="001C7B6C" w:rsidRDefault="001C7B6C" w:rsidP="00253A5B">
      <w:pPr>
        <w:rPr>
          <w:b/>
        </w:rPr>
      </w:pPr>
    </w:p>
    <w:p w:rsidR="001C7B6C" w:rsidRDefault="001C7B6C" w:rsidP="00253A5B">
      <w:pPr>
        <w:rPr>
          <w:b/>
        </w:rPr>
      </w:pPr>
    </w:p>
    <w:p w:rsidR="001C7B6C" w:rsidRDefault="001C7B6C" w:rsidP="00253A5B">
      <w:pPr>
        <w:rPr>
          <w:b/>
        </w:rPr>
      </w:pPr>
    </w:p>
    <w:p w:rsidR="001C7B6C" w:rsidRDefault="001C7B6C" w:rsidP="00253A5B">
      <w:pPr>
        <w:rPr>
          <w:b/>
        </w:rPr>
      </w:pPr>
    </w:p>
    <w:p w:rsidR="001C7B6C" w:rsidRDefault="001C7B6C" w:rsidP="00253A5B">
      <w:pPr>
        <w:rPr>
          <w:b/>
        </w:rPr>
      </w:pPr>
    </w:p>
    <w:p w:rsidR="001C7B6C" w:rsidRDefault="001C7B6C" w:rsidP="00253A5B">
      <w:pPr>
        <w:rPr>
          <w:b/>
        </w:rPr>
      </w:pPr>
    </w:p>
    <w:p w:rsidR="009A5A43" w:rsidRDefault="0063542C" w:rsidP="00253A5B">
      <w:pPr>
        <w:rPr>
          <w:rFonts w:ascii="Calibri" w:hAnsi="Calibri"/>
          <w:sz w:val="22"/>
          <w:szCs w:val="22"/>
        </w:rPr>
      </w:pPr>
      <w:r>
        <w:rPr>
          <w:rFonts w:ascii="Calibri" w:hAnsi="Calibri"/>
          <w:noProof/>
          <w:lang w:eastAsia="zh-CN"/>
        </w:rPr>
        <w:lastRenderedPageBreak/>
        <mc:AlternateContent>
          <mc:Choice Requires="wps">
            <w:drawing>
              <wp:anchor distT="0" distB="0" distL="114300" distR="114300" simplePos="0" relativeHeight="251681792" behindDoc="0" locked="0" layoutInCell="1" allowOverlap="1" wp14:anchorId="04CEC721" wp14:editId="6D126570">
                <wp:simplePos x="0" y="0"/>
                <wp:positionH relativeFrom="margin">
                  <wp:posOffset>-247650</wp:posOffset>
                </wp:positionH>
                <wp:positionV relativeFrom="paragraph">
                  <wp:posOffset>-309245</wp:posOffset>
                </wp:positionV>
                <wp:extent cx="6429375" cy="8867775"/>
                <wp:effectExtent l="0" t="0" r="9525" b="9525"/>
                <wp:wrapNone/>
                <wp:docPr id="23" name="Rectangle 26" descr="Light 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8867775"/>
                        </a:xfrm>
                        <a:prstGeom prst="rect">
                          <a:avLst/>
                        </a:prstGeom>
                        <a:solidFill>
                          <a:srgbClr val="DBE5F1">
                            <a:alpha val="1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ED9BD" id="Rectangle 26" o:spid="_x0000_s1026" alt="Light blue background" style="position:absolute;margin-left:-19.5pt;margin-top:-24.35pt;width:506.25pt;height:698.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" fillcolor="#dbe5f1" stroked="f">
                <v:fill opacity="12336f"/>
                <w10:wrap anchorx="margin"/>
              </v:rect>
            </w:pict>
          </mc:Fallback>
        </mc:AlternateContent>
      </w:r>
      <w:r w:rsidR="004A4FF9" w:rsidRPr="003432ED">
        <w:rPr>
          <w:rFonts w:ascii="Calibri" w:hAnsi="Calibri"/>
          <w:sz w:val="22"/>
          <w:szCs w:val="22"/>
        </w:rPr>
        <w:t xml:space="preserve">In </w:t>
      </w:r>
      <w:r w:rsidR="004A4FF9" w:rsidRPr="009A5A43">
        <w:rPr>
          <w:rFonts w:asciiTheme="minorHAnsi" w:hAnsiTheme="minorHAnsi"/>
          <w:sz w:val="22"/>
          <w:szCs w:val="22"/>
        </w:rPr>
        <w:t>2015</w:t>
      </w:r>
      <w:r w:rsidR="00441AF8" w:rsidRPr="009A5A43">
        <w:rPr>
          <w:rFonts w:asciiTheme="minorHAnsi" w:eastAsia="Helvetica" w:hAnsiTheme="minorHAnsi" w:cs="Helvetica"/>
          <w:sz w:val="22"/>
          <w:szCs w:val="22"/>
        </w:rPr>
        <w:t>–</w:t>
      </w:r>
      <w:r w:rsidR="004A4FF9" w:rsidRPr="009A5A43">
        <w:rPr>
          <w:rFonts w:asciiTheme="minorHAnsi" w:hAnsiTheme="minorHAnsi"/>
          <w:sz w:val="22"/>
          <w:szCs w:val="22"/>
        </w:rPr>
        <w:t>16</w:t>
      </w:r>
      <w:r w:rsidR="004A4FF9" w:rsidRPr="003432ED">
        <w:rPr>
          <w:rStyle w:val="FootnoteReference"/>
          <w:rFonts w:ascii="Calibri" w:hAnsi="Calibri"/>
          <w:sz w:val="22"/>
          <w:szCs w:val="22"/>
        </w:rPr>
        <w:footnoteReference w:id="5"/>
      </w:r>
      <w:r w:rsidR="004A4FF9" w:rsidRPr="003432ED">
        <w:rPr>
          <w:rFonts w:ascii="Calibri" w:hAnsi="Calibri"/>
          <w:sz w:val="22"/>
          <w:szCs w:val="22"/>
        </w:rPr>
        <w:t xml:space="preserve">, </w:t>
      </w:r>
      <w:r w:rsidR="009A5A43">
        <w:rPr>
          <w:rFonts w:ascii="Calibri" w:hAnsi="Calibri"/>
          <w:sz w:val="22"/>
          <w:szCs w:val="22"/>
        </w:rPr>
        <w:t>the great majority (</w:t>
      </w:r>
      <w:r w:rsidR="004A4FF9" w:rsidRPr="003432ED">
        <w:rPr>
          <w:rFonts w:ascii="Calibri" w:hAnsi="Calibri"/>
          <w:sz w:val="22"/>
          <w:szCs w:val="22"/>
        </w:rPr>
        <w:t>95.7 percent</w:t>
      </w:r>
      <w:r w:rsidR="009A5A43">
        <w:rPr>
          <w:rFonts w:ascii="Calibri" w:hAnsi="Calibri"/>
          <w:sz w:val="22"/>
          <w:szCs w:val="22"/>
        </w:rPr>
        <w:t>)</w:t>
      </w:r>
      <w:r w:rsidR="004A4FF9" w:rsidRPr="003432ED">
        <w:rPr>
          <w:rFonts w:ascii="Calibri" w:hAnsi="Calibri"/>
          <w:sz w:val="22"/>
          <w:szCs w:val="22"/>
        </w:rPr>
        <w:t xml:space="preserve"> of teachers received summative evaluation rat</w:t>
      </w:r>
      <w:r w:rsidR="009A5A43">
        <w:rPr>
          <w:rFonts w:ascii="Calibri" w:hAnsi="Calibri"/>
          <w:sz w:val="22"/>
          <w:szCs w:val="22"/>
        </w:rPr>
        <w:t>ings of Exemplary or Proficient. The following school year, teachers who received lower ratings were:</w:t>
      </w:r>
      <w:r w:rsidR="002F249F" w:rsidRPr="002F249F">
        <w:rPr>
          <w:rFonts w:ascii="Calibri" w:hAnsi="Calibri"/>
          <w:sz w:val="22"/>
          <w:szCs w:val="22"/>
        </w:rPr>
        <w:t xml:space="preserve"> </w:t>
      </w:r>
    </w:p>
    <w:p w:rsidR="009A5A43" w:rsidRDefault="009A5A43" w:rsidP="009A5A43">
      <w:pPr>
        <w:pStyle w:val="ListParagraph"/>
        <w:numPr>
          <w:ilvl w:val="0"/>
          <w:numId w:val="23"/>
        </w:numPr>
        <w:rPr>
          <w:rFonts w:ascii="Calibri" w:hAnsi="Calibri"/>
          <w:sz w:val="22"/>
          <w:szCs w:val="22"/>
        </w:rPr>
      </w:pPr>
      <w:r>
        <w:rPr>
          <w:rFonts w:ascii="Calibri" w:hAnsi="Calibri"/>
          <w:sz w:val="22"/>
          <w:szCs w:val="22"/>
        </w:rPr>
        <w:t>more than three times as likely to stop teaching in Massachusetts public schools; and</w:t>
      </w:r>
    </w:p>
    <w:p w:rsidR="009A5A43" w:rsidRDefault="009A5A43" w:rsidP="009A5A43">
      <w:pPr>
        <w:pStyle w:val="ListParagraph"/>
        <w:numPr>
          <w:ilvl w:val="0"/>
          <w:numId w:val="23"/>
        </w:numPr>
        <w:rPr>
          <w:rFonts w:ascii="Calibri" w:hAnsi="Calibri"/>
          <w:sz w:val="22"/>
          <w:szCs w:val="22"/>
        </w:rPr>
      </w:pPr>
      <w:proofErr w:type="gramStart"/>
      <w:r>
        <w:rPr>
          <w:rFonts w:ascii="Calibri" w:hAnsi="Calibri"/>
          <w:sz w:val="22"/>
          <w:szCs w:val="22"/>
        </w:rPr>
        <w:t>more</w:t>
      </w:r>
      <w:proofErr w:type="gramEnd"/>
      <w:r>
        <w:rPr>
          <w:rFonts w:ascii="Calibri" w:hAnsi="Calibri"/>
          <w:sz w:val="22"/>
          <w:szCs w:val="22"/>
        </w:rPr>
        <w:t xml:space="preserve"> likely to change to a different school or district.</w:t>
      </w:r>
    </w:p>
    <w:p w:rsidR="00751E52" w:rsidRDefault="00751E52" w:rsidP="00BC18A6">
      <w:pPr>
        <w:pStyle w:val="ListParagraph"/>
        <w:rPr>
          <w:rFonts w:ascii="Calibri" w:hAnsi="Calibri"/>
          <w:noProof/>
          <w:sz w:val="22"/>
          <w:szCs w:val="22"/>
        </w:rPr>
      </w:pPr>
    </w:p>
    <w:p w:rsidR="00025C14" w:rsidRDefault="00951C50" w:rsidP="00BC18A6">
      <w:pPr>
        <w:pStyle w:val="ListParagraph"/>
        <w:rPr>
          <w:rFonts w:ascii="Calibri" w:hAnsi="Calibri"/>
          <w:noProof/>
          <w:sz w:val="22"/>
          <w:szCs w:val="22"/>
        </w:rPr>
      </w:pPr>
      <w:r>
        <w:rPr>
          <w:rFonts w:ascii="Calibri" w:hAnsi="Calibri"/>
          <w:noProof/>
          <w:sz w:val="22"/>
          <w:szCs w:val="22"/>
          <w:lang w:eastAsia="zh-CN"/>
        </w:rPr>
        <w:drawing>
          <wp:anchor distT="0" distB="0" distL="114300" distR="114300" simplePos="0" relativeHeight="251674624" behindDoc="0" locked="0" layoutInCell="1" allowOverlap="1" wp14:anchorId="0BBA00CD" wp14:editId="46833CCB">
            <wp:simplePos x="0" y="0"/>
            <wp:positionH relativeFrom="column">
              <wp:posOffset>459740</wp:posOffset>
            </wp:positionH>
            <wp:positionV relativeFrom="paragraph">
              <wp:posOffset>29900</wp:posOffset>
            </wp:positionV>
            <wp:extent cx="5172075" cy="1971675"/>
            <wp:effectExtent l="19050" t="0" r="9525" b="0"/>
            <wp:wrapNone/>
            <wp:docPr id="2" name="Picture 4" descr="Graph 2: Principal retention by evaluation rating&#10;E/P principals retained in school: 87.2%&#10;E/P principals retained in district: 89.1%&#10;E/P principals retained in state: 91.0%&#10;NI/U principals retained in school: 63.5%&#10;NI/U principals retained in districts: 66.7%&#10;NI/U principals retained in state: 7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5172075" cy="1971675"/>
                    </a:xfrm>
                    <a:prstGeom prst="rect">
                      <a:avLst/>
                    </a:prstGeom>
                    <a:noFill/>
                    <a:ln w="9525">
                      <a:noFill/>
                      <a:miter lim="800000"/>
                      <a:headEnd/>
                      <a:tailEnd/>
                    </a:ln>
                  </pic:spPr>
                </pic:pic>
              </a:graphicData>
            </a:graphic>
          </wp:anchor>
        </w:drawing>
      </w: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025C14" w:rsidRDefault="00025C14" w:rsidP="00BC18A6">
      <w:pPr>
        <w:pStyle w:val="ListParagraph"/>
        <w:rPr>
          <w:rFonts w:ascii="Calibri" w:hAnsi="Calibri"/>
          <w:noProof/>
          <w:sz w:val="22"/>
          <w:szCs w:val="22"/>
        </w:rPr>
      </w:pPr>
    </w:p>
    <w:p w:rsidR="00951C50" w:rsidRPr="009724D1" w:rsidRDefault="004A4FF9" w:rsidP="009724D1">
      <w:pPr>
        <w:rPr>
          <w:rFonts w:asciiTheme="minorHAnsi" w:hAnsiTheme="minorHAnsi"/>
          <w:sz w:val="22"/>
          <w:szCs w:val="22"/>
        </w:rPr>
      </w:pPr>
      <w:r w:rsidRPr="009724D1">
        <w:rPr>
          <w:rFonts w:ascii="Calibri" w:hAnsi="Calibri"/>
          <w:sz w:val="22"/>
          <w:szCs w:val="22"/>
        </w:rPr>
        <w:t>Similar to teachers, 95.5 percent of principals we</w:t>
      </w:r>
      <w:r w:rsidR="00A22931" w:rsidRPr="009724D1">
        <w:rPr>
          <w:rFonts w:ascii="Calibri" w:hAnsi="Calibri"/>
          <w:sz w:val="22"/>
          <w:szCs w:val="22"/>
        </w:rPr>
        <w:t>re rated E</w:t>
      </w:r>
      <w:r w:rsidR="009E0D36" w:rsidRPr="009724D1">
        <w:rPr>
          <w:rFonts w:ascii="Calibri" w:hAnsi="Calibri"/>
          <w:sz w:val="22"/>
          <w:szCs w:val="22"/>
        </w:rPr>
        <w:t>xemplary or Proficient</w:t>
      </w:r>
      <w:r w:rsidRPr="009724D1">
        <w:rPr>
          <w:rFonts w:ascii="Calibri" w:hAnsi="Calibri"/>
          <w:sz w:val="22"/>
          <w:szCs w:val="22"/>
        </w:rPr>
        <w:t xml:space="preserve"> in 2</w:t>
      </w:r>
      <w:r w:rsidRPr="009724D1">
        <w:rPr>
          <w:rFonts w:asciiTheme="minorHAnsi" w:hAnsiTheme="minorHAnsi"/>
          <w:sz w:val="22"/>
          <w:szCs w:val="22"/>
        </w:rPr>
        <w:t>015</w:t>
      </w:r>
      <w:r w:rsidR="00C044DE" w:rsidRPr="009724D1">
        <w:rPr>
          <w:rFonts w:asciiTheme="minorHAnsi" w:eastAsia="Helvetica" w:hAnsiTheme="minorHAnsi" w:cs="Helvetica"/>
          <w:sz w:val="22"/>
          <w:szCs w:val="22"/>
        </w:rPr>
        <w:t>–</w:t>
      </w:r>
      <w:r w:rsidRPr="009724D1">
        <w:rPr>
          <w:rFonts w:asciiTheme="minorHAnsi" w:hAnsiTheme="minorHAnsi"/>
          <w:sz w:val="22"/>
          <w:szCs w:val="22"/>
        </w:rPr>
        <w:t xml:space="preserve">16. </w:t>
      </w:r>
      <w:r w:rsidR="00227446">
        <w:rPr>
          <w:rFonts w:asciiTheme="minorHAnsi" w:hAnsiTheme="minorHAnsi"/>
          <w:sz w:val="22"/>
          <w:szCs w:val="22"/>
        </w:rPr>
        <w:t>In the</w:t>
      </w:r>
      <w:r w:rsidR="0036224E" w:rsidRPr="009724D1">
        <w:rPr>
          <w:rFonts w:asciiTheme="minorHAnsi" w:hAnsiTheme="minorHAnsi"/>
          <w:sz w:val="22"/>
          <w:szCs w:val="22"/>
        </w:rPr>
        <w:t xml:space="preserve"> following school year</w:t>
      </w:r>
      <w:r w:rsidR="00951C50" w:rsidRPr="009724D1">
        <w:rPr>
          <w:rFonts w:asciiTheme="minorHAnsi" w:hAnsiTheme="minorHAnsi"/>
          <w:sz w:val="22"/>
          <w:szCs w:val="22"/>
        </w:rPr>
        <w:t>, p</w:t>
      </w:r>
      <w:r w:rsidRPr="009724D1">
        <w:rPr>
          <w:rFonts w:asciiTheme="minorHAnsi" w:hAnsiTheme="minorHAnsi"/>
          <w:sz w:val="22"/>
          <w:szCs w:val="22"/>
        </w:rPr>
        <w:t xml:space="preserve">rincipals with </w:t>
      </w:r>
      <w:r w:rsidR="009E0D36" w:rsidRPr="009724D1">
        <w:rPr>
          <w:rFonts w:asciiTheme="minorHAnsi" w:hAnsiTheme="minorHAnsi"/>
          <w:sz w:val="22"/>
          <w:szCs w:val="22"/>
        </w:rPr>
        <w:t>Needs Improvement or Unsatisfactory ratings were</w:t>
      </w:r>
      <w:r w:rsidR="00143DB3" w:rsidRPr="009724D1">
        <w:rPr>
          <w:rFonts w:asciiTheme="minorHAnsi" w:hAnsiTheme="minorHAnsi"/>
          <w:sz w:val="22"/>
          <w:szCs w:val="22"/>
        </w:rPr>
        <w:t xml:space="preserve"> </w:t>
      </w:r>
      <w:r w:rsidR="009E0D36" w:rsidRPr="009724D1">
        <w:rPr>
          <w:rFonts w:ascii="Calibri" w:hAnsi="Calibri"/>
          <w:sz w:val="22"/>
          <w:szCs w:val="22"/>
        </w:rPr>
        <w:t>about three times as likely to stop working as principals in Massachusetts public schools</w:t>
      </w:r>
      <w:r w:rsidR="00143DB3" w:rsidRPr="009724D1">
        <w:rPr>
          <w:rFonts w:ascii="Calibri" w:hAnsi="Calibri"/>
          <w:sz w:val="22"/>
          <w:szCs w:val="22"/>
        </w:rPr>
        <w:t>.</w:t>
      </w:r>
    </w:p>
    <w:p w:rsidR="00A8176C" w:rsidRDefault="00A8176C" w:rsidP="00951C50">
      <w:pPr>
        <w:rPr>
          <w:rFonts w:ascii="Calibri" w:hAnsi="Calibri"/>
          <w:sz w:val="22"/>
          <w:szCs w:val="22"/>
        </w:rPr>
      </w:pPr>
    </w:p>
    <w:p w:rsidR="004A4FF9" w:rsidRPr="009724D1" w:rsidRDefault="00143DB3" w:rsidP="00951C50">
      <w:pPr>
        <w:rPr>
          <w:rFonts w:asciiTheme="minorHAnsi" w:hAnsiTheme="minorHAnsi"/>
          <w:sz w:val="22"/>
          <w:szCs w:val="22"/>
        </w:rPr>
      </w:pPr>
      <w:r w:rsidRPr="009724D1">
        <w:rPr>
          <w:rFonts w:ascii="Calibri" w:hAnsi="Calibri"/>
          <w:sz w:val="22"/>
          <w:szCs w:val="22"/>
        </w:rPr>
        <w:t xml:space="preserve">Research indicates that </w:t>
      </w:r>
      <w:r w:rsidR="004A4FF9" w:rsidRPr="009724D1">
        <w:rPr>
          <w:rFonts w:ascii="Calibri" w:hAnsi="Calibri"/>
          <w:sz w:val="22"/>
          <w:szCs w:val="22"/>
        </w:rPr>
        <w:t xml:space="preserve">when </w:t>
      </w:r>
      <w:r w:rsidR="000421EF" w:rsidRPr="009724D1">
        <w:rPr>
          <w:rFonts w:ascii="Calibri" w:hAnsi="Calibri"/>
          <w:sz w:val="22"/>
          <w:szCs w:val="22"/>
        </w:rPr>
        <w:t>effective principals leave high</w:t>
      </w:r>
      <w:r w:rsidR="00441AF8" w:rsidRPr="009724D1">
        <w:rPr>
          <w:rFonts w:ascii="Helvetica" w:eastAsia="Helvetica" w:hAnsi="Helvetica" w:cs="Helvetica"/>
          <w:sz w:val="22"/>
          <w:szCs w:val="22"/>
        </w:rPr>
        <w:t>-</w:t>
      </w:r>
      <w:r w:rsidR="004A4FF9" w:rsidRPr="009724D1">
        <w:rPr>
          <w:rFonts w:ascii="Calibri" w:hAnsi="Calibri"/>
          <w:sz w:val="22"/>
          <w:szCs w:val="22"/>
        </w:rPr>
        <w:t>need schools to work as principals elsewhere</w:t>
      </w:r>
      <w:r w:rsidR="004A4FF9" w:rsidRPr="009724D1">
        <w:rPr>
          <w:rFonts w:asciiTheme="minorHAnsi" w:hAnsiTheme="minorHAnsi"/>
          <w:sz w:val="22"/>
          <w:szCs w:val="22"/>
        </w:rPr>
        <w:t>, they are more likely to move to schools that are higher performing, and/or have fewer economically disadvantaged students and students of color.</w:t>
      </w:r>
      <w:r w:rsidR="004A4FF9" w:rsidRPr="00143DB3">
        <w:rPr>
          <w:vertAlign w:val="superscript"/>
        </w:rPr>
        <w:endnoteReference w:id="11"/>
      </w:r>
    </w:p>
    <w:p w:rsidR="004A4FF9" w:rsidRPr="003432ED" w:rsidRDefault="004A4FF9" w:rsidP="00531864">
      <w:pPr>
        <w:pStyle w:val="Heading2"/>
        <w:rPr>
          <w:rFonts w:ascii="Calibri" w:hAnsi="Calibri"/>
        </w:rPr>
      </w:pPr>
      <w:bookmarkStart w:id="26" w:name="_Toc509831825"/>
      <w:r w:rsidRPr="003432ED">
        <w:rPr>
          <w:rFonts w:ascii="Calibri" w:hAnsi="Calibri"/>
        </w:rPr>
        <w:t>Educator retention in hard</w:t>
      </w:r>
      <w:r w:rsidR="00441AF8" w:rsidRPr="003432ED">
        <w:rPr>
          <w:rFonts w:ascii="Helvetica" w:eastAsia="Helvetica" w:hAnsi="Helvetica" w:cs="Helvetica"/>
        </w:rPr>
        <w:t>-</w:t>
      </w:r>
      <w:r w:rsidRPr="003432ED">
        <w:rPr>
          <w:rFonts w:ascii="Calibri" w:hAnsi="Calibri"/>
        </w:rPr>
        <w:t>to</w:t>
      </w:r>
      <w:r w:rsidR="00441AF8" w:rsidRPr="003432ED">
        <w:rPr>
          <w:rFonts w:ascii="Helvetica" w:eastAsia="Helvetica" w:hAnsi="Helvetica" w:cs="Helvetica"/>
        </w:rPr>
        <w:t>-</w:t>
      </w:r>
      <w:r w:rsidRPr="003432ED">
        <w:rPr>
          <w:rFonts w:ascii="Calibri" w:hAnsi="Calibri"/>
        </w:rPr>
        <w:t>staff roles</w:t>
      </w:r>
      <w:bookmarkEnd w:id="26"/>
    </w:p>
    <w:p w:rsidR="004A4FF9" w:rsidRPr="00115E75" w:rsidRDefault="00AB4675" w:rsidP="00253A5B">
      <w:pPr>
        <w:rPr>
          <w:rFonts w:asciiTheme="minorHAnsi" w:hAnsiTheme="minorHAnsi"/>
          <w:sz w:val="22"/>
          <w:szCs w:val="22"/>
        </w:rPr>
      </w:pPr>
      <w:r>
        <w:rPr>
          <w:rFonts w:ascii="Calibri" w:hAnsi="Calibri"/>
          <w:sz w:val="22"/>
          <w:szCs w:val="22"/>
        </w:rPr>
        <w:t xml:space="preserve">As has been discussed, </w:t>
      </w:r>
      <w:r w:rsidR="004A4FF9" w:rsidRPr="003432ED">
        <w:rPr>
          <w:rFonts w:ascii="Calibri" w:hAnsi="Calibri"/>
          <w:sz w:val="22"/>
          <w:szCs w:val="22"/>
        </w:rPr>
        <w:t>English learners and students with disabilities face performance gaps in Massachusetts when compared to their peers. Massachusetts educator workforce shortages on the horizon threaten to compound those gaps; according to projections, Massachusetts schools will soon face a shortage of special education and English as a Second Language (ESL) teachers.</w:t>
      </w:r>
      <w:r w:rsidR="00E6513D">
        <w:rPr>
          <w:rStyle w:val="EndnoteReference"/>
          <w:rFonts w:ascii="Calibri" w:hAnsi="Calibri"/>
          <w:sz w:val="22"/>
          <w:szCs w:val="22"/>
        </w:rPr>
        <w:endnoteReference w:id="12"/>
      </w:r>
      <w:r w:rsidR="004A4FF9" w:rsidRPr="003432ED">
        <w:rPr>
          <w:rFonts w:ascii="Calibri" w:hAnsi="Calibri"/>
          <w:sz w:val="22"/>
          <w:szCs w:val="22"/>
        </w:rPr>
        <w:t xml:space="preserve"> The demand for these teachers </w:t>
      </w:r>
      <w:r w:rsidR="004A4FF9" w:rsidRPr="00115E75">
        <w:rPr>
          <w:rFonts w:asciiTheme="minorHAnsi" w:hAnsiTheme="minorHAnsi"/>
          <w:sz w:val="22"/>
          <w:szCs w:val="22"/>
        </w:rPr>
        <w:t>will appr</w:t>
      </w:r>
      <w:r w:rsidR="00DA0669" w:rsidRPr="00115E75">
        <w:rPr>
          <w:rFonts w:asciiTheme="minorHAnsi" w:hAnsiTheme="minorHAnsi"/>
          <w:sz w:val="22"/>
          <w:szCs w:val="22"/>
        </w:rPr>
        <w:t>oximately double over ten years</w:t>
      </w:r>
      <w:r w:rsidR="004A4FF9" w:rsidRPr="00115E75">
        <w:rPr>
          <w:rFonts w:asciiTheme="minorHAnsi" w:hAnsiTheme="minorHAnsi"/>
          <w:sz w:val="22"/>
          <w:szCs w:val="22"/>
        </w:rPr>
        <w:t>.</w:t>
      </w:r>
      <w:r w:rsidR="004A4FF9" w:rsidRPr="00115E75">
        <w:rPr>
          <w:rFonts w:asciiTheme="minorHAnsi" w:hAnsiTheme="minorHAnsi"/>
          <w:sz w:val="22"/>
          <w:szCs w:val="22"/>
          <w:vertAlign w:val="superscript"/>
        </w:rPr>
        <w:endnoteReference w:id="13"/>
      </w:r>
      <w:r w:rsidR="004A4FF9" w:rsidRPr="00115E75">
        <w:rPr>
          <w:rFonts w:asciiTheme="minorHAnsi" w:hAnsiTheme="minorHAnsi"/>
          <w:sz w:val="22"/>
          <w:szCs w:val="22"/>
          <w:vertAlign w:val="superscript"/>
        </w:rPr>
        <w:t xml:space="preserve"> </w:t>
      </w:r>
      <w:r w:rsidR="00216738">
        <w:rPr>
          <w:rFonts w:asciiTheme="minorHAnsi" w:hAnsiTheme="minorHAnsi"/>
          <w:sz w:val="22"/>
          <w:szCs w:val="22"/>
        </w:rPr>
        <w:t xml:space="preserve">We are already seeing evidence of this demand: </w:t>
      </w:r>
      <w:r w:rsidR="00A8176C">
        <w:rPr>
          <w:rFonts w:asciiTheme="minorHAnsi" w:hAnsiTheme="minorHAnsi"/>
          <w:sz w:val="22"/>
          <w:szCs w:val="22"/>
        </w:rPr>
        <w:t>a</w:t>
      </w:r>
      <w:r w:rsidR="00216738" w:rsidRPr="00115E75">
        <w:rPr>
          <w:rFonts w:asciiTheme="minorHAnsi" w:hAnsiTheme="minorHAnsi"/>
          <w:sz w:val="22"/>
          <w:szCs w:val="22"/>
        </w:rPr>
        <w:t>mong teacher preparation program completers</w:t>
      </w:r>
      <w:r w:rsidR="00216738" w:rsidRPr="003432ED">
        <w:rPr>
          <w:rFonts w:ascii="Calibri" w:hAnsi="Calibri"/>
          <w:sz w:val="22"/>
          <w:szCs w:val="22"/>
        </w:rPr>
        <w:t xml:space="preserve"> in 2015, 75 percent of those in ESL, 74 percent of those in special education, and 73 percent of those in STEM fields were teaching in Massachusetts public schools the next year, compared to only 61 percent of program completers in all other teacher licensure areas.</w:t>
      </w:r>
      <w:r w:rsidR="00216738" w:rsidRPr="003432ED">
        <w:rPr>
          <w:rFonts w:ascii="Calibri" w:hAnsi="Calibri"/>
          <w:sz w:val="22"/>
          <w:szCs w:val="22"/>
          <w:vertAlign w:val="superscript"/>
        </w:rPr>
        <w:endnoteReference w:id="14"/>
      </w:r>
      <w:r w:rsidR="00216738">
        <w:rPr>
          <w:rFonts w:ascii="Calibri" w:hAnsi="Calibri"/>
          <w:sz w:val="22"/>
          <w:szCs w:val="22"/>
        </w:rPr>
        <w:t xml:space="preserve"> </w:t>
      </w:r>
    </w:p>
    <w:p w:rsidR="004A4FF9" w:rsidRPr="003432ED" w:rsidRDefault="00941E48" w:rsidP="00531864">
      <w:pPr>
        <w:pStyle w:val="Heading4"/>
        <w:rPr>
          <w:rFonts w:ascii="Calibri" w:hAnsi="Calibri"/>
          <w:color w:val="auto"/>
        </w:rPr>
      </w:pPr>
      <w:bookmarkStart w:id="27" w:name="_Retention_in_the"/>
      <w:bookmarkEnd w:id="27"/>
      <w:r>
        <w:rPr>
          <w:rFonts w:ascii="Calibri" w:hAnsi="Calibri"/>
          <w:color w:val="auto"/>
        </w:rPr>
        <w:t xml:space="preserve">Retention in the </w:t>
      </w:r>
      <w:r w:rsidR="00AD52F2">
        <w:rPr>
          <w:rFonts w:ascii="Calibri" w:hAnsi="Calibri"/>
          <w:color w:val="auto"/>
        </w:rPr>
        <w:t>p</w:t>
      </w:r>
      <w:r w:rsidR="004A4FF9" w:rsidRPr="003432ED">
        <w:rPr>
          <w:rFonts w:ascii="Calibri" w:hAnsi="Calibri"/>
          <w:color w:val="auto"/>
        </w:rPr>
        <w:t>rogram area</w:t>
      </w:r>
    </w:p>
    <w:tbl>
      <w:tblPr>
        <w:tblStyle w:val="TableGrid"/>
        <w:tblpPr w:leftFromText="180" w:rightFromText="180" w:vertAnchor="text" w:horzAnchor="margin" w:tblpXSpec="right" w:tblpY="106"/>
        <w:tblW w:w="0" w:type="auto"/>
        <w:tblLook w:val="04A0" w:firstRow="1" w:lastRow="0" w:firstColumn="1" w:lastColumn="0" w:noHBand="0" w:noVBand="1"/>
        <w:tblDescription w:val="Among teachers retained in Massachusetts public schools, those who teach ESL and special education are more likely to change to another program area, compared to general education teachers."/>
      </w:tblPr>
      <w:tblGrid>
        <w:gridCol w:w="4094"/>
      </w:tblGrid>
      <w:tr w:rsidR="003C4B1D" w:rsidRPr="003C2F46" w:rsidTr="00D70325">
        <w:trPr>
          <w:trHeight w:val="717"/>
          <w:tblHeader/>
        </w:trPr>
        <w:tc>
          <w:tcPr>
            <w:tcW w:w="4094"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3C4B1D" w:rsidRPr="003C2F46" w:rsidRDefault="003C4B1D" w:rsidP="003C4B1D">
            <w:pPr>
              <w:rPr>
                <w:rFonts w:ascii="Calibri" w:hAnsi="Calibri"/>
                <w:i/>
                <w:sz w:val="26"/>
                <w:szCs w:val="26"/>
              </w:rPr>
            </w:pPr>
            <w:r>
              <w:rPr>
                <w:rFonts w:ascii="Calibri" w:hAnsi="Calibri"/>
                <w:i/>
              </w:rPr>
              <w:t xml:space="preserve">Among teachers retained in Massachusetts public schools, those who teach ESL and special education are </w:t>
            </w:r>
            <w:r w:rsidRPr="00FE4810">
              <w:rPr>
                <w:rFonts w:ascii="Calibri" w:hAnsi="Calibri"/>
                <w:b/>
                <w:i/>
              </w:rPr>
              <w:t xml:space="preserve">more likely to change </w:t>
            </w:r>
            <w:r>
              <w:rPr>
                <w:rFonts w:ascii="Calibri" w:hAnsi="Calibri"/>
                <w:b/>
                <w:i/>
              </w:rPr>
              <w:t>to another</w:t>
            </w:r>
            <w:r w:rsidRPr="00FE4810">
              <w:rPr>
                <w:rFonts w:ascii="Calibri" w:hAnsi="Calibri"/>
                <w:b/>
                <w:i/>
              </w:rPr>
              <w:t xml:space="preserve"> program area</w:t>
            </w:r>
            <w:r>
              <w:rPr>
                <w:rFonts w:ascii="Calibri" w:hAnsi="Calibri"/>
                <w:i/>
              </w:rPr>
              <w:t>, compared to general education teachers.</w:t>
            </w:r>
          </w:p>
        </w:tc>
      </w:tr>
    </w:tbl>
    <w:p w:rsidR="00D5649E" w:rsidRDefault="004A4FF9" w:rsidP="00D5649E">
      <w:pPr>
        <w:rPr>
          <w:rFonts w:ascii="Calibri" w:hAnsi="Calibri"/>
          <w:sz w:val="22"/>
          <w:szCs w:val="22"/>
        </w:rPr>
      </w:pPr>
      <w:r w:rsidRPr="003432ED">
        <w:rPr>
          <w:rFonts w:ascii="Calibri" w:hAnsi="Calibri"/>
          <w:sz w:val="22"/>
          <w:szCs w:val="22"/>
        </w:rPr>
        <w:t xml:space="preserve">The following data </w:t>
      </w:r>
      <w:r w:rsidR="00C35E2E">
        <w:rPr>
          <w:rFonts w:ascii="Calibri" w:hAnsi="Calibri"/>
          <w:sz w:val="22"/>
          <w:szCs w:val="22"/>
        </w:rPr>
        <w:t>compares</w:t>
      </w:r>
      <w:r w:rsidR="00C35E2E" w:rsidRPr="003432ED">
        <w:rPr>
          <w:rFonts w:ascii="Calibri" w:hAnsi="Calibri"/>
          <w:sz w:val="22"/>
          <w:szCs w:val="22"/>
        </w:rPr>
        <w:t xml:space="preserve"> </w:t>
      </w:r>
      <w:r w:rsidRPr="003432ED">
        <w:rPr>
          <w:rFonts w:ascii="Calibri" w:hAnsi="Calibri"/>
          <w:sz w:val="22"/>
          <w:szCs w:val="22"/>
        </w:rPr>
        <w:t xml:space="preserve">retention rates </w:t>
      </w:r>
      <w:r w:rsidR="00C35E2E">
        <w:rPr>
          <w:rFonts w:ascii="Calibri" w:hAnsi="Calibri"/>
          <w:sz w:val="22"/>
          <w:szCs w:val="22"/>
        </w:rPr>
        <w:t xml:space="preserve">across </w:t>
      </w:r>
      <w:r w:rsidRPr="003432ED">
        <w:rPr>
          <w:rFonts w:ascii="Calibri" w:hAnsi="Calibri"/>
          <w:sz w:val="22"/>
          <w:szCs w:val="22"/>
        </w:rPr>
        <w:t>three program areas</w:t>
      </w:r>
      <w:r w:rsidR="00C35E2E">
        <w:rPr>
          <w:rFonts w:ascii="Calibri" w:hAnsi="Calibri"/>
          <w:sz w:val="22"/>
          <w:szCs w:val="22"/>
        </w:rPr>
        <w:t>:</w:t>
      </w:r>
      <w:r w:rsidR="00115E75">
        <w:rPr>
          <w:rFonts w:ascii="Calibri" w:hAnsi="Calibri"/>
          <w:sz w:val="22"/>
          <w:szCs w:val="22"/>
        </w:rPr>
        <w:t xml:space="preserve"> special education, ESL t</w:t>
      </w:r>
      <w:r w:rsidR="00C35E2E">
        <w:rPr>
          <w:rFonts w:ascii="Calibri" w:hAnsi="Calibri"/>
          <w:sz w:val="22"/>
          <w:szCs w:val="22"/>
        </w:rPr>
        <w:t xml:space="preserve">eachers, </w:t>
      </w:r>
      <w:r w:rsidR="003A2F0D" w:rsidRPr="003432ED">
        <w:rPr>
          <w:rFonts w:ascii="Calibri" w:hAnsi="Calibri"/>
          <w:sz w:val="22"/>
          <w:szCs w:val="22"/>
        </w:rPr>
        <w:t xml:space="preserve">and general education </w:t>
      </w:r>
      <w:r w:rsidR="00C35E2E">
        <w:rPr>
          <w:rFonts w:ascii="Calibri" w:hAnsi="Calibri"/>
          <w:sz w:val="22"/>
          <w:szCs w:val="22"/>
        </w:rPr>
        <w:t>teachers.</w:t>
      </w:r>
      <w:r w:rsidR="00D5649E">
        <w:rPr>
          <w:rFonts w:ascii="Calibri" w:hAnsi="Calibri"/>
          <w:sz w:val="22"/>
          <w:szCs w:val="22"/>
        </w:rPr>
        <w:t xml:space="preserve"> Retention of ESL and special education teachers is a focal point </w:t>
      </w:r>
      <w:r w:rsidR="00D5649E" w:rsidRPr="00D5649E">
        <w:rPr>
          <w:rFonts w:ascii="Calibri" w:hAnsi="Calibri"/>
          <w:sz w:val="22"/>
          <w:szCs w:val="22"/>
        </w:rPr>
        <w:t>due to the projected workforce shortages in these areas.</w:t>
      </w:r>
      <w:r w:rsidR="00D5649E" w:rsidRPr="00D5649E">
        <w:rPr>
          <w:rStyle w:val="EndnoteReference"/>
          <w:rFonts w:ascii="Calibri" w:hAnsi="Calibri"/>
          <w:sz w:val="22"/>
          <w:szCs w:val="22"/>
        </w:rPr>
        <w:endnoteReference w:id="15"/>
      </w:r>
    </w:p>
    <w:p w:rsidR="00D5649E" w:rsidRDefault="00D5649E" w:rsidP="00D5649E">
      <w:pPr>
        <w:rPr>
          <w:rFonts w:ascii="Calibri" w:hAnsi="Calibri"/>
          <w:sz w:val="22"/>
          <w:szCs w:val="22"/>
        </w:rPr>
      </w:pPr>
    </w:p>
    <w:p w:rsidR="00D5649E" w:rsidRDefault="0063542C" w:rsidP="00D5649E">
      <w:pPr>
        <w:rPr>
          <w:rFonts w:ascii="Calibri" w:hAnsi="Calibri"/>
          <w:sz w:val="22"/>
          <w:szCs w:val="22"/>
        </w:rPr>
      </w:pPr>
      <w:r>
        <w:rPr>
          <w:rFonts w:ascii="Calibri" w:hAnsi="Calibri"/>
          <w:noProof/>
          <w:sz w:val="22"/>
          <w:szCs w:val="22"/>
          <w:lang w:eastAsia="zh-CN"/>
        </w:rPr>
        <w:lastRenderedPageBreak/>
        <mc:AlternateContent>
          <mc:Choice Requires="wps">
            <w:drawing>
              <wp:anchor distT="0" distB="0" distL="114300" distR="114300" simplePos="0" relativeHeight="251669504" behindDoc="0" locked="0" layoutInCell="1" allowOverlap="1" wp14:anchorId="75196178" wp14:editId="450CECFF">
                <wp:simplePos x="0" y="0"/>
                <wp:positionH relativeFrom="column">
                  <wp:posOffset>-205740</wp:posOffset>
                </wp:positionH>
                <wp:positionV relativeFrom="paragraph">
                  <wp:posOffset>-241300</wp:posOffset>
                </wp:positionV>
                <wp:extent cx="6372225" cy="8943975"/>
                <wp:effectExtent l="0" t="0" r="9525" b="9525"/>
                <wp:wrapNone/>
                <wp:docPr id="18" name="Rectangle 40" descr="Light 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8943975"/>
                        </a:xfrm>
                        <a:prstGeom prst="rect">
                          <a:avLst/>
                        </a:prstGeom>
                        <a:solidFill>
                          <a:srgbClr val="DBE5F1">
                            <a:alpha val="1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AFC65" id="Rectangle 40" o:spid="_x0000_s1026" alt="Light blue background" style="position:absolute;margin-left:-16.2pt;margin-top:-19pt;width:501.75pt;height:70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" fillcolor="#dbe5f1" stroked="f">
                <v:fill opacity="12336f"/>
              </v:rect>
            </w:pict>
          </mc:Fallback>
        </mc:AlternateContent>
      </w:r>
      <w:r w:rsidR="00115E75" w:rsidRPr="00D5649E">
        <w:rPr>
          <w:rFonts w:ascii="Calibri" w:hAnsi="Calibri"/>
          <w:sz w:val="22"/>
          <w:szCs w:val="22"/>
        </w:rPr>
        <w:t xml:space="preserve">Compared to general education teachers, ESL and special education teachers are substantially </w:t>
      </w:r>
      <w:r w:rsidR="00D5649E" w:rsidRPr="00D5649E">
        <w:rPr>
          <w:rFonts w:ascii="Calibri" w:hAnsi="Calibri"/>
          <w:sz w:val="22"/>
          <w:szCs w:val="22"/>
        </w:rPr>
        <w:t xml:space="preserve">more likely to change </w:t>
      </w:r>
      <w:r w:rsidR="00115E75" w:rsidRPr="00D5649E">
        <w:rPr>
          <w:rFonts w:ascii="Calibri" w:hAnsi="Calibri"/>
          <w:sz w:val="22"/>
          <w:szCs w:val="22"/>
        </w:rPr>
        <w:t>program area</w:t>
      </w:r>
      <w:r w:rsidR="00D5649E" w:rsidRPr="00D5649E">
        <w:rPr>
          <w:rFonts w:ascii="Calibri" w:hAnsi="Calibri"/>
          <w:sz w:val="22"/>
          <w:szCs w:val="22"/>
        </w:rPr>
        <w:t>s—that is, transfer from teaching ESL to teaching general education,</w:t>
      </w:r>
      <w:r w:rsidR="00B75633">
        <w:rPr>
          <w:rFonts w:ascii="Calibri" w:hAnsi="Calibri"/>
          <w:sz w:val="22"/>
          <w:szCs w:val="22"/>
        </w:rPr>
        <w:t xml:space="preserve"> as an example</w:t>
      </w:r>
      <w:r w:rsidR="00115E75" w:rsidRPr="00D5649E">
        <w:rPr>
          <w:rFonts w:ascii="Calibri" w:hAnsi="Calibri"/>
          <w:sz w:val="22"/>
          <w:szCs w:val="22"/>
        </w:rPr>
        <w:t xml:space="preserve">. </w:t>
      </w:r>
    </w:p>
    <w:p w:rsidR="00D5649E" w:rsidRDefault="0017646B" w:rsidP="00D5649E">
      <w:pPr>
        <w:pStyle w:val="ListParagraph"/>
        <w:numPr>
          <w:ilvl w:val="0"/>
          <w:numId w:val="23"/>
        </w:numPr>
        <w:rPr>
          <w:rFonts w:asciiTheme="minorHAnsi" w:hAnsiTheme="minorHAnsi"/>
          <w:sz w:val="22"/>
          <w:szCs w:val="22"/>
        </w:rPr>
      </w:pPr>
      <w:r>
        <w:rPr>
          <w:rFonts w:ascii="Calibri" w:hAnsi="Calibri"/>
          <w:sz w:val="22"/>
          <w:szCs w:val="22"/>
        </w:rPr>
        <w:t xml:space="preserve">Among the teachers who taught ESL in 2015–16 and continued to teach in Massachusetts public schools in 2016–17, 24 </w:t>
      </w:r>
      <w:r w:rsidR="00115E75" w:rsidRPr="00D5649E">
        <w:rPr>
          <w:rFonts w:asciiTheme="minorHAnsi" w:hAnsiTheme="minorHAnsi"/>
          <w:sz w:val="22"/>
          <w:szCs w:val="22"/>
        </w:rPr>
        <w:t>percent were no longer working as ES</w:t>
      </w:r>
      <w:r w:rsidR="00D5649E">
        <w:rPr>
          <w:rFonts w:asciiTheme="minorHAnsi" w:hAnsiTheme="minorHAnsi"/>
          <w:sz w:val="22"/>
          <w:szCs w:val="22"/>
        </w:rPr>
        <w:t>L teachers.</w:t>
      </w:r>
    </w:p>
    <w:p w:rsidR="00D5649E" w:rsidRDefault="00115E75" w:rsidP="00D5649E">
      <w:pPr>
        <w:pStyle w:val="ListParagraph"/>
        <w:numPr>
          <w:ilvl w:val="0"/>
          <w:numId w:val="23"/>
        </w:numPr>
        <w:rPr>
          <w:rFonts w:asciiTheme="minorHAnsi" w:hAnsiTheme="minorHAnsi"/>
          <w:sz w:val="22"/>
          <w:szCs w:val="22"/>
        </w:rPr>
      </w:pPr>
      <w:r w:rsidRPr="00D5649E">
        <w:rPr>
          <w:rFonts w:asciiTheme="minorHAnsi" w:hAnsiTheme="minorHAnsi"/>
          <w:sz w:val="22"/>
          <w:szCs w:val="22"/>
        </w:rPr>
        <w:t>Similarly, 16 percent of retained special education teachers were working in a different program area in 2016</w:t>
      </w:r>
      <w:r w:rsidRPr="00D5649E">
        <w:rPr>
          <w:rFonts w:asciiTheme="minorHAnsi" w:eastAsia="Helvetica" w:hAnsiTheme="minorHAnsi" w:cs="Helvetica"/>
          <w:sz w:val="22"/>
          <w:szCs w:val="22"/>
        </w:rPr>
        <w:t>–</w:t>
      </w:r>
      <w:r w:rsidR="00D5649E">
        <w:rPr>
          <w:rFonts w:asciiTheme="minorHAnsi" w:hAnsiTheme="minorHAnsi"/>
          <w:sz w:val="22"/>
          <w:szCs w:val="22"/>
        </w:rPr>
        <w:t>17.</w:t>
      </w:r>
    </w:p>
    <w:p w:rsidR="00115E75" w:rsidRPr="00D5649E" w:rsidRDefault="00115E75" w:rsidP="00D5649E">
      <w:pPr>
        <w:pStyle w:val="ListParagraph"/>
        <w:numPr>
          <w:ilvl w:val="0"/>
          <w:numId w:val="23"/>
        </w:numPr>
        <w:rPr>
          <w:rFonts w:asciiTheme="minorHAnsi" w:hAnsiTheme="minorHAnsi"/>
          <w:sz w:val="22"/>
          <w:szCs w:val="22"/>
        </w:rPr>
      </w:pPr>
      <w:r w:rsidRPr="00D5649E">
        <w:rPr>
          <w:rFonts w:asciiTheme="minorHAnsi" w:hAnsiTheme="minorHAnsi"/>
          <w:sz w:val="22"/>
          <w:szCs w:val="22"/>
        </w:rPr>
        <w:t xml:space="preserve">Meanwhile, only about two percent of </w:t>
      </w:r>
      <w:r w:rsidR="0017646B">
        <w:rPr>
          <w:rFonts w:asciiTheme="minorHAnsi" w:hAnsiTheme="minorHAnsi"/>
          <w:sz w:val="22"/>
          <w:szCs w:val="22"/>
        </w:rPr>
        <w:t xml:space="preserve">retained </w:t>
      </w:r>
      <w:r w:rsidR="00D5649E">
        <w:rPr>
          <w:rFonts w:asciiTheme="minorHAnsi" w:hAnsiTheme="minorHAnsi"/>
          <w:sz w:val="22"/>
          <w:szCs w:val="22"/>
        </w:rPr>
        <w:t>general education teachers</w:t>
      </w:r>
      <w:r w:rsidRPr="00D5649E">
        <w:rPr>
          <w:rFonts w:asciiTheme="minorHAnsi" w:hAnsiTheme="minorHAnsi"/>
          <w:sz w:val="22"/>
          <w:szCs w:val="22"/>
        </w:rPr>
        <w:t xml:space="preserve"> switched program areas in 2016</w:t>
      </w:r>
      <w:r w:rsidRPr="00D5649E">
        <w:rPr>
          <w:rFonts w:asciiTheme="minorHAnsi" w:eastAsia="Helvetica" w:hAnsiTheme="minorHAnsi" w:cs="Helvetica"/>
          <w:sz w:val="22"/>
          <w:szCs w:val="22"/>
        </w:rPr>
        <w:t>–</w:t>
      </w:r>
      <w:r w:rsidRPr="00D5649E">
        <w:rPr>
          <w:rFonts w:asciiTheme="minorHAnsi" w:hAnsiTheme="minorHAnsi"/>
          <w:sz w:val="22"/>
          <w:szCs w:val="22"/>
        </w:rPr>
        <w:t>17.</w:t>
      </w:r>
    </w:p>
    <w:p w:rsidR="00115E75" w:rsidRDefault="00115E75" w:rsidP="00253A5B">
      <w:pPr>
        <w:rPr>
          <w:rFonts w:ascii="Calibri" w:hAnsi="Calibri"/>
          <w:sz w:val="22"/>
          <w:szCs w:val="22"/>
        </w:rPr>
      </w:pPr>
    </w:p>
    <w:p w:rsidR="00361825" w:rsidRDefault="00D5649E" w:rsidP="00253A5B">
      <w:pPr>
        <w:rPr>
          <w:rFonts w:ascii="Calibri" w:hAnsi="Calibri"/>
          <w:sz w:val="22"/>
          <w:szCs w:val="22"/>
        </w:rPr>
      </w:pPr>
      <w:r>
        <w:rPr>
          <w:rFonts w:ascii="Calibri" w:hAnsi="Calibri"/>
          <w:sz w:val="22"/>
          <w:szCs w:val="22"/>
        </w:rPr>
        <w:t xml:space="preserve">The </w:t>
      </w:r>
      <w:r w:rsidR="00623070">
        <w:rPr>
          <w:rFonts w:ascii="Calibri" w:hAnsi="Calibri"/>
          <w:sz w:val="22"/>
          <w:szCs w:val="22"/>
        </w:rPr>
        <w:t>following graph</w:t>
      </w:r>
      <w:r>
        <w:rPr>
          <w:rFonts w:ascii="Calibri" w:hAnsi="Calibri"/>
          <w:sz w:val="22"/>
          <w:szCs w:val="22"/>
        </w:rPr>
        <w:t xml:space="preserve"> indicates </w:t>
      </w:r>
      <w:r w:rsidR="00217B59">
        <w:rPr>
          <w:rFonts w:ascii="Calibri" w:hAnsi="Calibri"/>
          <w:sz w:val="22"/>
          <w:szCs w:val="22"/>
        </w:rPr>
        <w:t xml:space="preserve">a different set of data: </w:t>
      </w:r>
      <w:r>
        <w:rPr>
          <w:rFonts w:ascii="Calibri" w:hAnsi="Calibri"/>
          <w:sz w:val="22"/>
          <w:szCs w:val="22"/>
        </w:rPr>
        <w:t>the rates at which ESL, special education, and general education teachers returned to teach in the same program area, from 2015–16 to 2016–17.</w:t>
      </w:r>
      <w:r w:rsidR="0034546D">
        <w:rPr>
          <w:rFonts w:ascii="Calibri" w:hAnsi="Calibri"/>
          <w:sz w:val="22"/>
          <w:szCs w:val="22"/>
        </w:rPr>
        <w:t xml:space="preserve"> </w:t>
      </w:r>
      <w:r w:rsidR="00E33D05">
        <w:rPr>
          <w:rFonts w:ascii="Calibri" w:hAnsi="Calibri"/>
          <w:sz w:val="22"/>
          <w:szCs w:val="22"/>
        </w:rPr>
        <w:t>Graph 3</w:t>
      </w:r>
      <w:r w:rsidR="0034546D">
        <w:rPr>
          <w:rFonts w:ascii="Calibri" w:hAnsi="Calibri"/>
          <w:sz w:val="22"/>
          <w:szCs w:val="22"/>
        </w:rPr>
        <w:t xml:space="preserve"> represents data from all 2015–16 teachers, including those who did not continue teaching.</w:t>
      </w:r>
    </w:p>
    <w:p w:rsidR="00C45883" w:rsidRDefault="00BC18A6" w:rsidP="00253A5B">
      <w:pPr>
        <w:rPr>
          <w:rFonts w:ascii="Calibri" w:hAnsi="Calibri"/>
          <w:sz w:val="22"/>
          <w:szCs w:val="22"/>
        </w:rPr>
      </w:pPr>
      <w:r>
        <w:rPr>
          <w:rFonts w:ascii="Calibri" w:hAnsi="Calibri"/>
          <w:noProof/>
          <w:sz w:val="22"/>
          <w:szCs w:val="22"/>
          <w:lang w:eastAsia="zh-CN"/>
        </w:rPr>
        <w:drawing>
          <wp:anchor distT="0" distB="0" distL="114300" distR="114300" simplePos="0" relativeHeight="251644928" behindDoc="0" locked="0" layoutInCell="1" allowOverlap="1" wp14:anchorId="69BD3233" wp14:editId="1A3BC73D">
            <wp:simplePos x="0" y="0"/>
            <wp:positionH relativeFrom="column">
              <wp:posOffset>157073</wp:posOffset>
            </wp:positionH>
            <wp:positionV relativeFrom="paragraph">
              <wp:posOffset>1402</wp:posOffset>
            </wp:positionV>
            <wp:extent cx="5483333" cy="2070339"/>
            <wp:effectExtent l="19050" t="0" r="3067" b="0"/>
            <wp:wrapNone/>
            <wp:docPr id="11" name="Picture 7" descr="Graph 3: Teacher retention by program area&#10;ESL teachers retained in school: 60.9%&#10;ESL teachers retained in district: 64.0%&#10;ESL teachers retained in state: 67.1%&#10;Special education teachers retained in school: 69.7%&#10;Special education teachers retained in districts: 71.8%&#10;Special education teachers retained in state: 74.6%&#10;General education teachers retained in school: 84.2%&#10;General education teachers retained in districts: 86.2%&#10;General education teachers retained in state: 8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srcRect/>
                    <a:stretch>
                      <a:fillRect/>
                    </a:stretch>
                  </pic:blipFill>
                  <pic:spPr bwMode="auto">
                    <a:xfrm>
                      <a:off x="0" y="0"/>
                      <a:ext cx="5483333" cy="2070339"/>
                    </a:xfrm>
                    <a:prstGeom prst="rect">
                      <a:avLst/>
                    </a:prstGeom>
                    <a:noFill/>
                    <a:ln w="9525">
                      <a:noFill/>
                      <a:miter lim="800000"/>
                      <a:headEnd/>
                      <a:tailEnd/>
                    </a:ln>
                  </pic:spPr>
                </pic:pic>
              </a:graphicData>
            </a:graphic>
          </wp:anchor>
        </w:drawing>
      </w: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C45883" w:rsidRDefault="00C45883" w:rsidP="00253A5B">
      <w:pPr>
        <w:rPr>
          <w:rFonts w:ascii="Calibri" w:hAnsi="Calibri"/>
          <w:sz w:val="22"/>
          <w:szCs w:val="22"/>
        </w:rPr>
      </w:pPr>
    </w:p>
    <w:p w:rsidR="004A4FF9" w:rsidRDefault="004A4FF9" w:rsidP="00253A5B"/>
    <w:p w:rsidR="00623070" w:rsidRPr="00623070" w:rsidRDefault="00623070" w:rsidP="00253A5B">
      <w:pPr>
        <w:rPr>
          <w:rFonts w:asciiTheme="minorHAnsi" w:hAnsiTheme="minorHAnsi"/>
          <w:sz w:val="22"/>
          <w:szCs w:val="22"/>
        </w:rPr>
      </w:pPr>
      <w:r w:rsidRPr="00623070">
        <w:rPr>
          <w:rFonts w:asciiTheme="minorHAnsi" w:hAnsiTheme="minorHAnsi"/>
          <w:sz w:val="22"/>
          <w:szCs w:val="22"/>
        </w:rPr>
        <w:t xml:space="preserve">Although the rates of retention </w:t>
      </w:r>
      <w:r w:rsidRPr="00623070">
        <w:rPr>
          <w:rFonts w:asciiTheme="minorHAnsi" w:hAnsiTheme="minorHAnsi"/>
          <w:i/>
          <w:sz w:val="22"/>
          <w:szCs w:val="22"/>
        </w:rPr>
        <w:t xml:space="preserve">within </w:t>
      </w:r>
      <w:r>
        <w:rPr>
          <w:rFonts w:asciiTheme="minorHAnsi" w:hAnsiTheme="minorHAnsi"/>
          <w:i/>
          <w:sz w:val="22"/>
          <w:szCs w:val="22"/>
        </w:rPr>
        <w:t xml:space="preserve">the same </w:t>
      </w:r>
      <w:r w:rsidRPr="00623070">
        <w:rPr>
          <w:rFonts w:asciiTheme="minorHAnsi" w:hAnsiTheme="minorHAnsi"/>
          <w:i/>
          <w:sz w:val="22"/>
          <w:szCs w:val="22"/>
        </w:rPr>
        <w:t>program area</w:t>
      </w:r>
      <w:r w:rsidRPr="00623070">
        <w:rPr>
          <w:rFonts w:asciiTheme="minorHAnsi" w:hAnsiTheme="minorHAnsi"/>
          <w:sz w:val="22"/>
          <w:szCs w:val="22"/>
        </w:rPr>
        <w:t xml:space="preserve"> vary</w:t>
      </w:r>
      <w:r w:rsidR="00217B59">
        <w:rPr>
          <w:rFonts w:asciiTheme="minorHAnsi" w:hAnsiTheme="minorHAnsi"/>
          <w:sz w:val="22"/>
          <w:szCs w:val="22"/>
        </w:rPr>
        <w:t xml:space="preserve"> (as shown in the above graph),</w:t>
      </w:r>
      <w:r w:rsidRPr="00623070">
        <w:rPr>
          <w:rFonts w:asciiTheme="minorHAnsi" w:hAnsiTheme="minorHAnsi"/>
          <w:sz w:val="22"/>
          <w:szCs w:val="22"/>
        </w:rPr>
        <w:t xml:space="preserve"> ESL</w:t>
      </w:r>
      <w:r w:rsidR="00951C50">
        <w:rPr>
          <w:rFonts w:asciiTheme="minorHAnsi" w:hAnsiTheme="minorHAnsi"/>
          <w:sz w:val="22"/>
          <w:szCs w:val="22"/>
        </w:rPr>
        <w:t xml:space="preserve"> teachers</w:t>
      </w:r>
      <w:r w:rsidRPr="00623070">
        <w:rPr>
          <w:rFonts w:asciiTheme="minorHAnsi" w:hAnsiTheme="minorHAnsi"/>
          <w:sz w:val="22"/>
          <w:szCs w:val="22"/>
        </w:rPr>
        <w:t>, special education</w:t>
      </w:r>
      <w:r w:rsidR="00723B48">
        <w:rPr>
          <w:rFonts w:asciiTheme="minorHAnsi" w:hAnsiTheme="minorHAnsi"/>
          <w:sz w:val="22"/>
          <w:szCs w:val="22"/>
        </w:rPr>
        <w:t xml:space="preserve"> teachers</w:t>
      </w:r>
      <w:r w:rsidRPr="00623070">
        <w:rPr>
          <w:rFonts w:asciiTheme="minorHAnsi" w:hAnsiTheme="minorHAnsi"/>
          <w:sz w:val="22"/>
          <w:szCs w:val="22"/>
        </w:rPr>
        <w:t>, and general education</w:t>
      </w:r>
      <w:r w:rsidR="00723B48">
        <w:rPr>
          <w:rFonts w:asciiTheme="minorHAnsi" w:hAnsiTheme="minorHAnsi"/>
          <w:sz w:val="22"/>
          <w:szCs w:val="22"/>
        </w:rPr>
        <w:t xml:space="preserve"> teachers</w:t>
      </w:r>
      <w:r w:rsidRPr="00623070">
        <w:rPr>
          <w:rFonts w:asciiTheme="minorHAnsi" w:hAnsiTheme="minorHAnsi"/>
          <w:sz w:val="22"/>
          <w:szCs w:val="22"/>
        </w:rPr>
        <w:t xml:space="preserve"> </w:t>
      </w:r>
      <w:r w:rsidR="00951C50">
        <w:rPr>
          <w:rFonts w:asciiTheme="minorHAnsi" w:hAnsiTheme="minorHAnsi"/>
          <w:sz w:val="22"/>
          <w:szCs w:val="22"/>
        </w:rPr>
        <w:t>remain</w:t>
      </w:r>
      <w:r w:rsidR="009A4086">
        <w:rPr>
          <w:rFonts w:asciiTheme="minorHAnsi" w:hAnsiTheme="minorHAnsi"/>
          <w:sz w:val="22"/>
          <w:szCs w:val="22"/>
        </w:rPr>
        <w:t xml:space="preserve"> </w:t>
      </w:r>
      <w:r w:rsidR="009A4086" w:rsidRPr="003B29B6">
        <w:rPr>
          <w:rFonts w:asciiTheme="minorHAnsi" w:hAnsiTheme="minorHAnsi"/>
          <w:i/>
          <w:sz w:val="22"/>
          <w:szCs w:val="22"/>
        </w:rPr>
        <w:t xml:space="preserve">in the teaching profession </w:t>
      </w:r>
      <w:r w:rsidR="003B29B6">
        <w:rPr>
          <w:rFonts w:asciiTheme="minorHAnsi" w:hAnsiTheme="minorHAnsi"/>
          <w:i/>
          <w:sz w:val="22"/>
          <w:szCs w:val="22"/>
        </w:rPr>
        <w:t xml:space="preserve">overall </w:t>
      </w:r>
      <w:r w:rsidR="009A4086">
        <w:rPr>
          <w:rFonts w:asciiTheme="minorHAnsi" w:hAnsiTheme="minorHAnsi"/>
          <w:sz w:val="22"/>
          <w:szCs w:val="22"/>
        </w:rPr>
        <w:t>at about the same rates</w:t>
      </w:r>
      <w:r w:rsidR="00361825">
        <w:rPr>
          <w:rFonts w:asciiTheme="minorHAnsi" w:hAnsiTheme="minorHAnsi"/>
          <w:sz w:val="22"/>
          <w:szCs w:val="22"/>
        </w:rPr>
        <w:t xml:space="preserve"> </w:t>
      </w:r>
      <w:r w:rsidRPr="00623070">
        <w:rPr>
          <w:rFonts w:asciiTheme="minorHAnsi" w:hAnsiTheme="minorHAnsi"/>
          <w:sz w:val="22"/>
          <w:szCs w:val="22"/>
        </w:rPr>
        <w:t>(</w:t>
      </w:r>
      <w:hyperlink w:anchor="_Appendix_E:_Data" w:history="1">
        <w:r w:rsidRPr="00AD52F2">
          <w:rPr>
            <w:rStyle w:val="Hyperlink"/>
            <w:rFonts w:asciiTheme="minorHAnsi" w:hAnsiTheme="minorHAnsi"/>
            <w:sz w:val="22"/>
            <w:szCs w:val="22"/>
          </w:rPr>
          <w:t>pag</w:t>
        </w:r>
        <w:r w:rsidR="00AD52F2" w:rsidRPr="00AD52F2">
          <w:rPr>
            <w:rStyle w:val="Hyperlink"/>
            <w:rFonts w:asciiTheme="minorHAnsi" w:hAnsiTheme="minorHAnsi"/>
            <w:sz w:val="22"/>
            <w:szCs w:val="22"/>
          </w:rPr>
          <w:t>e 2</w:t>
        </w:r>
        <w:r w:rsidR="0055367B">
          <w:rPr>
            <w:rStyle w:val="Hyperlink"/>
            <w:rFonts w:asciiTheme="minorHAnsi" w:hAnsiTheme="minorHAnsi"/>
            <w:sz w:val="22"/>
            <w:szCs w:val="22"/>
          </w:rPr>
          <w:t>7</w:t>
        </w:r>
        <w:r w:rsidRPr="00AD52F2">
          <w:rPr>
            <w:rStyle w:val="Hyperlink"/>
            <w:rFonts w:asciiTheme="minorHAnsi" w:hAnsiTheme="minorHAnsi"/>
            <w:sz w:val="22"/>
            <w:szCs w:val="22"/>
          </w:rPr>
          <w:t>, Appendix E</w:t>
        </w:r>
      </w:hyperlink>
      <w:r w:rsidRPr="00623070">
        <w:rPr>
          <w:rFonts w:asciiTheme="minorHAnsi" w:hAnsiTheme="minorHAnsi"/>
          <w:sz w:val="22"/>
          <w:szCs w:val="22"/>
        </w:rPr>
        <w:t>)</w:t>
      </w:r>
      <w:r w:rsidR="003B29B6">
        <w:rPr>
          <w:rFonts w:asciiTheme="minorHAnsi" w:hAnsiTheme="minorHAnsi"/>
          <w:sz w:val="22"/>
          <w:szCs w:val="22"/>
        </w:rPr>
        <w:t>, even if they switch program areas</w:t>
      </w:r>
      <w:r w:rsidRPr="00623070">
        <w:rPr>
          <w:rFonts w:asciiTheme="minorHAnsi" w:hAnsiTheme="minorHAnsi"/>
          <w:sz w:val="22"/>
          <w:szCs w:val="22"/>
        </w:rPr>
        <w:t>.</w:t>
      </w:r>
    </w:p>
    <w:p w:rsidR="00C82266" w:rsidRPr="003432ED" w:rsidRDefault="00AD52F2" w:rsidP="00A22931">
      <w:pPr>
        <w:pStyle w:val="Heading4"/>
        <w:rPr>
          <w:rFonts w:ascii="Calibri" w:hAnsi="Calibri"/>
          <w:color w:val="auto"/>
        </w:rPr>
      </w:pPr>
      <w:r>
        <w:rPr>
          <w:rFonts w:ascii="Calibri" w:hAnsi="Calibri"/>
          <w:color w:val="auto"/>
        </w:rPr>
        <w:t>Retention in the s</w:t>
      </w:r>
      <w:r w:rsidR="004A4FF9" w:rsidRPr="003432ED">
        <w:rPr>
          <w:rFonts w:ascii="Calibri" w:hAnsi="Calibri"/>
          <w:color w:val="auto"/>
        </w:rPr>
        <w:t>ubject area</w:t>
      </w:r>
    </w:p>
    <w:p w:rsidR="00B160D8" w:rsidRPr="00EF126C" w:rsidRDefault="00B160D8" w:rsidP="00253A5B">
      <w:pPr>
        <w:rPr>
          <w:rFonts w:ascii="Calibri" w:hAnsi="Calibri"/>
          <w:sz w:val="22"/>
          <w:szCs w:val="22"/>
        </w:rPr>
      </w:pPr>
      <w:r>
        <w:rPr>
          <w:rFonts w:ascii="Calibri" w:hAnsi="Calibri"/>
          <w:sz w:val="22"/>
          <w:szCs w:val="22"/>
        </w:rPr>
        <w:t xml:space="preserve">At the state level, across major subject areas </w:t>
      </w:r>
      <w:r w:rsidR="00951C50">
        <w:rPr>
          <w:rFonts w:ascii="Calibri" w:hAnsi="Calibri"/>
          <w:sz w:val="22"/>
          <w:szCs w:val="22"/>
        </w:rPr>
        <w:t>teachers continue</w:t>
      </w:r>
      <w:r w:rsidR="00361825">
        <w:rPr>
          <w:rFonts w:ascii="Calibri" w:hAnsi="Calibri"/>
          <w:sz w:val="22"/>
          <w:szCs w:val="22"/>
        </w:rPr>
        <w:t xml:space="preserve"> as Massachusetts public school</w:t>
      </w:r>
      <w:r>
        <w:rPr>
          <w:rFonts w:ascii="Calibri" w:hAnsi="Calibri"/>
          <w:sz w:val="22"/>
          <w:szCs w:val="22"/>
        </w:rPr>
        <w:t xml:space="preserve"> teachers at about the same rates. </w:t>
      </w:r>
      <w:r w:rsidR="00E36914">
        <w:rPr>
          <w:rFonts w:ascii="Calibri" w:hAnsi="Calibri"/>
          <w:sz w:val="22"/>
          <w:szCs w:val="22"/>
        </w:rPr>
        <w:t xml:space="preserve">While other data indicates that STEM-field teachers are in greater demand, their rate of retention as STEM teachers—and in the same district and school—is comparable to that of most other subjects. </w:t>
      </w:r>
      <w:r w:rsidR="00F60769">
        <w:rPr>
          <w:rFonts w:ascii="Calibri" w:hAnsi="Calibri"/>
          <w:sz w:val="22"/>
          <w:szCs w:val="22"/>
        </w:rPr>
        <w:t>In</w:t>
      </w:r>
      <w:r>
        <w:rPr>
          <w:rFonts w:ascii="Calibri" w:hAnsi="Calibri"/>
          <w:sz w:val="22"/>
          <w:szCs w:val="22"/>
        </w:rPr>
        <w:t xml:space="preserve"> most subjects, about 85 percent of retained teachers continued teaching </w:t>
      </w:r>
      <w:r w:rsidR="00F60769" w:rsidRPr="00F60769">
        <w:rPr>
          <w:rFonts w:ascii="Calibri" w:hAnsi="Calibri"/>
          <w:i/>
          <w:sz w:val="22"/>
          <w:szCs w:val="22"/>
        </w:rPr>
        <w:t>in the</w:t>
      </w:r>
      <w:r w:rsidRPr="00F60769">
        <w:rPr>
          <w:rFonts w:ascii="Calibri" w:hAnsi="Calibri"/>
          <w:i/>
          <w:sz w:val="22"/>
          <w:szCs w:val="22"/>
        </w:rPr>
        <w:t xml:space="preserve"> same subje</w:t>
      </w:r>
      <w:r w:rsidR="00EF126C">
        <w:rPr>
          <w:rFonts w:ascii="Calibri" w:hAnsi="Calibri"/>
          <w:i/>
          <w:sz w:val="22"/>
          <w:szCs w:val="22"/>
        </w:rPr>
        <w:t>ct</w:t>
      </w:r>
      <w:r w:rsidR="00EF126C">
        <w:rPr>
          <w:rFonts w:ascii="Calibri" w:hAnsi="Calibri"/>
          <w:sz w:val="22"/>
          <w:szCs w:val="22"/>
        </w:rPr>
        <w:t>.</w:t>
      </w:r>
    </w:p>
    <w:p w:rsidR="004A4FF9" w:rsidRPr="003432ED" w:rsidRDefault="004A4FF9" w:rsidP="00531864">
      <w:pPr>
        <w:pStyle w:val="Heading2"/>
        <w:rPr>
          <w:rFonts w:ascii="Calibri" w:hAnsi="Calibri"/>
        </w:rPr>
      </w:pPr>
      <w:bookmarkStart w:id="28" w:name="_Retention_of_educators"/>
      <w:bookmarkStart w:id="29" w:name="_Toc509831826"/>
      <w:bookmarkEnd w:id="28"/>
      <w:r w:rsidRPr="003432ED">
        <w:rPr>
          <w:rFonts w:ascii="Calibri" w:hAnsi="Calibri"/>
        </w:rPr>
        <w:t>Retention of educators of color</w:t>
      </w:r>
      <w:bookmarkEnd w:id="29"/>
    </w:p>
    <w:p w:rsidR="00216738" w:rsidRDefault="00216738" w:rsidP="00216738">
      <w:pPr>
        <w:rPr>
          <w:rFonts w:asciiTheme="minorHAnsi" w:hAnsiTheme="minorHAnsi"/>
          <w:sz w:val="22"/>
          <w:szCs w:val="22"/>
        </w:rPr>
      </w:pPr>
      <w:r w:rsidRPr="00D948B3">
        <w:rPr>
          <w:rFonts w:asciiTheme="minorHAnsi" w:hAnsiTheme="minorHAnsi"/>
          <w:sz w:val="22"/>
          <w:szCs w:val="22"/>
        </w:rPr>
        <w:t>In</w:t>
      </w:r>
      <w:r>
        <w:rPr>
          <w:rFonts w:asciiTheme="minorHAnsi" w:hAnsiTheme="minorHAnsi"/>
          <w:sz w:val="22"/>
          <w:szCs w:val="22"/>
        </w:rPr>
        <w:t xml:space="preserve"> Massachusetts public schools, the demographics of our workforce do not match those of our student populations and while our pipeline is increasingly diverse, attrition rates of educators of color are higher than that of their white colleagues. </w:t>
      </w:r>
    </w:p>
    <w:p w:rsidR="00216738" w:rsidRDefault="00216738" w:rsidP="00216738">
      <w:pPr>
        <w:rPr>
          <w:rFonts w:asciiTheme="minorHAnsi" w:hAnsiTheme="minorHAnsi"/>
          <w:sz w:val="22"/>
          <w:szCs w:val="22"/>
        </w:rPr>
      </w:pPr>
    </w:p>
    <w:p w:rsidR="004A4FF9" w:rsidRPr="00D948B3" w:rsidRDefault="00216738" w:rsidP="00253A5B">
      <w:pPr>
        <w:rPr>
          <w:rFonts w:asciiTheme="minorHAnsi" w:hAnsiTheme="minorHAnsi"/>
          <w:sz w:val="22"/>
          <w:szCs w:val="22"/>
        </w:rPr>
      </w:pPr>
      <w:r>
        <w:rPr>
          <w:rFonts w:ascii="Calibri" w:hAnsi="Calibri"/>
          <w:sz w:val="22"/>
          <w:szCs w:val="22"/>
        </w:rPr>
        <w:t>This is worthy of attention as an increasing body of q</w:t>
      </w:r>
      <w:r w:rsidR="004A4FF9" w:rsidRPr="003432ED">
        <w:rPr>
          <w:rFonts w:ascii="Calibri" w:hAnsi="Calibri"/>
          <w:sz w:val="22"/>
          <w:szCs w:val="22"/>
        </w:rPr>
        <w:t xml:space="preserve">uantitative and qualitative research </w:t>
      </w:r>
      <w:r w:rsidR="00951C50">
        <w:rPr>
          <w:rFonts w:ascii="Calibri" w:hAnsi="Calibri"/>
          <w:sz w:val="22"/>
          <w:szCs w:val="22"/>
        </w:rPr>
        <w:t>shows</w:t>
      </w:r>
      <w:r w:rsidR="004A4FF9" w:rsidRPr="003432ED">
        <w:rPr>
          <w:rFonts w:ascii="Calibri" w:hAnsi="Calibri"/>
          <w:sz w:val="22"/>
          <w:szCs w:val="22"/>
        </w:rPr>
        <w:t xml:space="preserve"> that students benefit from </w:t>
      </w:r>
      <w:r w:rsidR="0017646B">
        <w:rPr>
          <w:rFonts w:ascii="Calibri" w:hAnsi="Calibri"/>
          <w:sz w:val="22"/>
          <w:szCs w:val="22"/>
        </w:rPr>
        <w:t>assignment</w:t>
      </w:r>
      <w:r w:rsidR="004A4FF9" w:rsidRPr="003432ED">
        <w:rPr>
          <w:rFonts w:ascii="Calibri" w:hAnsi="Calibri"/>
          <w:sz w:val="22"/>
          <w:szCs w:val="22"/>
        </w:rPr>
        <w:t xml:space="preserve"> </w:t>
      </w:r>
      <w:r w:rsidR="001474EC" w:rsidRPr="003432ED">
        <w:rPr>
          <w:rFonts w:ascii="Calibri" w:hAnsi="Calibri"/>
          <w:sz w:val="22"/>
          <w:szCs w:val="22"/>
        </w:rPr>
        <w:t>to diverse te</w:t>
      </w:r>
      <w:r w:rsidR="002E2158" w:rsidRPr="003432ED">
        <w:rPr>
          <w:rFonts w:ascii="Calibri" w:hAnsi="Calibri"/>
          <w:sz w:val="22"/>
          <w:szCs w:val="22"/>
        </w:rPr>
        <w:t>achers</w:t>
      </w:r>
      <w:r w:rsidR="004A4FF9" w:rsidRPr="003432ED">
        <w:rPr>
          <w:rFonts w:ascii="Calibri" w:hAnsi="Calibri"/>
          <w:sz w:val="22"/>
          <w:szCs w:val="22"/>
        </w:rPr>
        <w:t xml:space="preserve">. The positive effects </w:t>
      </w:r>
      <w:r w:rsidR="004A4FF9" w:rsidRPr="00F60769">
        <w:rPr>
          <w:rFonts w:asciiTheme="minorHAnsi" w:hAnsiTheme="minorHAnsi"/>
          <w:sz w:val="22"/>
          <w:szCs w:val="22"/>
        </w:rPr>
        <w:t xml:space="preserve">when students of color spend time in classrooms with teachers of color have been found to include </w:t>
      </w:r>
      <w:r w:rsidR="004A4FF9" w:rsidRPr="00D948B3">
        <w:rPr>
          <w:rFonts w:asciiTheme="minorHAnsi" w:hAnsiTheme="minorHAnsi"/>
          <w:sz w:val="22"/>
          <w:szCs w:val="22"/>
        </w:rPr>
        <w:t>higher reading and math test scores, higher graduation rates, lower dropout rates</w:t>
      </w:r>
      <w:r w:rsidR="00536589" w:rsidRPr="00D948B3">
        <w:rPr>
          <w:rFonts w:asciiTheme="minorHAnsi" w:hAnsiTheme="minorHAnsi"/>
          <w:sz w:val="22"/>
          <w:szCs w:val="22"/>
        </w:rPr>
        <w:t>, fewer suspensions</w:t>
      </w:r>
      <w:r w:rsidR="004A4FF9" w:rsidRPr="00D948B3">
        <w:rPr>
          <w:rFonts w:asciiTheme="minorHAnsi" w:hAnsiTheme="minorHAnsi"/>
          <w:sz w:val="22"/>
          <w:szCs w:val="22"/>
        </w:rPr>
        <w:t>, and higher enrollment in advanced courses.</w:t>
      </w:r>
      <w:r w:rsidR="004A4FF9" w:rsidRPr="00D948B3">
        <w:rPr>
          <w:rFonts w:asciiTheme="minorHAnsi" w:hAnsiTheme="minorHAnsi"/>
          <w:sz w:val="22"/>
          <w:szCs w:val="22"/>
          <w:vertAlign w:val="superscript"/>
        </w:rPr>
        <w:endnoteReference w:id="16"/>
      </w:r>
      <w:r w:rsidR="004A4FF9" w:rsidRPr="00D948B3">
        <w:rPr>
          <w:rFonts w:asciiTheme="minorHAnsi" w:hAnsiTheme="minorHAnsi"/>
          <w:sz w:val="22"/>
          <w:szCs w:val="22"/>
          <w:vertAlign w:val="superscript"/>
        </w:rPr>
        <w:t xml:space="preserve"> </w:t>
      </w:r>
      <w:r w:rsidR="004A4FF9" w:rsidRPr="00D948B3">
        <w:rPr>
          <w:rFonts w:asciiTheme="minorHAnsi" w:hAnsiTheme="minorHAnsi"/>
          <w:sz w:val="22"/>
          <w:szCs w:val="22"/>
        </w:rPr>
        <w:t>Studies primarily focus on the impacts of white, black</w:t>
      </w:r>
      <w:r w:rsidR="00951C50">
        <w:rPr>
          <w:rFonts w:asciiTheme="minorHAnsi" w:hAnsiTheme="minorHAnsi"/>
          <w:sz w:val="22"/>
          <w:szCs w:val="22"/>
        </w:rPr>
        <w:t>,</w:t>
      </w:r>
      <w:r w:rsidR="004A4FF9" w:rsidRPr="00D948B3">
        <w:rPr>
          <w:rFonts w:asciiTheme="minorHAnsi" w:hAnsiTheme="minorHAnsi"/>
          <w:sz w:val="22"/>
          <w:szCs w:val="22"/>
        </w:rPr>
        <w:t xml:space="preserve"> and Latino teachers</w:t>
      </w:r>
      <w:r w:rsidR="004A4FF9" w:rsidRPr="00D948B3">
        <w:rPr>
          <w:rFonts w:asciiTheme="minorHAnsi" w:hAnsiTheme="minorHAnsi"/>
          <w:sz w:val="22"/>
          <w:szCs w:val="22"/>
          <w:vertAlign w:val="superscript"/>
        </w:rPr>
        <w:endnoteReference w:id="17"/>
      </w:r>
      <w:r w:rsidR="004A4FF9" w:rsidRPr="00D948B3">
        <w:rPr>
          <w:rFonts w:asciiTheme="minorHAnsi" w:hAnsiTheme="minorHAnsi"/>
          <w:sz w:val="22"/>
          <w:szCs w:val="22"/>
        </w:rPr>
        <w:t>—and have shown that a more diverse teacher workforce has positive impacts for students of all races.</w:t>
      </w:r>
      <w:r w:rsidR="004A4FF9" w:rsidRPr="00D948B3">
        <w:rPr>
          <w:rFonts w:asciiTheme="minorHAnsi" w:hAnsiTheme="minorHAnsi"/>
          <w:sz w:val="22"/>
          <w:szCs w:val="22"/>
          <w:vertAlign w:val="superscript"/>
        </w:rPr>
        <w:endnoteReference w:id="18"/>
      </w:r>
    </w:p>
    <w:p w:rsidR="004F5985" w:rsidRPr="00D948B3" w:rsidRDefault="0063542C" w:rsidP="00531864">
      <w:pPr>
        <w:rPr>
          <w:rFonts w:asciiTheme="minorHAnsi" w:hAnsiTheme="minorHAnsi"/>
          <w:sz w:val="22"/>
          <w:szCs w:val="22"/>
        </w:rPr>
      </w:pPr>
      <w:r>
        <w:rPr>
          <w:rFonts w:ascii="Calibri" w:hAnsi="Calibri"/>
          <w:noProof/>
          <w:sz w:val="22"/>
          <w:szCs w:val="22"/>
          <w:lang w:eastAsia="zh-CN"/>
        </w:rPr>
        <w:lastRenderedPageBreak/>
        <mc:AlternateContent>
          <mc:Choice Requires="wps">
            <w:drawing>
              <wp:anchor distT="0" distB="0" distL="114300" distR="114300" simplePos="0" relativeHeight="251641855" behindDoc="0" locked="0" layoutInCell="1" allowOverlap="1" wp14:anchorId="02573A8B" wp14:editId="5AD80C8A">
                <wp:simplePos x="0" y="0"/>
                <wp:positionH relativeFrom="column">
                  <wp:posOffset>-247650</wp:posOffset>
                </wp:positionH>
                <wp:positionV relativeFrom="paragraph">
                  <wp:posOffset>-200025</wp:posOffset>
                </wp:positionV>
                <wp:extent cx="6438900" cy="8972550"/>
                <wp:effectExtent l="0" t="0" r="0" b="0"/>
                <wp:wrapNone/>
                <wp:docPr id="17" name="Rectangle 41" descr="Light 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8972550"/>
                        </a:xfrm>
                        <a:prstGeom prst="rect">
                          <a:avLst/>
                        </a:prstGeom>
                        <a:solidFill>
                          <a:srgbClr val="DBE5F1">
                            <a:alpha val="1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A33CA" id="Rectangle 41" o:spid="_x0000_s1026" alt="Light blue background" style="position:absolute;margin-left:-19.5pt;margin-top:-15.75pt;width:507pt;height:706.5pt;z-index:2516418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" fillcolor="#dbe5f1" stroked="f">
                <v:fill opacity="12336f"/>
              </v:rect>
            </w:pict>
          </mc:Fallback>
        </mc:AlternateContent>
      </w:r>
    </w:p>
    <w:p w:rsidR="00016BC7" w:rsidRPr="00084C83" w:rsidRDefault="00016BC7" w:rsidP="00016BC7">
      <w:pPr>
        <w:rPr>
          <w:rFonts w:asciiTheme="minorHAnsi" w:hAnsiTheme="minorHAnsi"/>
          <w:b/>
          <w:sz w:val="22"/>
          <w:szCs w:val="22"/>
        </w:rPr>
      </w:pPr>
      <w:r w:rsidRPr="00084C83">
        <w:rPr>
          <w:rFonts w:asciiTheme="minorHAnsi" w:hAnsiTheme="minorHAnsi"/>
          <w:b/>
          <w:sz w:val="22"/>
          <w:szCs w:val="22"/>
        </w:rPr>
        <w:t>Table 2:</w:t>
      </w:r>
      <w:r>
        <w:rPr>
          <w:rFonts w:asciiTheme="minorHAnsi" w:hAnsiTheme="minorHAnsi"/>
          <w:b/>
          <w:sz w:val="22"/>
          <w:szCs w:val="22"/>
        </w:rPr>
        <w:t xml:space="preserve"> Racial/ethnic diversity of teachers and students</w:t>
      </w:r>
      <w:r w:rsidR="0046464E">
        <w:rPr>
          <w:rFonts w:asciiTheme="minorHAnsi" w:hAnsiTheme="minorHAnsi"/>
          <w:b/>
          <w:sz w:val="22"/>
          <w:szCs w:val="22"/>
        </w:rPr>
        <w:t>, 2016–17</w:t>
      </w:r>
    </w:p>
    <w:tbl>
      <w:tblPr>
        <w:tblStyle w:val="TableGrid"/>
        <w:tblW w:w="9355" w:type="dxa"/>
        <w:tblLayout w:type="fixed"/>
        <w:tblLook w:val="04A0" w:firstRow="1" w:lastRow="0" w:firstColumn="1" w:lastColumn="0" w:noHBand="0" w:noVBand="1"/>
        <w:tblDescription w:val="Racial/ethnic diversity of teachers and students, 2016-17"/>
      </w:tblPr>
      <w:tblGrid>
        <w:gridCol w:w="2538"/>
        <w:gridCol w:w="1260"/>
        <w:gridCol w:w="1260"/>
        <w:gridCol w:w="1800"/>
        <w:gridCol w:w="1260"/>
        <w:gridCol w:w="1237"/>
      </w:tblGrid>
      <w:tr w:rsidR="00016BC7" w:rsidRPr="003432ED" w:rsidTr="0046464E">
        <w:trPr>
          <w:tblHeader/>
        </w:trPr>
        <w:tc>
          <w:tcPr>
            <w:tcW w:w="2538" w:type="dxa"/>
            <w:shd w:val="clear" w:color="auto" w:fill="B8CCE4" w:themeFill="accent1" w:themeFillTint="66"/>
          </w:tcPr>
          <w:p w:rsidR="00016BC7" w:rsidRPr="00513CAA" w:rsidRDefault="00016BC7" w:rsidP="00DF441A">
            <w:pPr>
              <w:rPr>
                <w:rFonts w:asciiTheme="minorHAnsi" w:hAnsiTheme="minorHAnsi"/>
                <w:b/>
                <w:sz w:val="22"/>
                <w:szCs w:val="22"/>
              </w:rPr>
            </w:pPr>
          </w:p>
        </w:tc>
        <w:tc>
          <w:tcPr>
            <w:tcW w:w="1260" w:type="dxa"/>
            <w:shd w:val="clear" w:color="auto" w:fill="B8CCE4" w:themeFill="accent1" w:themeFillTint="66"/>
          </w:tcPr>
          <w:p w:rsidR="00016BC7" w:rsidRDefault="00016BC7" w:rsidP="00DF441A">
            <w:pPr>
              <w:jc w:val="center"/>
              <w:rPr>
                <w:rFonts w:asciiTheme="minorHAnsi" w:hAnsiTheme="minorHAnsi"/>
                <w:b/>
                <w:sz w:val="22"/>
                <w:szCs w:val="22"/>
              </w:rPr>
            </w:pPr>
          </w:p>
          <w:p w:rsidR="00016BC7" w:rsidRPr="00513CAA" w:rsidRDefault="00016BC7" w:rsidP="00DF441A">
            <w:pPr>
              <w:jc w:val="center"/>
              <w:rPr>
                <w:rFonts w:asciiTheme="minorHAnsi" w:hAnsiTheme="minorHAnsi"/>
                <w:b/>
                <w:sz w:val="22"/>
                <w:szCs w:val="22"/>
              </w:rPr>
            </w:pPr>
            <w:r>
              <w:rPr>
                <w:rFonts w:asciiTheme="minorHAnsi" w:hAnsiTheme="minorHAnsi"/>
                <w:b/>
                <w:sz w:val="22"/>
                <w:szCs w:val="22"/>
              </w:rPr>
              <w:t>W</w:t>
            </w:r>
            <w:r w:rsidRPr="00513CAA">
              <w:rPr>
                <w:rFonts w:asciiTheme="minorHAnsi" w:hAnsiTheme="minorHAnsi"/>
                <w:b/>
                <w:sz w:val="22"/>
                <w:szCs w:val="22"/>
              </w:rPr>
              <w:t>hite</w:t>
            </w:r>
          </w:p>
        </w:tc>
        <w:tc>
          <w:tcPr>
            <w:tcW w:w="1260" w:type="dxa"/>
            <w:shd w:val="clear" w:color="auto" w:fill="B8CCE4" w:themeFill="accent1" w:themeFillTint="66"/>
          </w:tcPr>
          <w:p w:rsidR="00016BC7" w:rsidRDefault="00016BC7" w:rsidP="00DF441A">
            <w:pPr>
              <w:jc w:val="center"/>
              <w:rPr>
                <w:rFonts w:asciiTheme="minorHAnsi" w:hAnsiTheme="minorHAnsi"/>
                <w:b/>
                <w:sz w:val="22"/>
                <w:szCs w:val="22"/>
              </w:rPr>
            </w:pPr>
          </w:p>
          <w:p w:rsidR="00016BC7" w:rsidRPr="00513CAA" w:rsidRDefault="00016BC7" w:rsidP="00DF441A">
            <w:pPr>
              <w:jc w:val="center"/>
              <w:rPr>
                <w:rFonts w:asciiTheme="minorHAnsi" w:hAnsiTheme="minorHAnsi"/>
                <w:b/>
                <w:sz w:val="22"/>
                <w:szCs w:val="22"/>
              </w:rPr>
            </w:pPr>
            <w:r w:rsidRPr="00513CAA">
              <w:rPr>
                <w:rFonts w:asciiTheme="minorHAnsi" w:hAnsiTheme="minorHAnsi"/>
                <w:b/>
                <w:sz w:val="22"/>
                <w:szCs w:val="22"/>
              </w:rPr>
              <w:t>Hispanic</w:t>
            </w:r>
          </w:p>
        </w:tc>
        <w:tc>
          <w:tcPr>
            <w:tcW w:w="1800" w:type="dxa"/>
            <w:shd w:val="clear" w:color="auto" w:fill="B8CCE4" w:themeFill="accent1" w:themeFillTint="66"/>
          </w:tcPr>
          <w:p w:rsidR="00016BC7" w:rsidRPr="00513CAA" w:rsidRDefault="00016BC7" w:rsidP="00DF441A">
            <w:pPr>
              <w:jc w:val="center"/>
              <w:rPr>
                <w:rFonts w:asciiTheme="minorHAnsi" w:hAnsiTheme="minorHAnsi"/>
                <w:b/>
                <w:sz w:val="22"/>
                <w:szCs w:val="22"/>
              </w:rPr>
            </w:pPr>
            <w:r w:rsidRPr="00513CAA">
              <w:rPr>
                <w:rFonts w:asciiTheme="minorHAnsi" w:hAnsiTheme="minorHAnsi"/>
                <w:b/>
                <w:sz w:val="22"/>
                <w:szCs w:val="22"/>
              </w:rPr>
              <w:t>African American/black</w:t>
            </w:r>
          </w:p>
        </w:tc>
        <w:tc>
          <w:tcPr>
            <w:tcW w:w="1260" w:type="dxa"/>
            <w:shd w:val="clear" w:color="auto" w:fill="B8CCE4" w:themeFill="accent1" w:themeFillTint="66"/>
          </w:tcPr>
          <w:p w:rsidR="00016BC7" w:rsidRDefault="00016BC7" w:rsidP="00DF441A">
            <w:pPr>
              <w:jc w:val="center"/>
              <w:rPr>
                <w:rFonts w:asciiTheme="minorHAnsi" w:hAnsiTheme="minorHAnsi"/>
                <w:b/>
                <w:sz w:val="22"/>
                <w:szCs w:val="22"/>
              </w:rPr>
            </w:pPr>
          </w:p>
          <w:p w:rsidR="00016BC7" w:rsidRPr="00513CAA" w:rsidRDefault="00016BC7" w:rsidP="00DF441A">
            <w:pPr>
              <w:jc w:val="center"/>
              <w:rPr>
                <w:rFonts w:asciiTheme="minorHAnsi" w:hAnsiTheme="minorHAnsi"/>
                <w:b/>
                <w:sz w:val="22"/>
                <w:szCs w:val="22"/>
              </w:rPr>
            </w:pPr>
            <w:r w:rsidRPr="00513CAA">
              <w:rPr>
                <w:rFonts w:asciiTheme="minorHAnsi" w:hAnsiTheme="minorHAnsi"/>
                <w:b/>
                <w:sz w:val="22"/>
                <w:szCs w:val="22"/>
              </w:rPr>
              <w:t>Asian</w:t>
            </w:r>
          </w:p>
        </w:tc>
        <w:tc>
          <w:tcPr>
            <w:tcW w:w="1237" w:type="dxa"/>
            <w:shd w:val="clear" w:color="auto" w:fill="B8CCE4" w:themeFill="accent1" w:themeFillTint="66"/>
          </w:tcPr>
          <w:p w:rsidR="00016BC7" w:rsidRDefault="00016BC7" w:rsidP="00DF441A">
            <w:pPr>
              <w:jc w:val="center"/>
              <w:rPr>
                <w:rFonts w:asciiTheme="minorHAnsi" w:hAnsiTheme="minorHAnsi"/>
                <w:b/>
                <w:sz w:val="22"/>
                <w:szCs w:val="22"/>
              </w:rPr>
            </w:pPr>
          </w:p>
          <w:p w:rsidR="00016BC7" w:rsidRPr="00513CAA" w:rsidRDefault="00016BC7" w:rsidP="00DF441A">
            <w:pPr>
              <w:jc w:val="center"/>
              <w:rPr>
                <w:rFonts w:asciiTheme="minorHAnsi" w:hAnsiTheme="minorHAnsi"/>
                <w:b/>
                <w:sz w:val="22"/>
                <w:szCs w:val="22"/>
              </w:rPr>
            </w:pPr>
            <w:r w:rsidRPr="00513CAA">
              <w:rPr>
                <w:rFonts w:asciiTheme="minorHAnsi" w:hAnsiTheme="minorHAnsi"/>
                <w:b/>
                <w:sz w:val="22"/>
                <w:szCs w:val="22"/>
              </w:rPr>
              <w:t>Other</w:t>
            </w:r>
          </w:p>
        </w:tc>
      </w:tr>
      <w:tr w:rsidR="00016BC7" w:rsidRPr="003432ED" w:rsidTr="0046464E">
        <w:tc>
          <w:tcPr>
            <w:tcW w:w="2538" w:type="dxa"/>
            <w:shd w:val="clear" w:color="auto" w:fill="B8CCE4" w:themeFill="accent1" w:themeFillTint="66"/>
          </w:tcPr>
          <w:p w:rsidR="00016BC7" w:rsidRPr="00513CAA" w:rsidRDefault="00016BC7" w:rsidP="0046464E">
            <w:pPr>
              <w:rPr>
                <w:rFonts w:asciiTheme="minorHAnsi" w:hAnsiTheme="minorHAnsi"/>
                <w:b/>
                <w:sz w:val="22"/>
                <w:szCs w:val="22"/>
              </w:rPr>
            </w:pPr>
            <w:r w:rsidRPr="00513CAA">
              <w:rPr>
                <w:rFonts w:asciiTheme="minorHAnsi" w:hAnsiTheme="minorHAnsi"/>
                <w:b/>
                <w:sz w:val="22"/>
                <w:szCs w:val="22"/>
              </w:rPr>
              <w:t>Proportion of teachers</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92.3%</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2.8%</w:t>
            </w:r>
          </w:p>
        </w:tc>
        <w:tc>
          <w:tcPr>
            <w:tcW w:w="180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2.8%</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1.4%</w:t>
            </w:r>
          </w:p>
        </w:tc>
        <w:tc>
          <w:tcPr>
            <w:tcW w:w="1237"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0.6%</w:t>
            </w:r>
          </w:p>
        </w:tc>
      </w:tr>
      <w:tr w:rsidR="00016BC7" w:rsidRPr="003432ED" w:rsidTr="0046464E">
        <w:tc>
          <w:tcPr>
            <w:tcW w:w="2538" w:type="dxa"/>
            <w:shd w:val="clear" w:color="auto" w:fill="B8CCE4" w:themeFill="accent1" w:themeFillTint="66"/>
          </w:tcPr>
          <w:p w:rsidR="00016BC7" w:rsidRPr="00513CAA" w:rsidRDefault="00016BC7" w:rsidP="0046464E">
            <w:pPr>
              <w:rPr>
                <w:rFonts w:asciiTheme="minorHAnsi" w:hAnsiTheme="minorHAnsi"/>
                <w:b/>
                <w:sz w:val="22"/>
                <w:szCs w:val="22"/>
              </w:rPr>
            </w:pPr>
            <w:r w:rsidRPr="00513CAA">
              <w:rPr>
                <w:rFonts w:asciiTheme="minorHAnsi" w:hAnsiTheme="minorHAnsi"/>
                <w:b/>
                <w:sz w:val="22"/>
                <w:szCs w:val="22"/>
              </w:rPr>
              <w:t>Proportion of students</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61.3%</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19.4%</w:t>
            </w:r>
          </w:p>
        </w:tc>
        <w:tc>
          <w:tcPr>
            <w:tcW w:w="180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8.0%</w:t>
            </w:r>
          </w:p>
        </w:tc>
        <w:tc>
          <w:tcPr>
            <w:tcW w:w="1260"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6.7%</w:t>
            </w:r>
          </w:p>
        </w:tc>
        <w:tc>
          <w:tcPr>
            <w:tcW w:w="1237" w:type="dxa"/>
            <w:vAlign w:val="center"/>
          </w:tcPr>
          <w:p w:rsidR="00016BC7" w:rsidRPr="003432ED" w:rsidRDefault="00016BC7" w:rsidP="00DF441A">
            <w:pPr>
              <w:jc w:val="center"/>
              <w:rPr>
                <w:rFonts w:asciiTheme="minorHAnsi" w:hAnsiTheme="minorHAnsi"/>
                <w:sz w:val="22"/>
                <w:szCs w:val="22"/>
              </w:rPr>
            </w:pPr>
            <w:r w:rsidRPr="003432ED">
              <w:rPr>
                <w:rFonts w:asciiTheme="minorHAnsi" w:hAnsiTheme="minorHAnsi"/>
                <w:sz w:val="22"/>
                <w:szCs w:val="22"/>
              </w:rPr>
              <w:t>3.7%</w:t>
            </w:r>
          </w:p>
        </w:tc>
      </w:tr>
    </w:tbl>
    <w:p w:rsidR="004A4FF9" w:rsidRPr="00EF2FE3" w:rsidRDefault="004A4FF9" w:rsidP="00C11550">
      <w:pPr>
        <w:jc w:val="center"/>
        <w:rPr>
          <w:rFonts w:asciiTheme="minorHAnsi" w:hAnsiTheme="minorHAnsi"/>
          <w:sz w:val="22"/>
          <w:szCs w:val="22"/>
        </w:rPr>
      </w:pPr>
    </w:p>
    <w:p w:rsidR="00E126FB" w:rsidRDefault="00E126FB" w:rsidP="00253A5B">
      <w:pPr>
        <w:rPr>
          <w:rFonts w:ascii="Calibri" w:hAnsi="Calibri"/>
          <w:sz w:val="22"/>
          <w:szCs w:val="22"/>
        </w:rPr>
      </w:pPr>
    </w:p>
    <w:p w:rsidR="005071E1" w:rsidRDefault="0063542C" w:rsidP="00253A5B">
      <w:pPr>
        <w:rPr>
          <w:rFonts w:ascii="Calibri" w:hAnsi="Calibri"/>
          <w:sz w:val="22"/>
          <w:szCs w:val="22"/>
        </w:rPr>
      </w:pPr>
      <w:r>
        <w:rPr>
          <w:rFonts w:ascii="Calibri" w:hAnsi="Calibri"/>
          <w:noProof/>
          <w:sz w:val="22"/>
          <w:szCs w:val="22"/>
          <w:lang w:eastAsia="zh-CN"/>
        </w:rPr>
        <w:drawing>
          <wp:anchor distT="0" distB="0" distL="114300" distR="114300" simplePos="0" relativeHeight="251640830" behindDoc="0" locked="0" layoutInCell="1" allowOverlap="1" wp14:anchorId="676D8FA1" wp14:editId="6A7ECA87">
            <wp:simplePos x="0" y="0"/>
            <wp:positionH relativeFrom="column">
              <wp:posOffset>283210</wp:posOffset>
            </wp:positionH>
            <wp:positionV relativeFrom="paragraph">
              <wp:posOffset>33986</wp:posOffset>
            </wp:positionV>
            <wp:extent cx="5210175" cy="4191000"/>
            <wp:effectExtent l="0" t="0" r="9525" b="0"/>
            <wp:wrapNone/>
            <wp:docPr id="12" name="Picture 10" descr="Graph 4: Teacher retention by race/ethnicity&#10;All teachers retained in school: 85.0%&#10;All teachers retained in district: 87.5%&#10;All teachers retained in state: 90.5%&#10;White teachers retained in school: 85.3%&#10;White teachers retained in districts: 87.8%&#10;White teachers retained in state: 90.7%&#10;Hispanic teachers retained in school: 79.6%&#10;Hispanic teachers retained in districts: 82.6%&#10;Hispanic teachers retained in state: 87.2%&#10;African American/black teachers retained in school: 74.8%&#10;African American/black teachers retained in districts: 76.5%&#10;African American/black teachers retained in state: 82.3%&#10;Asian teachers retained in school: 79.3%&#10;Asian teachers retained in districts: 81.4%&#10;Asian teachers retained in state: 86.6%&#10;Other teachers retained in school: 80.6%&#10;Other teachers retained in districts: 81.9%&#10;Other teachers retained in state: 85.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srcRect/>
                    <a:stretch>
                      <a:fillRect/>
                    </a:stretch>
                  </pic:blipFill>
                  <pic:spPr bwMode="auto">
                    <a:xfrm>
                      <a:off x="0" y="0"/>
                      <a:ext cx="5210175" cy="4191000"/>
                    </a:xfrm>
                    <a:prstGeom prst="rect">
                      <a:avLst/>
                    </a:prstGeom>
                    <a:noFill/>
                    <a:ln w="9525">
                      <a:noFill/>
                      <a:miter lim="800000"/>
                      <a:headEnd/>
                      <a:tailEnd/>
                    </a:ln>
                  </pic:spPr>
                </pic:pic>
              </a:graphicData>
            </a:graphic>
          </wp:anchor>
        </w:drawing>
      </w:r>
    </w:p>
    <w:p w:rsidR="005071E1" w:rsidRDefault="005071E1" w:rsidP="00253A5B">
      <w:pPr>
        <w:rPr>
          <w:rFonts w:ascii="Calibri" w:hAnsi="Calibri"/>
          <w:sz w:val="22"/>
          <w:szCs w:val="22"/>
        </w:rPr>
      </w:pPr>
    </w:p>
    <w:p w:rsidR="005071E1" w:rsidRDefault="005071E1"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DC145E" w:rsidRDefault="00DC145E" w:rsidP="00253A5B">
      <w:pPr>
        <w:rPr>
          <w:rFonts w:ascii="Calibri" w:hAnsi="Calibri"/>
          <w:sz w:val="22"/>
          <w:szCs w:val="22"/>
        </w:rPr>
      </w:pPr>
    </w:p>
    <w:p w:rsidR="00DC145E" w:rsidRDefault="00DC145E" w:rsidP="00253A5B">
      <w:pPr>
        <w:rPr>
          <w:rFonts w:ascii="Calibri" w:hAnsi="Calibri"/>
          <w:sz w:val="22"/>
          <w:szCs w:val="22"/>
        </w:rPr>
      </w:pPr>
    </w:p>
    <w:p w:rsidR="00DC145E" w:rsidRDefault="00DC145E" w:rsidP="00253A5B">
      <w:pPr>
        <w:rPr>
          <w:rFonts w:ascii="Calibri" w:hAnsi="Calibri"/>
          <w:sz w:val="22"/>
          <w:szCs w:val="22"/>
        </w:rPr>
      </w:pPr>
    </w:p>
    <w:p w:rsidR="00DC145E" w:rsidRDefault="00DC145E"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162B97" w:rsidRDefault="00162B97" w:rsidP="00253A5B">
      <w:pPr>
        <w:rPr>
          <w:rFonts w:ascii="Calibri" w:hAnsi="Calibri"/>
          <w:sz w:val="22"/>
          <w:szCs w:val="22"/>
        </w:rPr>
      </w:pPr>
    </w:p>
    <w:p w:rsidR="00162B97" w:rsidRDefault="00162B97"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43202D" w:rsidRDefault="0043202D" w:rsidP="00253A5B">
      <w:pPr>
        <w:rPr>
          <w:rFonts w:ascii="Calibri" w:hAnsi="Calibri"/>
          <w:sz w:val="22"/>
          <w:szCs w:val="22"/>
        </w:rPr>
      </w:pPr>
    </w:p>
    <w:p w:rsidR="0063542C" w:rsidRDefault="0063542C" w:rsidP="00253A5B">
      <w:pPr>
        <w:rPr>
          <w:rFonts w:ascii="Calibri" w:hAnsi="Calibri"/>
          <w:sz w:val="22"/>
          <w:szCs w:val="22"/>
        </w:rPr>
      </w:pPr>
    </w:p>
    <w:p w:rsidR="0063542C" w:rsidRDefault="0063542C" w:rsidP="00253A5B">
      <w:pPr>
        <w:rPr>
          <w:rFonts w:ascii="Calibri" w:hAnsi="Calibri"/>
          <w:sz w:val="22"/>
          <w:szCs w:val="22"/>
        </w:rPr>
      </w:pPr>
    </w:p>
    <w:p w:rsidR="00E36914" w:rsidRDefault="00F019E5" w:rsidP="00253A5B">
      <w:pPr>
        <w:rPr>
          <w:rFonts w:ascii="Calibri" w:hAnsi="Calibri"/>
          <w:b/>
          <w:i/>
          <w:sz w:val="22"/>
          <w:szCs w:val="22"/>
        </w:rPr>
      </w:pPr>
      <w:r w:rsidRPr="003432ED">
        <w:rPr>
          <w:rFonts w:ascii="Calibri" w:hAnsi="Calibri"/>
          <w:sz w:val="22"/>
          <w:szCs w:val="22"/>
        </w:rPr>
        <w:t xml:space="preserve">As </w:t>
      </w:r>
      <w:r w:rsidR="00162B97">
        <w:rPr>
          <w:rFonts w:ascii="Calibri" w:hAnsi="Calibri"/>
          <w:sz w:val="22"/>
          <w:szCs w:val="22"/>
        </w:rPr>
        <w:t>Graph 4</w:t>
      </w:r>
      <w:r w:rsidRPr="003432ED">
        <w:rPr>
          <w:rFonts w:ascii="Calibri" w:hAnsi="Calibri"/>
          <w:sz w:val="22"/>
          <w:szCs w:val="22"/>
        </w:rPr>
        <w:t xml:space="preserve"> shows, </w:t>
      </w:r>
      <w:r w:rsidR="0017646B">
        <w:rPr>
          <w:rFonts w:ascii="Calibri" w:hAnsi="Calibri"/>
          <w:sz w:val="22"/>
          <w:szCs w:val="22"/>
        </w:rPr>
        <w:t>retention rates of teachers of color are lower than that of white teachers</w:t>
      </w:r>
      <w:r w:rsidR="004A4FF9" w:rsidRPr="003432ED">
        <w:rPr>
          <w:rFonts w:ascii="Calibri" w:hAnsi="Calibri"/>
          <w:sz w:val="22"/>
          <w:szCs w:val="22"/>
        </w:rPr>
        <w:t>.</w:t>
      </w:r>
      <w:r w:rsidR="009508E1">
        <w:rPr>
          <w:rFonts w:ascii="Calibri" w:hAnsi="Calibri"/>
          <w:sz w:val="22"/>
          <w:szCs w:val="22"/>
        </w:rPr>
        <w:t xml:space="preserve"> This may be in part because </w:t>
      </w:r>
      <w:r w:rsidR="00531538">
        <w:rPr>
          <w:rFonts w:ascii="Calibri" w:hAnsi="Calibri"/>
          <w:sz w:val="22"/>
          <w:szCs w:val="22"/>
        </w:rPr>
        <w:t>teacher attrition is</w:t>
      </w:r>
      <w:r w:rsidR="0017646B">
        <w:rPr>
          <w:rFonts w:ascii="Calibri" w:hAnsi="Calibri"/>
          <w:sz w:val="22"/>
          <w:szCs w:val="22"/>
        </w:rPr>
        <w:t xml:space="preserve"> higher among newer teachers,</w:t>
      </w:r>
      <w:r w:rsidR="00505641">
        <w:rPr>
          <w:rStyle w:val="EndnoteReference"/>
          <w:rFonts w:ascii="Calibri" w:hAnsi="Calibri"/>
          <w:sz w:val="22"/>
          <w:szCs w:val="22"/>
        </w:rPr>
        <w:endnoteReference w:id="19"/>
      </w:r>
      <w:r w:rsidR="0017646B">
        <w:rPr>
          <w:rFonts w:ascii="Calibri" w:hAnsi="Calibri"/>
          <w:sz w:val="22"/>
          <w:szCs w:val="22"/>
        </w:rPr>
        <w:t xml:space="preserve"> </w:t>
      </w:r>
      <w:r w:rsidR="00505641">
        <w:rPr>
          <w:rFonts w:ascii="Calibri" w:hAnsi="Calibri"/>
          <w:sz w:val="22"/>
          <w:szCs w:val="22"/>
        </w:rPr>
        <w:t>and Massachusetts teachers in their first three years of teaching are more diverse, compared to more experienced teachers.</w:t>
      </w:r>
      <w:r w:rsidR="009508E1">
        <w:rPr>
          <w:rStyle w:val="EndnoteReference"/>
          <w:rFonts w:ascii="Calibri" w:hAnsi="Calibri"/>
          <w:sz w:val="22"/>
          <w:szCs w:val="22"/>
        </w:rPr>
        <w:endnoteReference w:id="20"/>
      </w:r>
      <w:r w:rsidR="009508E1">
        <w:rPr>
          <w:rFonts w:ascii="Calibri" w:hAnsi="Calibri"/>
          <w:sz w:val="22"/>
          <w:szCs w:val="22"/>
        </w:rPr>
        <w:t xml:space="preserve"> </w:t>
      </w:r>
    </w:p>
    <w:p w:rsidR="00E36914" w:rsidRDefault="00E36914" w:rsidP="00253A5B">
      <w:pPr>
        <w:rPr>
          <w:rFonts w:ascii="Calibri" w:hAnsi="Calibri"/>
          <w:b/>
          <w:i/>
          <w:sz w:val="22"/>
          <w:szCs w:val="22"/>
        </w:rPr>
      </w:pPr>
    </w:p>
    <w:p w:rsidR="00E36914" w:rsidRDefault="00E36914" w:rsidP="00253A5B">
      <w:pPr>
        <w:rPr>
          <w:rFonts w:ascii="Calibri" w:hAnsi="Calibri"/>
          <w:sz w:val="22"/>
          <w:szCs w:val="22"/>
        </w:rPr>
      </w:pPr>
      <w:r>
        <w:rPr>
          <w:rFonts w:ascii="Calibri" w:hAnsi="Calibri"/>
          <w:sz w:val="22"/>
          <w:szCs w:val="22"/>
        </w:rPr>
        <w:t>Additional analysis shows that:</w:t>
      </w:r>
    </w:p>
    <w:p w:rsidR="00E36914" w:rsidRPr="00E36914" w:rsidRDefault="00E36914" w:rsidP="00253A5B">
      <w:pPr>
        <w:pStyle w:val="ListParagraph"/>
        <w:numPr>
          <w:ilvl w:val="0"/>
          <w:numId w:val="23"/>
        </w:numPr>
        <w:rPr>
          <w:b/>
          <w:i/>
        </w:rPr>
      </w:pPr>
      <w:r>
        <w:rPr>
          <w:rFonts w:ascii="Calibri" w:hAnsi="Calibri"/>
          <w:sz w:val="22"/>
          <w:szCs w:val="22"/>
        </w:rPr>
        <w:t>A</w:t>
      </w:r>
      <w:r w:rsidR="000C20E7" w:rsidRPr="00E36914">
        <w:rPr>
          <w:rFonts w:ascii="Calibri" w:hAnsi="Calibri"/>
          <w:sz w:val="22"/>
          <w:szCs w:val="22"/>
        </w:rPr>
        <w:t>cross teacher racial/ethnic groups, retention rates are higher at schools with small proportions of students of color or students in poverty, compared to schools with the highest proportions of these student groups.</w:t>
      </w:r>
    </w:p>
    <w:p w:rsidR="00E36914" w:rsidRPr="00E36914" w:rsidRDefault="00626C81" w:rsidP="00253A5B">
      <w:pPr>
        <w:pStyle w:val="ListParagraph"/>
        <w:numPr>
          <w:ilvl w:val="0"/>
          <w:numId w:val="23"/>
        </w:numPr>
        <w:rPr>
          <w:rFonts w:asciiTheme="minorHAnsi" w:hAnsiTheme="minorHAnsi"/>
          <w:b/>
          <w:i/>
        </w:rPr>
      </w:pPr>
      <w:r w:rsidRPr="00E36914">
        <w:rPr>
          <w:rFonts w:ascii="Calibri" w:hAnsi="Calibri"/>
          <w:sz w:val="22"/>
          <w:szCs w:val="22"/>
        </w:rPr>
        <w:t xml:space="preserve">Hispanic </w:t>
      </w:r>
      <w:r w:rsidRPr="00E36914">
        <w:rPr>
          <w:rFonts w:asciiTheme="minorHAnsi" w:hAnsiTheme="minorHAnsi"/>
          <w:sz w:val="22"/>
          <w:szCs w:val="22"/>
        </w:rPr>
        <w:t>principals</w:t>
      </w:r>
      <w:r w:rsidR="006C17BB">
        <w:rPr>
          <w:rFonts w:asciiTheme="minorHAnsi" w:hAnsiTheme="minorHAnsi"/>
          <w:sz w:val="22"/>
          <w:szCs w:val="22"/>
        </w:rPr>
        <w:t xml:space="preserve"> (n=34)</w:t>
      </w:r>
      <w:r w:rsidRPr="00E36914">
        <w:rPr>
          <w:rFonts w:asciiTheme="minorHAnsi" w:hAnsiTheme="minorHAnsi"/>
          <w:sz w:val="22"/>
          <w:szCs w:val="22"/>
        </w:rPr>
        <w:t xml:space="preserve"> in 2015</w:t>
      </w:r>
      <w:r w:rsidR="00237EF1" w:rsidRPr="00E36914">
        <w:rPr>
          <w:rFonts w:asciiTheme="minorHAnsi" w:eastAsia="Helvetica" w:hAnsiTheme="minorHAnsi" w:cs="Helvetica"/>
          <w:sz w:val="22"/>
          <w:szCs w:val="22"/>
        </w:rPr>
        <w:t>–</w:t>
      </w:r>
      <w:r w:rsidRPr="00E36914">
        <w:rPr>
          <w:rFonts w:asciiTheme="minorHAnsi" w:hAnsiTheme="minorHAnsi"/>
          <w:sz w:val="22"/>
          <w:szCs w:val="22"/>
        </w:rPr>
        <w:t>16</w:t>
      </w:r>
      <w:r w:rsidR="006C17BB">
        <w:rPr>
          <w:rFonts w:asciiTheme="minorHAnsi" w:hAnsiTheme="minorHAnsi"/>
          <w:sz w:val="22"/>
          <w:szCs w:val="22"/>
        </w:rPr>
        <w:t xml:space="preserve"> </w:t>
      </w:r>
      <w:r w:rsidRPr="00E36914">
        <w:rPr>
          <w:rFonts w:asciiTheme="minorHAnsi" w:hAnsiTheme="minorHAnsi"/>
          <w:sz w:val="22"/>
          <w:szCs w:val="22"/>
        </w:rPr>
        <w:t>were more likely to stay on as principals, inc</w:t>
      </w:r>
      <w:r w:rsidR="004E67CF" w:rsidRPr="00E36914">
        <w:rPr>
          <w:rFonts w:asciiTheme="minorHAnsi" w:hAnsiTheme="minorHAnsi"/>
          <w:sz w:val="22"/>
          <w:szCs w:val="22"/>
        </w:rPr>
        <w:t xml:space="preserve">luding in the same districts and </w:t>
      </w:r>
      <w:r w:rsidRPr="00E36914">
        <w:rPr>
          <w:rFonts w:asciiTheme="minorHAnsi" w:hAnsiTheme="minorHAnsi"/>
          <w:sz w:val="22"/>
          <w:szCs w:val="22"/>
        </w:rPr>
        <w:t>schools</w:t>
      </w:r>
      <w:r w:rsidR="00E36914" w:rsidRPr="00E36914">
        <w:rPr>
          <w:rFonts w:asciiTheme="minorHAnsi" w:hAnsiTheme="minorHAnsi"/>
          <w:sz w:val="22"/>
          <w:szCs w:val="22"/>
        </w:rPr>
        <w:t>, than were principals overall</w:t>
      </w:r>
      <w:r w:rsidR="008D4FBA">
        <w:rPr>
          <w:rFonts w:asciiTheme="minorHAnsi" w:hAnsiTheme="minorHAnsi"/>
          <w:sz w:val="22"/>
          <w:szCs w:val="22"/>
        </w:rPr>
        <w:t xml:space="preserve"> </w:t>
      </w:r>
      <w:r w:rsidR="00C75BDC">
        <w:rPr>
          <w:rFonts w:asciiTheme="minorHAnsi" w:hAnsiTheme="minorHAnsi"/>
          <w:sz w:val="22"/>
          <w:szCs w:val="22"/>
        </w:rPr>
        <w:t xml:space="preserve">(n=1,754) </w:t>
      </w:r>
      <w:r w:rsidR="008D4FBA">
        <w:rPr>
          <w:rFonts w:asciiTheme="minorHAnsi" w:hAnsiTheme="minorHAnsi"/>
          <w:sz w:val="22"/>
          <w:szCs w:val="22"/>
        </w:rPr>
        <w:t>(</w:t>
      </w:r>
      <w:hyperlink w:anchor="_Appendix_E:_Data" w:history="1">
        <w:r w:rsidR="00AD52F2" w:rsidRPr="00AD52F2">
          <w:rPr>
            <w:rStyle w:val="Hyperlink"/>
            <w:rFonts w:asciiTheme="minorHAnsi" w:hAnsiTheme="minorHAnsi"/>
            <w:sz w:val="22"/>
            <w:szCs w:val="22"/>
          </w:rPr>
          <w:t>page 2</w:t>
        </w:r>
        <w:r w:rsidR="00D34657">
          <w:rPr>
            <w:rStyle w:val="Hyperlink"/>
            <w:rFonts w:asciiTheme="minorHAnsi" w:hAnsiTheme="minorHAnsi"/>
            <w:sz w:val="22"/>
            <w:szCs w:val="22"/>
          </w:rPr>
          <w:t>7</w:t>
        </w:r>
        <w:r w:rsidR="00AD52F2" w:rsidRPr="00AD52F2">
          <w:rPr>
            <w:rStyle w:val="Hyperlink"/>
            <w:rFonts w:asciiTheme="minorHAnsi" w:hAnsiTheme="minorHAnsi"/>
            <w:sz w:val="22"/>
            <w:szCs w:val="22"/>
          </w:rPr>
          <w:t>, Appendix E</w:t>
        </w:r>
      </w:hyperlink>
      <w:r w:rsidR="008D4FBA">
        <w:rPr>
          <w:rFonts w:asciiTheme="minorHAnsi" w:hAnsiTheme="minorHAnsi"/>
          <w:sz w:val="22"/>
          <w:szCs w:val="22"/>
        </w:rPr>
        <w:t>)</w:t>
      </w:r>
      <w:r w:rsidR="00E36914" w:rsidRPr="00E36914">
        <w:rPr>
          <w:rFonts w:asciiTheme="minorHAnsi" w:hAnsiTheme="minorHAnsi"/>
          <w:sz w:val="22"/>
          <w:szCs w:val="22"/>
        </w:rPr>
        <w:t>.</w:t>
      </w:r>
    </w:p>
    <w:p w:rsidR="00A74137" w:rsidRPr="00662907" w:rsidRDefault="00626C81" w:rsidP="00A74137">
      <w:pPr>
        <w:pStyle w:val="ListParagraph"/>
        <w:numPr>
          <w:ilvl w:val="0"/>
          <w:numId w:val="23"/>
        </w:numPr>
        <w:rPr>
          <w:rFonts w:asciiTheme="minorHAnsi" w:hAnsiTheme="minorHAnsi"/>
          <w:b/>
          <w:i/>
        </w:rPr>
      </w:pPr>
      <w:r w:rsidRPr="00E36914">
        <w:rPr>
          <w:rFonts w:asciiTheme="minorHAnsi" w:hAnsiTheme="minorHAnsi"/>
          <w:sz w:val="22"/>
          <w:szCs w:val="22"/>
        </w:rPr>
        <w:t>This c</w:t>
      </w:r>
      <w:r w:rsidR="004E67CF" w:rsidRPr="00E36914">
        <w:rPr>
          <w:rFonts w:asciiTheme="minorHAnsi" w:hAnsiTheme="minorHAnsi"/>
          <w:sz w:val="22"/>
          <w:szCs w:val="22"/>
        </w:rPr>
        <w:t>ontrasts with African American/b</w:t>
      </w:r>
      <w:r w:rsidRPr="00E36914">
        <w:rPr>
          <w:rFonts w:asciiTheme="minorHAnsi" w:hAnsiTheme="minorHAnsi"/>
          <w:sz w:val="22"/>
          <w:szCs w:val="22"/>
        </w:rPr>
        <w:t>lack principals</w:t>
      </w:r>
      <w:r w:rsidR="006C17BB">
        <w:rPr>
          <w:rFonts w:asciiTheme="minorHAnsi" w:hAnsiTheme="minorHAnsi"/>
          <w:sz w:val="22"/>
          <w:szCs w:val="22"/>
        </w:rPr>
        <w:t xml:space="preserve"> (n=46)</w:t>
      </w:r>
      <w:r w:rsidRPr="00E36914">
        <w:rPr>
          <w:rFonts w:asciiTheme="minorHAnsi" w:hAnsiTheme="minorHAnsi"/>
          <w:sz w:val="22"/>
          <w:szCs w:val="22"/>
        </w:rPr>
        <w:t>, about 22 percent of whom did not return to their schools in 2016</w:t>
      </w:r>
      <w:r w:rsidR="00237EF1" w:rsidRPr="00E36914">
        <w:rPr>
          <w:rFonts w:asciiTheme="minorHAnsi" w:eastAsia="Helvetica" w:hAnsiTheme="minorHAnsi" w:cs="Helvetica"/>
          <w:sz w:val="22"/>
          <w:szCs w:val="22"/>
        </w:rPr>
        <w:t>–</w:t>
      </w:r>
      <w:r w:rsidRPr="00E36914">
        <w:rPr>
          <w:rFonts w:asciiTheme="minorHAnsi" w:hAnsiTheme="minorHAnsi"/>
          <w:sz w:val="22"/>
          <w:szCs w:val="22"/>
        </w:rPr>
        <w:t>17</w:t>
      </w:r>
      <w:r w:rsidR="008D4FBA">
        <w:rPr>
          <w:rFonts w:asciiTheme="minorHAnsi" w:hAnsiTheme="minorHAnsi"/>
          <w:sz w:val="22"/>
          <w:szCs w:val="22"/>
        </w:rPr>
        <w:t xml:space="preserve"> (</w:t>
      </w:r>
      <w:hyperlink w:anchor="_Appendix_E:_Data" w:history="1">
        <w:r w:rsidR="00AD52F2" w:rsidRPr="00AD52F2">
          <w:rPr>
            <w:rStyle w:val="Hyperlink"/>
            <w:rFonts w:asciiTheme="minorHAnsi" w:hAnsiTheme="minorHAnsi"/>
            <w:sz w:val="22"/>
            <w:szCs w:val="22"/>
          </w:rPr>
          <w:t>page 2</w:t>
        </w:r>
        <w:r w:rsidR="00D34657">
          <w:rPr>
            <w:rStyle w:val="Hyperlink"/>
            <w:rFonts w:asciiTheme="minorHAnsi" w:hAnsiTheme="minorHAnsi"/>
            <w:sz w:val="22"/>
            <w:szCs w:val="22"/>
          </w:rPr>
          <w:t>7</w:t>
        </w:r>
        <w:r w:rsidR="00AD52F2" w:rsidRPr="00AD52F2">
          <w:rPr>
            <w:rStyle w:val="Hyperlink"/>
            <w:rFonts w:asciiTheme="minorHAnsi" w:hAnsiTheme="minorHAnsi"/>
            <w:sz w:val="22"/>
            <w:szCs w:val="22"/>
          </w:rPr>
          <w:t>, Appendix E</w:t>
        </w:r>
      </w:hyperlink>
      <w:r w:rsidR="008D4FBA">
        <w:rPr>
          <w:rFonts w:asciiTheme="minorHAnsi" w:hAnsiTheme="minorHAnsi"/>
          <w:sz w:val="22"/>
          <w:szCs w:val="22"/>
        </w:rPr>
        <w:t>)</w:t>
      </w:r>
      <w:r w:rsidR="00A02C50" w:rsidRPr="00E36914">
        <w:rPr>
          <w:rFonts w:asciiTheme="minorHAnsi" w:hAnsiTheme="minorHAnsi"/>
          <w:sz w:val="22"/>
          <w:szCs w:val="22"/>
        </w:rPr>
        <w:t>.</w:t>
      </w:r>
    </w:p>
    <w:p w:rsidR="00F004C3" w:rsidRDefault="0063542C">
      <w:pPr>
        <w:pStyle w:val="ListParagraph"/>
        <w:numPr>
          <w:ilvl w:val="0"/>
          <w:numId w:val="23"/>
        </w:numPr>
        <w:rPr>
          <w:rFonts w:asciiTheme="minorHAnsi" w:hAnsiTheme="minorHAnsi"/>
          <w:sz w:val="22"/>
          <w:szCs w:val="22"/>
        </w:rPr>
      </w:pPr>
      <w:r>
        <w:rPr>
          <w:rFonts w:ascii="Calibri" w:hAnsi="Calibri"/>
          <w:noProof/>
          <w:sz w:val="22"/>
          <w:szCs w:val="22"/>
          <w:lang w:eastAsia="zh-CN"/>
        </w:rPr>
        <w:lastRenderedPageBreak/>
        <mc:AlternateContent>
          <mc:Choice Requires="wps">
            <w:drawing>
              <wp:anchor distT="0" distB="0" distL="114300" distR="114300" simplePos="0" relativeHeight="251685888" behindDoc="0" locked="0" layoutInCell="1" allowOverlap="1" wp14:anchorId="4A47DBB7" wp14:editId="41C4D82B">
                <wp:simplePos x="0" y="0"/>
                <wp:positionH relativeFrom="margin">
                  <wp:align>center</wp:align>
                </wp:positionH>
                <wp:positionV relativeFrom="paragraph">
                  <wp:posOffset>-206734</wp:posOffset>
                </wp:positionV>
                <wp:extent cx="6438900" cy="2138901"/>
                <wp:effectExtent l="0" t="0" r="0" b="0"/>
                <wp:wrapNone/>
                <wp:docPr id="5" name="Rectangle 41" descr="Light blue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138901"/>
                        </a:xfrm>
                        <a:prstGeom prst="rect">
                          <a:avLst/>
                        </a:prstGeom>
                        <a:solidFill>
                          <a:srgbClr val="DBE5F1">
                            <a:alpha val="1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FE57BF" id="Rectangle 41" o:spid="_x0000_s1026" alt="Light blue background" style="position:absolute;margin-left:0;margin-top:-16.3pt;width:507pt;height:168.4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" fillcolor="#dbe5f1" stroked="f">
                <v:fill opacity="12336f"/>
                <w10:wrap anchorx="margin"/>
              </v:rect>
            </w:pict>
          </mc:Fallback>
        </mc:AlternateContent>
      </w:r>
      <w:r w:rsidR="00662907" w:rsidRPr="00662907">
        <w:rPr>
          <w:rFonts w:asciiTheme="minorHAnsi" w:hAnsiTheme="minorHAnsi"/>
          <w:sz w:val="22"/>
          <w:szCs w:val="22"/>
        </w:rPr>
        <w:t>When comparing all current Massachusetts teachers to all the state’s bachelor’s</w:t>
      </w:r>
      <w:r w:rsidR="00662907" w:rsidRPr="00662907">
        <w:rPr>
          <w:rFonts w:asciiTheme="minorHAnsi" w:eastAsia="Helvetica" w:hAnsiTheme="minorHAnsi" w:cs="Helvetica"/>
          <w:sz w:val="22"/>
          <w:szCs w:val="22"/>
        </w:rPr>
        <w:t xml:space="preserve"> </w:t>
      </w:r>
      <w:r w:rsidR="00662907" w:rsidRPr="00662907">
        <w:rPr>
          <w:rFonts w:asciiTheme="minorHAnsi" w:hAnsiTheme="minorHAnsi"/>
          <w:sz w:val="22"/>
          <w:szCs w:val="22"/>
        </w:rPr>
        <w:t>degree</w:t>
      </w:r>
      <w:r w:rsidR="00662907" w:rsidRPr="00662907">
        <w:rPr>
          <w:rFonts w:asciiTheme="minorHAnsi" w:eastAsia="Helvetica" w:hAnsiTheme="minorHAnsi" w:cs="Helvetica"/>
          <w:sz w:val="22"/>
          <w:szCs w:val="22"/>
        </w:rPr>
        <w:t>-</w:t>
      </w:r>
      <w:r w:rsidR="00662907" w:rsidRPr="00662907">
        <w:rPr>
          <w:rFonts w:asciiTheme="minorHAnsi" w:hAnsiTheme="minorHAnsi"/>
          <w:sz w:val="22"/>
          <w:szCs w:val="22"/>
        </w:rPr>
        <w:t xml:space="preserve">holders, the proportions who are people of color </w:t>
      </w:r>
      <w:r w:rsidR="00662907" w:rsidRPr="00C75BDC">
        <w:rPr>
          <w:rFonts w:asciiTheme="minorHAnsi" w:hAnsiTheme="minorHAnsi"/>
          <w:sz w:val="22"/>
          <w:szCs w:val="22"/>
        </w:rPr>
        <w:t>are similar.</w:t>
      </w:r>
      <w:r w:rsidR="00662907" w:rsidRPr="00C75BDC">
        <w:rPr>
          <w:rFonts w:asciiTheme="minorHAnsi" w:hAnsiTheme="minorHAnsi"/>
          <w:vertAlign w:val="superscript"/>
        </w:rPr>
        <w:endnoteReference w:id="21"/>
      </w:r>
      <w:r w:rsidR="00662907" w:rsidRPr="00C75BDC">
        <w:rPr>
          <w:rFonts w:asciiTheme="minorHAnsi" w:hAnsiTheme="minorHAnsi"/>
          <w:sz w:val="22"/>
          <w:szCs w:val="22"/>
        </w:rPr>
        <w:t xml:space="preserve"> However, data suggests that the state population of bachelor’s</w:t>
      </w:r>
      <w:r w:rsidR="00662907" w:rsidRPr="00C75BDC">
        <w:rPr>
          <w:rFonts w:asciiTheme="minorHAnsi" w:eastAsia="Helvetica" w:hAnsiTheme="minorHAnsi" w:cs="Helvetica"/>
          <w:sz w:val="22"/>
          <w:szCs w:val="22"/>
        </w:rPr>
        <w:t xml:space="preserve"> </w:t>
      </w:r>
      <w:r w:rsidR="00662907" w:rsidRPr="00C75BDC">
        <w:rPr>
          <w:rFonts w:asciiTheme="minorHAnsi" w:hAnsiTheme="minorHAnsi"/>
          <w:sz w:val="22"/>
          <w:szCs w:val="22"/>
        </w:rPr>
        <w:t>degree</w:t>
      </w:r>
      <w:r w:rsidR="00662907" w:rsidRPr="00C75BDC">
        <w:rPr>
          <w:rFonts w:asciiTheme="minorHAnsi" w:eastAsia="Helvetica" w:hAnsiTheme="minorHAnsi" w:cs="Helvetica"/>
          <w:sz w:val="22"/>
          <w:szCs w:val="22"/>
        </w:rPr>
        <w:t>-</w:t>
      </w:r>
      <w:r w:rsidR="00662907" w:rsidRPr="00C75BDC">
        <w:rPr>
          <w:rFonts w:asciiTheme="minorHAnsi" w:hAnsiTheme="minorHAnsi"/>
          <w:sz w:val="22"/>
          <w:szCs w:val="22"/>
        </w:rPr>
        <w:t>holders</w:t>
      </w:r>
      <w:r w:rsidR="00662907" w:rsidRPr="00C75BDC">
        <w:rPr>
          <w:rFonts w:asciiTheme="minorHAnsi" w:hAnsiTheme="minorHAnsi"/>
          <w:vertAlign w:val="superscript"/>
        </w:rPr>
        <w:endnoteReference w:id="22"/>
      </w:r>
      <w:r w:rsidR="00662907" w:rsidRPr="00C75BDC">
        <w:rPr>
          <w:rFonts w:asciiTheme="minorHAnsi" w:hAnsiTheme="minorHAnsi"/>
          <w:sz w:val="22"/>
          <w:szCs w:val="22"/>
        </w:rPr>
        <w:t xml:space="preserve">  is diversifying</w:t>
      </w:r>
      <w:r w:rsidR="00662907" w:rsidRPr="00662907">
        <w:rPr>
          <w:rFonts w:asciiTheme="minorHAnsi" w:hAnsiTheme="minorHAnsi"/>
          <w:sz w:val="22"/>
          <w:szCs w:val="22"/>
        </w:rPr>
        <w:t xml:space="preserve"> more quickly than the pool of new teachers.</w:t>
      </w:r>
      <w:r w:rsidR="00662907" w:rsidRPr="00662907">
        <w:rPr>
          <w:rStyle w:val="EndnoteReference"/>
          <w:rFonts w:asciiTheme="minorHAnsi" w:hAnsiTheme="minorHAnsi"/>
          <w:sz w:val="22"/>
          <w:szCs w:val="22"/>
        </w:rPr>
        <w:t xml:space="preserve"> </w:t>
      </w:r>
      <w:r w:rsidR="00662907" w:rsidRPr="00E50FC2">
        <w:rPr>
          <w:rStyle w:val="EndnoteReference"/>
          <w:rFonts w:asciiTheme="minorHAnsi" w:hAnsiTheme="minorHAnsi"/>
          <w:sz w:val="22"/>
          <w:szCs w:val="22"/>
        </w:rPr>
        <w:endnoteReference w:id="23"/>
      </w:r>
    </w:p>
    <w:tbl>
      <w:tblPr>
        <w:tblStyle w:val="TableGrid"/>
        <w:tblpPr w:leftFromText="180" w:rightFromText="180" w:vertAnchor="text" w:horzAnchor="margin" w:tblpY="300"/>
        <w:tblW w:w="0" w:type="auto"/>
        <w:tblLook w:val="04A0" w:firstRow="1" w:lastRow="0" w:firstColumn="1" w:lastColumn="0" w:noHBand="0" w:noVBand="1"/>
        <w:tblDescription w:val="About half of districts reported one or more strategies for the recruitment and retention of educators of color, and 76 percent reported strategies for educators in hard-to-staff roles, in the 2017 Massachusetts Induction and Mentoring Report. Districts shared approaches for recruiting and retaining educators of color and educators in hard-to-staff roles.&#10;"/>
      </w:tblPr>
      <w:tblGrid>
        <w:gridCol w:w="9330"/>
      </w:tblGrid>
      <w:tr w:rsidR="003B6598" w:rsidRPr="003C2F46" w:rsidTr="000F3176">
        <w:trPr>
          <w:trHeight w:val="644"/>
          <w:tblHeader/>
        </w:trPr>
        <w:tc>
          <w:tcPr>
            <w:tcW w:w="9468"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rsidR="003B6598" w:rsidRPr="00361825" w:rsidRDefault="003B6598" w:rsidP="003B6598">
            <w:pPr>
              <w:rPr>
                <w:rFonts w:asciiTheme="minorHAnsi" w:hAnsiTheme="minorHAnsi"/>
                <w:i/>
              </w:rPr>
            </w:pPr>
            <w:r>
              <w:rPr>
                <w:rFonts w:ascii="Calibri" w:hAnsi="Calibri"/>
                <w:i/>
              </w:rPr>
              <w:t>A</w:t>
            </w:r>
            <w:r w:rsidRPr="006D3C6E">
              <w:rPr>
                <w:rFonts w:ascii="Calibri" w:hAnsi="Calibri"/>
                <w:i/>
              </w:rPr>
              <w:t>bout half of districts reported one or more strategies for the recruitment and retention of educators of color, and 76 percent reported</w:t>
            </w:r>
            <w:r>
              <w:rPr>
                <w:rFonts w:ascii="Calibri" w:hAnsi="Calibri"/>
                <w:i/>
              </w:rPr>
              <w:t xml:space="preserve"> strategies for educators in hard-to-</w:t>
            </w:r>
            <w:r w:rsidRPr="006D3C6E">
              <w:rPr>
                <w:rFonts w:ascii="Calibri" w:hAnsi="Calibri"/>
                <w:i/>
              </w:rPr>
              <w:t>staff roles</w:t>
            </w:r>
            <w:r>
              <w:rPr>
                <w:rFonts w:ascii="Calibri" w:hAnsi="Calibri"/>
                <w:i/>
              </w:rPr>
              <w:t>, i</w:t>
            </w:r>
            <w:r w:rsidRPr="006D3C6E">
              <w:rPr>
                <w:rFonts w:ascii="Calibri" w:hAnsi="Calibri"/>
                <w:i/>
              </w:rPr>
              <w:t xml:space="preserve">n the </w:t>
            </w:r>
            <w:hyperlink r:id="rId28" w:history="1">
              <w:r w:rsidRPr="006D3C6E">
                <w:rPr>
                  <w:rStyle w:val="Hyperlink"/>
                  <w:rFonts w:ascii="Calibri" w:hAnsi="Calibri"/>
                  <w:i/>
                </w:rPr>
                <w:t>2017 Massachusetts Induction and Mentoring Report</w:t>
              </w:r>
            </w:hyperlink>
            <w:r w:rsidRPr="006D3C6E">
              <w:rPr>
                <w:rFonts w:ascii="Calibri" w:hAnsi="Calibri"/>
                <w:i/>
              </w:rPr>
              <w:t xml:space="preserve">. Districts </w:t>
            </w:r>
            <w:r>
              <w:rPr>
                <w:rFonts w:ascii="Calibri" w:hAnsi="Calibri"/>
                <w:i/>
              </w:rPr>
              <w:t>shared</w:t>
            </w:r>
            <w:r w:rsidRPr="006D3C6E">
              <w:rPr>
                <w:rFonts w:ascii="Calibri" w:hAnsi="Calibri"/>
                <w:i/>
              </w:rPr>
              <w:t xml:space="preserve"> approaches for recruiting and retaining </w:t>
            </w:r>
            <w:hyperlink r:id="rId29" w:history="1">
              <w:r>
                <w:rPr>
                  <w:rStyle w:val="Hyperlink"/>
                  <w:rFonts w:ascii="Calibri" w:hAnsi="Calibri"/>
                  <w:i/>
                </w:rPr>
                <w:t>educators of color and educators in hard-to-staff roles</w:t>
              </w:r>
            </w:hyperlink>
            <w:r>
              <w:rPr>
                <w:rFonts w:ascii="Calibri" w:hAnsi="Calibri"/>
                <w:i/>
              </w:rPr>
              <w:t>.</w:t>
            </w:r>
          </w:p>
        </w:tc>
      </w:tr>
    </w:tbl>
    <w:p w:rsidR="003B6598" w:rsidRDefault="003B6598" w:rsidP="003B6598">
      <w:pPr>
        <w:rPr>
          <w:rFonts w:asciiTheme="minorHAnsi" w:hAnsiTheme="minorHAnsi"/>
          <w:sz w:val="22"/>
          <w:szCs w:val="22"/>
        </w:rPr>
      </w:pPr>
    </w:p>
    <w:p w:rsidR="00CC7B66" w:rsidRPr="00CC7B66" w:rsidRDefault="004A4FF9" w:rsidP="00CC7B66">
      <w:pPr>
        <w:pStyle w:val="Heading1"/>
        <w:rPr>
          <w:rFonts w:ascii="Calibri" w:hAnsi="Calibri"/>
          <w:sz w:val="36"/>
          <w:szCs w:val="36"/>
        </w:rPr>
      </w:pPr>
      <w:bookmarkStart w:id="30" w:name="_Strategies_to_Eliminate"/>
      <w:bookmarkStart w:id="31" w:name="_Toc509831827"/>
      <w:bookmarkEnd w:id="30"/>
      <w:r w:rsidRPr="005A225D">
        <w:rPr>
          <w:rFonts w:ascii="Calibri" w:hAnsi="Calibri"/>
          <w:sz w:val="36"/>
          <w:szCs w:val="36"/>
        </w:rPr>
        <w:t>Strategies to Eliminate Equity Gaps</w:t>
      </w:r>
      <w:bookmarkEnd w:id="31"/>
    </w:p>
    <w:p w:rsidR="00643F86" w:rsidRPr="00062EC0" w:rsidRDefault="001E39C0" w:rsidP="00B20153">
      <w:pPr>
        <w:rPr>
          <w:rFonts w:asciiTheme="minorHAnsi" w:hAnsiTheme="minorHAnsi"/>
          <w:sz w:val="22"/>
          <w:szCs w:val="22"/>
        </w:rPr>
      </w:pPr>
      <w:r>
        <w:rPr>
          <w:rFonts w:asciiTheme="minorHAnsi" w:hAnsiTheme="minorHAnsi"/>
          <w:sz w:val="22"/>
          <w:szCs w:val="22"/>
        </w:rPr>
        <w:t xml:space="preserve">This equity </w:t>
      </w:r>
      <w:r w:rsidR="00C75BDC">
        <w:rPr>
          <w:rFonts w:asciiTheme="minorHAnsi" w:hAnsiTheme="minorHAnsi"/>
          <w:sz w:val="22"/>
          <w:szCs w:val="22"/>
        </w:rPr>
        <w:t>update</w:t>
      </w:r>
      <w:r>
        <w:rPr>
          <w:rFonts w:asciiTheme="minorHAnsi" w:hAnsiTheme="minorHAnsi"/>
          <w:sz w:val="22"/>
          <w:szCs w:val="22"/>
        </w:rPr>
        <w:t xml:space="preserve"> shifts now from describing the data to describing DESE’s approach to ensuring equitable access. </w:t>
      </w:r>
      <w:r w:rsidR="00B20153" w:rsidRPr="00B20153">
        <w:rPr>
          <w:rFonts w:asciiTheme="minorHAnsi" w:hAnsiTheme="minorHAnsi"/>
          <w:sz w:val="22"/>
          <w:szCs w:val="22"/>
        </w:rPr>
        <w:t xml:space="preserve">Several of </w:t>
      </w:r>
      <w:r w:rsidR="00B20153">
        <w:rPr>
          <w:rFonts w:asciiTheme="minorHAnsi" w:hAnsiTheme="minorHAnsi"/>
          <w:sz w:val="22"/>
          <w:szCs w:val="22"/>
        </w:rPr>
        <w:t>DESE’s ongoing programs support the closure of equitable access gaps, and address the gaps’ root causes. DESE’s work approaches equitable access to educators from various perspectives, including quality instruction for</w:t>
      </w:r>
      <w:r w:rsidR="00293B20">
        <w:rPr>
          <w:rFonts w:asciiTheme="minorHAnsi" w:hAnsiTheme="minorHAnsi"/>
          <w:sz w:val="22"/>
          <w:szCs w:val="22"/>
        </w:rPr>
        <w:t xml:space="preserve"> diverse learners; uniform, high </w:t>
      </w:r>
      <w:r w:rsidR="00B20153">
        <w:rPr>
          <w:rFonts w:asciiTheme="minorHAnsi" w:hAnsiTheme="minorHAnsi"/>
          <w:sz w:val="22"/>
          <w:szCs w:val="22"/>
        </w:rPr>
        <w:t>quality standards to support instruction; and thoughtful development of new educators. The following descriptions provide an overview</w:t>
      </w:r>
      <w:r w:rsidR="00361825">
        <w:rPr>
          <w:rFonts w:asciiTheme="minorHAnsi" w:hAnsiTheme="minorHAnsi"/>
          <w:sz w:val="22"/>
          <w:szCs w:val="22"/>
        </w:rPr>
        <w:t>—though not a comprehensive list—</w:t>
      </w:r>
      <w:r w:rsidR="00B20153">
        <w:rPr>
          <w:rFonts w:asciiTheme="minorHAnsi" w:hAnsiTheme="minorHAnsi"/>
          <w:sz w:val="22"/>
          <w:szCs w:val="22"/>
        </w:rPr>
        <w:t>of</w:t>
      </w:r>
      <w:r w:rsidR="00361825">
        <w:rPr>
          <w:rFonts w:asciiTheme="minorHAnsi" w:hAnsiTheme="minorHAnsi"/>
          <w:sz w:val="22"/>
          <w:szCs w:val="22"/>
        </w:rPr>
        <w:t xml:space="preserve"> </w:t>
      </w:r>
      <w:r w:rsidR="00B20153">
        <w:rPr>
          <w:rFonts w:asciiTheme="minorHAnsi" w:hAnsiTheme="minorHAnsi"/>
          <w:sz w:val="22"/>
          <w:szCs w:val="22"/>
        </w:rPr>
        <w:t>such DESE initiatives</w:t>
      </w:r>
      <w:r w:rsidR="0061653E">
        <w:rPr>
          <w:rFonts w:asciiTheme="minorHAnsi" w:hAnsiTheme="minorHAnsi"/>
          <w:sz w:val="22"/>
          <w:szCs w:val="22"/>
        </w:rPr>
        <w:t xml:space="preserve"> with particular emphasis on those with important updates over the past year. </w:t>
      </w:r>
    </w:p>
    <w:p w:rsidR="00230AE8" w:rsidRDefault="00745F4A" w:rsidP="006646A8">
      <w:pPr>
        <w:pStyle w:val="Heading2"/>
      </w:pPr>
      <w:bookmarkStart w:id="32" w:name="_Toc509831828"/>
      <w:r>
        <w:t>Focus on data</w:t>
      </w:r>
      <w:bookmarkEnd w:id="32"/>
    </w:p>
    <w:p w:rsidR="00745F4A" w:rsidRDefault="00745F4A" w:rsidP="00745F4A">
      <w:pPr>
        <w:contextualSpacing/>
        <w:rPr>
          <w:rFonts w:asciiTheme="minorHAnsi" w:hAnsiTheme="minorHAnsi"/>
          <w:sz w:val="22"/>
          <w:szCs w:val="22"/>
        </w:rPr>
      </w:pPr>
      <w:r>
        <w:rPr>
          <w:rFonts w:asciiTheme="minorHAnsi" w:hAnsiTheme="minorHAnsi"/>
          <w:sz w:val="22"/>
          <w:szCs w:val="22"/>
        </w:rPr>
        <w:t>B</w:t>
      </w:r>
      <w:r w:rsidRPr="005A225D">
        <w:rPr>
          <w:rFonts w:asciiTheme="minorHAnsi" w:hAnsiTheme="minorHAnsi"/>
          <w:sz w:val="22"/>
          <w:szCs w:val="22"/>
        </w:rPr>
        <w:t xml:space="preserve">oth internal </w:t>
      </w:r>
      <w:r>
        <w:rPr>
          <w:rFonts w:asciiTheme="minorHAnsi" w:hAnsiTheme="minorHAnsi"/>
          <w:sz w:val="22"/>
          <w:szCs w:val="22"/>
        </w:rPr>
        <w:t>D</w:t>
      </w:r>
      <w:r w:rsidRPr="005A225D">
        <w:rPr>
          <w:rFonts w:asciiTheme="minorHAnsi" w:hAnsiTheme="minorHAnsi"/>
          <w:sz w:val="22"/>
          <w:szCs w:val="22"/>
        </w:rPr>
        <w:t xml:space="preserve">ESE data tools and external analysis contribute to an understanding of statewide </w:t>
      </w:r>
      <w:r>
        <w:rPr>
          <w:rFonts w:asciiTheme="minorHAnsi" w:hAnsiTheme="minorHAnsi"/>
          <w:sz w:val="22"/>
          <w:szCs w:val="22"/>
        </w:rPr>
        <w:t>trends in access to educators</w:t>
      </w:r>
      <w:r w:rsidR="001E39C0">
        <w:rPr>
          <w:rFonts w:asciiTheme="minorHAnsi" w:hAnsiTheme="minorHAnsi"/>
          <w:sz w:val="22"/>
          <w:szCs w:val="22"/>
        </w:rPr>
        <w:t xml:space="preserve"> and the impact on students</w:t>
      </w:r>
      <w:r>
        <w:rPr>
          <w:rFonts w:asciiTheme="minorHAnsi" w:hAnsiTheme="minorHAnsi"/>
          <w:sz w:val="22"/>
          <w:szCs w:val="22"/>
        </w:rPr>
        <w:t xml:space="preserve">. As discussed </w:t>
      </w:r>
      <w:r w:rsidRPr="00416256">
        <w:rPr>
          <w:rFonts w:asciiTheme="minorHAnsi" w:hAnsiTheme="minorHAnsi"/>
          <w:sz w:val="22"/>
          <w:szCs w:val="22"/>
        </w:rPr>
        <w:t xml:space="preserve">above, the Department commissioned a </w:t>
      </w:r>
      <w:hyperlink r:id="rId30" w:history="1">
        <w:r w:rsidRPr="00416256">
          <w:rPr>
            <w:rStyle w:val="Hyperlink"/>
            <w:rFonts w:asciiTheme="minorHAnsi" w:hAnsiTheme="minorHAnsi"/>
            <w:sz w:val="22"/>
            <w:szCs w:val="22"/>
          </w:rPr>
          <w:t>policy brief</w:t>
        </w:r>
      </w:hyperlink>
      <w:r w:rsidRPr="00416256">
        <w:rPr>
          <w:rFonts w:asciiTheme="minorHAnsi" w:hAnsiTheme="minorHAnsi"/>
          <w:sz w:val="22"/>
          <w:szCs w:val="22"/>
        </w:rPr>
        <w:t xml:space="preserve"> that showed that inequitable access to effective teachers for low</w:t>
      </w:r>
      <w:r w:rsidRPr="00416256">
        <w:rPr>
          <w:rFonts w:asciiTheme="minorHAnsi" w:eastAsia="Helvetica" w:hAnsiTheme="minorHAnsi" w:cs="Helvetica"/>
          <w:sz w:val="22"/>
          <w:szCs w:val="22"/>
        </w:rPr>
        <w:t>-</w:t>
      </w:r>
      <w:r w:rsidRPr="00416256">
        <w:rPr>
          <w:rFonts w:asciiTheme="minorHAnsi" w:hAnsiTheme="minorHAnsi"/>
          <w:sz w:val="22"/>
          <w:szCs w:val="22"/>
        </w:rPr>
        <w:t>income students increases achievement gaps in Massachusetts by up to three weeks of learning per year in mathematics and six weeks per year in English language arts (ELA).</w:t>
      </w:r>
    </w:p>
    <w:p w:rsidR="00745F4A" w:rsidRPr="00E47470" w:rsidRDefault="00745F4A" w:rsidP="00745F4A">
      <w:pPr>
        <w:pStyle w:val="Heading4"/>
        <w:rPr>
          <w:rFonts w:ascii="Calibri" w:hAnsi="Calibri"/>
          <w:color w:val="auto"/>
        </w:rPr>
      </w:pPr>
      <w:bookmarkStart w:id="33" w:name="_Student_Learning_Experience"/>
      <w:bookmarkEnd w:id="33"/>
      <w:r w:rsidRPr="00E47470">
        <w:rPr>
          <w:rFonts w:ascii="Calibri" w:hAnsi="Calibri"/>
          <w:color w:val="auto"/>
        </w:rPr>
        <w:t>Student Learning Experience Report</w:t>
      </w:r>
    </w:p>
    <w:p w:rsidR="0063542C" w:rsidRDefault="00745F4A" w:rsidP="00745F4A">
      <w:pPr>
        <w:contextualSpacing/>
        <w:rPr>
          <w:rFonts w:asciiTheme="minorHAnsi" w:hAnsiTheme="minorHAnsi"/>
          <w:sz w:val="22"/>
          <w:szCs w:val="22"/>
        </w:rPr>
      </w:pPr>
      <w:r w:rsidRPr="005A225D">
        <w:rPr>
          <w:rFonts w:asciiTheme="minorHAnsi" w:hAnsiTheme="minorHAnsi"/>
          <w:sz w:val="22"/>
          <w:szCs w:val="22"/>
        </w:rPr>
        <w:t xml:space="preserve">The data in this 2018 Equity Update </w:t>
      </w:r>
      <w:r w:rsidR="00B007AE">
        <w:rPr>
          <w:rFonts w:asciiTheme="minorHAnsi" w:hAnsiTheme="minorHAnsi"/>
          <w:sz w:val="22"/>
          <w:szCs w:val="22"/>
        </w:rPr>
        <w:t xml:space="preserve">provides districts with information about educator assignment patterns and </w:t>
      </w:r>
      <w:r w:rsidRPr="005A225D">
        <w:rPr>
          <w:rFonts w:asciiTheme="minorHAnsi" w:hAnsiTheme="minorHAnsi"/>
          <w:sz w:val="22"/>
          <w:szCs w:val="22"/>
        </w:rPr>
        <w:t xml:space="preserve">illuminates discrepancies in access to educators at the state level. To effectively address gaps, all districts and schools must understand local inequities in access to educators. The </w:t>
      </w:r>
      <w:hyperlink r:id="rId31" w:history="1">
        <w:r>
          <w:rPr>
            <w:rStyle w:val="Hyperlink"/>
            <w:rFonts w:asciiTheme="minorHAnsi" w:hAnsiTheme="minorHAnsi"/>
            <w:sz w:val="22"/>
            <w:szCs w:val="22"/>
          </w:rPr>
          <w:t>Student Learning Experience (SLE) Report</w:t>
        </w:r>
      </w:hyperlink>
      <w:r>
        <w:rPr>
          <w:rFonts w:asciiTheme="minorHAnsi" w:hAnsiTheme="minorHAnsi"/>
          <w:sz w:val="22"/>
          <w:szCs w:val="22"/>
        </w:rPr>
        <w:t xml:space="preserve"> </w:t>
      </w:r>
      <w:r w:rsidRPr="005A225D">
        <w:rPr>
          <w:rFonts w:asciiTheme="minorHAnsi" w:hAnsiTheme="minorHAnsi"/>
          <w:sz w:val="22"/>
          <w:szCs w:val="22"/>
        </w:rPr>
        <w:t>shows users where and to what extent educator access gaps exist among student groups—including economically disadvantaged students, students of color, English learners, and students</w:t>
      </w:r>
      <w:r>
        <w:rPr>
          <w:rFonts w:asciiTheme="minorHAnsi" w:hAnsiTheme="minorHAnsi"/>
          <w:sz w:val="22"/>
          <w:szCs w:val="22"/>
        </w:rPr>
        <w:t xml:space="preserve"> with disabilities.</w:t>
      </w:r>
    </w:p>
    <w:p w:rsidR="0063542C" w:rsidRDefault="0063542C" w:rsidP="00745F4A">
      <w:pPr>
        <w:contextualSpacing/>
        <w:rPr>
          <w:rFonts w:asciiTheme="minorHAnsi" w:hAnsiTheme="minorHAnsi"/>
          <w:sz w:val="22"/>
          <w:szCs w:val="22"/>
        </w:rPr>
      </w:pPr>
    </w:p>
    <w:p w:rsidR="0063542C" w:rsidRPr="001214C7" w:rsidRDefault="0063542C" w:rsidP="0063542C">
      <w:pPr>
        <w:contextualSpacing/>
        <w:rPr>
          <w:rFonts w:asciiTheme="minorHAnsi" w:hAnsiTheme="minorHAnsi"/>
          <w:sz w:val="22"/>
          <w:szCs w:val="22"/>
        </w:rPr>
      </w:pPr>
      <w:r>
        <w:rPr>
          <w:rFonts w:asciiTheme="minorHAnsi" w:hAnsiTheme="minorHAnsi"/>
          <w:sz w:val="22"/>
          <w:szCs w:val="22"/>
        </w:rPr>
        <w:t xml:space="preserve">The </w:t>
      </w:r>
      <w:r w:rsidRPr="005A225D">
        <w:rPr>
          <w:rFonts w:asciiTheme="minorHAnsi" w:hAnsiTheme="minorHAnsi"/>
          <w:sz w:val="22"/>
          <w:szCs w:val="22"/>
        </w:rPr>
        <w:t>SLE report became available in September to district users on the</w:t>
      </w:r>
      <w:r w:rsidRPr="005A225D">
        <w:rPr>
          <w:rFonts w:asciiTheme="minorHAnsi" w:hAnsiTheme="minorHAnsi"/>
          <w:color w:val="589180"/>
          <w:sz w:val="22"/>
          <w:szCs w:val="22"/>
        </w:rPr>
        <w:t xml:space="preserve"> </w:t>
      </w:r>
      <w:hyperlink r:id="rId32" w:history="1">
        <w:r w:rsidRPr="005A225D">
          <w:rPr>
            <w:rStyle w:val="Hyperlink"/>
            <w:rFonts w:asciiTheme="minorHAnsi" w:hAnsiTheme="minorHAnsi"/>
            <w:sz w:val="22"/>
            <w:szCs w:val="22"/>
          </w:rPr>
          <w:t>Edwin Analytics</w:t>
        </w:r>
      </w:hyperlink>
      <w:r w:rsidRPr="005A225D">
        <w:rPr>
          <w:rFonts w:asciiTheme="minorHAnsi" w:hAnsiTheme="minorHAnsi"/>
          <w:color w:val="589180"/>
          <w:sz w:val="22"/>
          <w:szCs w:val="22"/>
        </w:rPr>
        <w:t xml:space="preserve"> </w:t>
      </w:r>
      <w:r w:rsidRPr="005A225D">
        <w:rPr>
          <w:rFonts w:asciiTheme="minorHAnsi" w:hAnsiTheme="minorHAnsi"/>
          <w:sz w:val="22"/>
          <w:szCs w:val="22"/>
        </w:rPr>
        <w:t>platform. Previously, input from pilot districts contributed to the development of the report, helping it become more customizable, user</w:t>
      </w:r>
      <w:r>
        <w:rPr>
          <w:rFonts w:ascii="Helvetica" w:eastAsia="Helvetica" w:hAnsi="Helvetica" w:cs="Helvetica"/>
          <w:sz w:val="22"/>
          <w:szCs w:val="22"/>
        </w:rPr>
        <w:t>-</w:t>
      </w:r>
      <w:r w:rsidRPr="005A225D">
        <w:rPr>
          <w:rFonts w:asciiTheme="minorHAnsi" w:hAnsiTheme="minorHAnsi"/>
          <w:sz w:val="22"/>
          <w:szCs w:val="22"/>
        </w:rPr>
        <w:t>friendly, and effective in pinpointing equity gaps.</w:t>
      </w:r>
    </w:p>
    <w:p w:rsidR="0063542C" w:rsidRDefault="0063542C" w:rsidP="00745F4A">
      <w:pPr>
        <w:contextualSpacing/>
        <w:rPr>
          <w:rFonts w:asciiTheme="minorHAnsi" w:hAnsiTheme="minorHAnsi"/>
          <w:sz w:val="22"/>
          <w:szCs w:val="22"/>
        </w:rPr>
      </w:pPr>
    </w:p>
    <w:p w:rsidR="0063542C" w:rsidRPr="00E47470" w:rsidRDefault="0063542C" w:rsidP="0063542C">
      <w:pPr>
        <w:pStyle w:val="Heading4"/>
        <w:spacing w:before="0"/>
        <w:rPr>
          <w:rFonts w:ascii="Calibri" w:hAnsi="Calibri"/>
          <w:color w:val="auto"/>
        </w:rPr>
      </w:pPr>
      <w:r w:rsidRPr="00E47470">
        <w:rPr>
          <w:rFonts w:ascii="Calibri" w:hAnsi="Calibri"/>
          <w:color w:val="auto"/>
        </w:rPr>
        <w:t>Resource Allocation and District Action Report</w:t>
      </w:r>
    </w:p>
    <w:p w:rsidR="0063542C" w:rsidRDefault="0063542C" w:rsidP="00745F4A">
      <w:pPr>
        <w:contextualSpacing/>
        <w:rPr>
          <w:rFonts w:asciiTheme="minorHAnsi" w:hAnsiTheme="minorHAnsi"/>
          <w:sz w:val="22"/>
          <w:szCs w:val="22"/>
        </w:rPr>
      </w:pPr>
      <w:r>
        <w:rPr>
          <w:rFonts w:asciiTheme="minorHAnsi" w:hAnsiTheme="minorHAnsi"/>
          <w:sz w:val="22"/>
          <w:szCs w:val="22"/>
        </w:rPr>
        <w:t xml:space="preserve">Beyond </w:t>
      </w:r>
      <w:r w:rsidRPr="001214C7">
        <w:rPr>
          <w:rFonts w:asciiTheme="minorHAnsi" w:hAnsiTheme="minorHAnsi"/>
          <w:sz w:val="22"/>
          <w:szCs w:val="22"/>
        </w:rPr>
        <w:t>the S</w:t>
      </w:r>
      <w:r>
        <w:rPr>
          <w:rFonts w:asciiTheme="minorHAnsi" w:hAnsiTheme="minorHAnsi"/>
          <w:sz w:val="22"/>
          <w:szCs w:val="22"/>
        </w:rPr>
        <w:t xml:space="preserve">LE Report, districts can take </w:t>
      </w:r>
      <w:r w:rsidRPr="001214C7">
        <w:rPr>
          <w:rFonts w:asciiTheme="minorHAnsi" w:hAnsiTheme="minorHAnsi"/>
          <w:sz w:val="22"/>
          <w:szCs w:val="22"/>
        </w:rPr>
        <w:t>additional approaches to examining access to teachers and other educational resources.  Released in fall 2017 on the Department’s public website, the Resource Allocation and District Action Report (RADAR) Benchmarking allows districts access to data about the allocation of district staff, time</w:t>
      </w:r>
      <w:r>
        <w:rPr>
          <w:rFonts w:asciiTheme="minorHAnsi" w:hAnsiTheme="minorHAnsi"/>
          <w:sz w:val="22"/>
          <w:szCs w:val="22"/>
        </w:rPr>
        <w:t>,</w:t>
      </w:r>
      <w:r w:rsidRPr="001214C7">
        <w:rPr>
          <w:rFonts w:asciiTheme="minorHAnsi" w:hAnsiTheme="minorHAnsi"/>
          <w:sz w:val="22"/>
          <w:szCs w:val="22"/>
        </w:rPr>
        <w:t xml:space="preserve"> and money. Users can select ten comparison districts and see public data in a new, highly visual format. Comparisons across districts can raise questions and encourage discussions about resources. RADAR includes a report on district five</w:t>
      </w:r>
      <w:r>
        <w:rPr>
          <w:rFonts w:ascii="Helvetica" w:eastAsia="Helvetica" w:hAnsi="Helvetica" w:cs="Helvetica"/>
          <w:sz w:val="22"/>
          <w:szCs w:val="22"/>
        </w:rPr>
        <w:t>-</w:t>
      </w:r>
      <w:r w:rsidRPr="001214C7">
        <w:rPr>
          <w:rFonts w:asciiTheme="minorHAnsi" w:hAnsiTheme="minorHAnsi"/>
          <w:sz w:val="22"/>
          <w:szCs w:val="22"/>
        </w:rPr>
        <w:t xml:space="preserve">year trends as additional context for resource discussions.  </w:t>
      </w:r>
    </w:p>
    <w:p w:rsidR="00745F4A" w:rsidRPr="0063542C" w:rsidRDefault="0063542C" w:rsidP="0063542C">
      <w:pPr>
        <w:contextualSpacing/>
        <w:rPr>
          <w:rFonts w:asciiTheme="minorHAnsi" w:hAnsiTheme="minorHAnsi"/>
          <w:sz w:val="22"/>
          <w:szCs w:val="22"/>
        </w:rPr>
      </w:pPr>
      <w:r>
        <w:rPr>
          <w:noProof/>
          <w:lang w:eastAsia="zh-CN"/>
        </w:rPr>
        <w:lastRenderedPageBreak/>
        <w:drawing>
          <wp:anchor distT="0" distB="0" distL="114300" distR="114300" simplePos="0" relativeHeight="251643904" behindDoc="0" locked="0" layoutInCell="1" allowOverlap="1" wp14:anchorId="41614878" wp14:editId="175563DB">
            <wp:simplePos x="0" y="0"/>
            <wp:positionH relativeFrom="page">
              <wp:posOffset>4432005</wp:posOffset>
            </wp:positionH>
            <wp:positionV relativeFrom="paragraph">
              <wp:posOffset>517</wp:posOffset>
            </wp:positionV>
            <wp:extent cx="2352675" cy="3248025"/>
            <wp:effectExtent l="0" t="0" r="9525" b="9525"/>
            <wp:wrapSquare wrapText="bothSides"/>
            <wp:docPr id="4" name="Picture 1" descr="Bar graph: In-district expenditures per pupil&#10;For each year from 2013 to 2016, shows total expenditures per pupil, and the proportions spend on teachers; benefits/fixed costs; and all other expenditures. Over four years, expenditures increase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srcRect/>
                    <a:stretch>
                      <a:fillRect/>
                    </a:stretch>
                  </pic:blipFill>
                  <pic:spPr bwMode="auto">
                    <a:xfrm>
                      <a:off x="0" y="0"/>
                      <a:ext cx="2352675" cy="3248025"/>
                    </a:xfrm>
                    <a:prstGeom prst="rect">
                      <a:avLst/>
                    </a:prstGeom>
                    <a:noFill/>
                    <a:ln w="9525">
                      <a:noFill/>
                      <a:miter lim="800000"/>
                      <a:headEnd/>
                      <a:tailEnd/>
                    </a:ln>
                  </pic:spPr>
                </pic:pic>
              </a:graphicData>
            </a:graphic>
          </wp:anchor>
        </w:drawing>
      </w:r>
      <w:r w:rsidR="00745F4A" w:rsidRPr="001214C7">
        <w:rPr>
          <w:rFonts w:asciiTheme="minorHAnsi" w:hAnsiTheme="minorHAnsi"/>
          <w:sz w:val="22"/>
          <w:szCs w:val="22"/>
        </w:rPr>
        <w:t>RADAR users can identify entry points for discussions of resource use, including</w:t>
      </w:r>
      <w:r w:rsidR="00B75633">
        <w:rPr>
          <w:rFonts w:asciiTheme="minorHAnsi" w:hAnsiTheme="minorHAnsi"/>
          <w:sz w:val="22"/>
          <w:szCs w:val="22"/>
        </w:rPr>
        <w:t xml:space="preserve"> equity questions. A </w:t>
      </w:r>
      <w:r w:rsidR="00745F4A" w:rsidRPr="001214C7">
        <w:rPr>
          <w:rFonts w:asciiTheme="minorHAnsi" w:hAnsiTheme="minorHAnsi"/>
          <w:sz w:val="22"/>
          <w:szCs w:val="22"/>
        </w:rPr>
        <w:t>district where students with disabilities have a persistent</w:t>
      </w:r>
      <w:r w:rsidR="00531538">
        <w:rPr>
          <w:rFonts w:asciiTheme="minorHAnsi" w:hAnsiTheme="minorHAnsi"/>
          <w:sz w:val="22"/>
          <w:szCs w:val="22"/>
        </w:rPr>
        <w:t xml:space="preserve"> </w:t>
      </w:r>
      <w:r w:rsidR="00745F4A" w:rsidRPr="001214C7">
        <w:rPr>
          <w:rFonts w:asciiTheme="minorHAnsi" w:hAnsiTheme="minorHAnsi"/>
          <w:sz w:val="22"/>
          <w:szCs w:val="22"/>
        </w:rPr>
        <w:t xml:space="preserve">achievement gap may use the SLE Report to investigate whether those students have lower rates of access to highly effective educators, and use RADAR, among other tools, to see similarities and differences in </w:t>
      </w:r>
      <w:r w:rsidR="007A65C2">
        <w:rPr>
          <w:rFonts w:asciiTheme="minorHAnsi" w:hAnsiTheme="minorHAnsi"/>
          <w:sz w:val="22"/>
          <w:szCs w:val="22"/>
        </w:rPr>
        <w:t xml:space="preserve">staffing of </w:t>
      </w:r>
      <w:r w:rsidR="00745F4A" w:rsidRPr="001214C7">
        <w:rPr>
          <w:rFonts w:asciiTheme="minorHAnsi" w:hAnsiTheme="minorHAnsi"/>
          <w:sz w:val="22"/>
          <w:szCs w:val="22"/>
        </w:rPr>
        <w:t>special education teacher</w:t>
      </w:r>
      <w:r w:rsidR="007A65C2">
        <w:rPr>
          <w:rFonts w:asciiTheme="minorHAnsi" w:hAnsiTheme="minorHAnsi"/>
          <w:sz w:val="22"/>
          <w:szCs w:val="22"/>
        </w:rPr>
        <w:t>s</w:t>
      </w:r>
      <w:r w:rsidR="00745F4A" w:rsidRPr="001214C7">
        <w:rPr>
          <w:rFonts w:asciiTheme="minorHAnsi" w:hAnsiTheme="minorHAnsi"/>
          <w:sz w:val="22"/>
          <w:szCs w:val="22"/>
        </w:rPr>
        <w:t xml:space="preserve"> and paraprofessional</w:t>
      </w:r>
      <w:r w:rsidR="007A65C2">
        <w:rPr>
          <w:rFonts w:asciiTheme="minorHAnsi" w:hAnsiTheme="minorHAnsi"/>
          <w:sz w:val="22"/>
          <w:szCs w:val="22"/>
        </w:rPr>
        <w:t>s</w:t>
      </w:r>
      <w:r w:rsidR="00745F4A" w:rsidRPr="001214C7">
        <w:rPr>
          <w:rFonts w:asciiTheme="minorHAnsi" w:hAnsiTheme="minorHAnsi"/>
          <w:sz w:val="22"/>
          <w:szCs w:val="22"/>
        </w:rPr>
        <w:t xml:space="preserve">. RADAR data can inform plans for addressing gaps identified </w:t>
      </w:r>
      <w:r w:rsidR="00745F4A">
        <w:rPr>
          <w:rFonts w:asciiTheme="minorHAnsi" w:hAnsiTheme="minorHAnsi"/>
          <w:sz w:val="22"/>
          <w:szCs w:val="22"/>
        </w:rPr>
        <w:t>in</w:t>
      </w:r>
      <w:r w:rsidR="00745F4A" w:rsidRPr="001214C7">
        <w:rPr>
          <w:rFonts w:asciiTheme="minorHAnsi" w:hAnsiTheme="minorHAnsi"/>
          <w:sz w:val="22"/>
          <w:szCs w:val="22"/>
        </w:rPr>
        <w:t xml:space="preserve"> the SLE Report. </w:t>
      </w:r>
    </w:p>
    <w:p w:rsidR="00745F4A" w:rsidRPr="001214C7" w:rsidRDefault="00745F4A" w:rsidP="00745F4A">
      <w:pPr>
        <w:contextualSpacing/>
        <w:rPr>
          <w:rFonts w:asciiTheme="minorHAnsi" w:hAnsiTheme="minorHAnsi"/>
          <w:sz w:val="22"/>
          <w:szCs w:val="22"/>
        </w:rPr>
      </w:pPr>
    </w:p>
    <w:p w:rsidR="00745F4A" w:rsidRPr="005A225D" w:rsidRDefault="00745F4A" w:rsidP="00745F4A">
      <w:pPr>
        <w:contextualSpacing/>
        <w:rPr>
          <w:rFonts w:asciiTheme="minorHAnsi" w:hAnsiTheme="minorHAnsi"/>
          <w:sz w:val="22"/>
          <w:szCs w:val="22"/>
        </w:rPr>
      </w:pPr>
      <w:r w:rsidRPr="001214C7">
        <w:rPr>
          <w:rFonts w:asciiTheme="minorHAnsi" w:hAnsiTheme="minorHAnsi"/>
          <w:sz w:val="22"/>
          <w:szCs w:val="22"/>
        </w:rPr>
        <w:t>The Department will update RADAR Benchmarking data twice a year, as new data about enrollment, staffing, classes, and spending becomes available.</w:t>
      </w:r>
    </w:p>
    <w:p w:rsidR="00626594" w:rsidRPr="00E47470" w:rsidRDefault="00626594" w:rsidP="00626594">
      <w:pPr>
        <w:pStyle w:val="Heading4"/>
        <w:rPr>
          <w:rFonts w:ascii="Calibri" w:hAnsi="Calibri"/>
          <w:color w:val="auto"/>
        </w:rPr>
      </w:pPr>
      <w:r>
        <w:rPr>
          <w:rFonts w:ascii="Calibri" w:hAnsi="Calibri"/>
          <w:color w:val="auto"/>
        </w:rPr>
        <w:t xml:space="preserve">Induction and </w:t>
      </w:r>
      <w:r w:rsidR="00941E48">
        <w:rPr>
          <w:rFonts w:ascii="Calibri" w:hAnsi="Calibri"/>
          <w:color w:val="auto"/>
        </w:rPr>
        <w:t>Mentoring Report</w:t>
      </w:r>
    </w:p>
    <w:p w:rsidR="00230AE8" w:rsidRPr="00C86726" w:rsidRDefault="0063542C" w:rsidP="00C86726">
      <w:pPr>
        <w:contextualSpacing/>
        <w:rPr>
          <w:rFonts w:ascii="Calibri" w:hAnsi="Calibri"/>
          <w:sz w:val="22"/>
          <w:szCs w:val="22"/>
        </w:rPr>
      </w:pPr>
      <w:r>
        <w:rPr>
          <w:rFonts w:asciiTheme="minorHAnsi" w:hAnsiTheme="minorHAnsi"/>
          <w:noProof/>
          <w:sz w:val="22"/>
          <w:szCs w:val="22"/>
          <w:lang w:eastAsia="zh-CN"/>
        </w:rPr>
        <mc:AlternateContent>
          <mc:Choice Requires="wps">
            <w:drawing>
              <wp:anchor distT="0" distB="0" distL="114300" distR="114300" simplePos="0" relativeHeight="251666432" behindDoc="1" locked="0" layoutInCell="1" allowOverlap="1" wp14:anchorId="6924D53C" wp14:editId="7BE9738F">
                <wp:simplePos x="0" y="0"/>
                <wp:positionH relativeFrom="column">
                  <wp:posOffset>3508064</wp:posOffset>
                </wp:positionH>
                <wp:positionV relativeFrom="paragraph">
                  <wp:posOffset>770846</wp:posOffset>
                </wp:positionV>
                <wp:extent cx="2338705" cy="414655"/>
                <wp:effectExtent l="0" t="0" r="4445" b="4445"/>
                <wp:wrapThrough wrapText="bothSides">
                  <wp:wrapPolygon edited="0">
                    <wp:start x="0" y="0"/>
                    <wp:lineTo x="0" y="20839"/>
                    <wp:lineTo x="21465" y="20839"/>
                    <wp:lineTo x="21465" y="0"/>
                    <wp:lineTo x="0" y="0"/>
                  </wp:wrapPolygon>
                </wp:wrapThrough>
                <wp:docPr id="2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5A225D" w:rsidRDefault="002E3D26" w:rsidP="00745F4A">
                            <w:pPr>
                              <w:rPr>
                                <w:rFonts w:asciiTheme="minorHAnsi" w:hAnsiTheme="minorHAnsi"/>
                                <w:b/>
                                <w:sz w:val="22"/>
                                <w:szCs w:val="22"/>
                              </w:rPr>
                            </w:pPr>
                            <w:r w:rsidRPr="005A225D">
                              <w:rPr>
                                <w:rFonts w:asciiTheme="minorHAnsi" w:hAnsiTheme="minorHAnsi"/>
                                <w:b/>
                                <w:sz w:val="22"/>
                                <w:szCs w:val="22"/>
                              </w:rPr>
                              <w:t>Example of a RADAR data display on district expenditures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24D53C" id="_x0000_t202" coordsize="21600,21600" o:spt="202" path="m,l,21600r21600,l21600,xe">
                <v:stroke joinstyle="miter"/>
                <v:path gradientshapeok="t" o:connecttype="rect"/>
              </v:shapetype>
              <v:shape id="Text Box 21" o:spid="_x0000_s1028" type="#_x0000_t202" style="position:absolute;margin-left:276.25pt;margin-top:60.7pt;width:184.15pt;height:32.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" stroked="f">
                <v:textbox>
                  <w:txbxContent>
                    <w:p w:rsidR="002E3D26" w:rsidRPr="005A225D" w:rsidRDefault="002E3D26" w:rsidP="00745F4A">
                      <w:pPr>
                        <w:rPr>
                          <w:rFonts w:asciiTheme="minorHAnsi" w:hAnsiTheme="minorHAnsi"/>
                          <w:b/>
                          <w:sz w:val="22"/>
                          <w:szCs w:val="22"/>
                        </w:rPr>
                      </w:pPr>
                      <w:r w:rsidRPr="005A225D">
                        <w:rPr>
                          <w:rFonts w:asciiTheme="minorHAnsi" w:hAnsiTheme="minorHAnsi"/>
                          <w:b/>
                          <w:sz w:val="22"/>
                          <w:szCs w:val="22"/>
                        </w:rPr>
                        <w:t>Example of a RADAR data display on district expenditures</w:t>
                      </w:r>
                    </w:p>
                  </w:txbxContent>
                </v:textbox>
                <w10:wrap type="through"/>
              </v:shape>
            </w:pict>
          </mc:Fallback>
        </mc:AlternateContent>
      </w:r>
      <w:r w:rsidR="00626594" w:rsidRPr="000A413D">
        <w:rPr>
          <w:rFonts w:ascii="Calibri" w:hAnsi="Calibri"/>
          <w:sz w:val="22"/>
          <w:szCs w:val="22"/>
        </w:rPr>
        <w:t>District efforts to develop</w:t>
      </w:r>
      <w:r w:rsidR="00C75BDC">
        <w:rPr>
          <w:rFonts w:ascii="Calibri" w:hAnsi="Calibri"/>
          <w:sz w:val="22"/>
          <w:szCs w:val="22"/>
        </w:rPr>
        <w:t xml:space="preserve"> more effective</w:t>
      </w:r>
      <w:r w:rsidR="00626594" w:rsidRPr="000A413D">
        <w:rPr>
          <w:rFonts w:ascii="Calibri" w:hAnsi="Calibri"/>
          <w:sz w:val="22"/>
          <w:szCs w:val="22"/>
        </w:rPr>
        <w:t xml:space="preserve"> educators, and thus expand access to quality educators, begin with induction and mentoring. From mentor selection to program evaluation, distri</w:t>
      </w:r>
      <w:r w:rsidR="00626594">
        <w:rPr>
          <w:rFonts w:ascii="Calibri" w:hAnsi="Calibri"/>
          <w:sz w:val="22"/>
          <w:szCs w:val="22"/>
        </w:rPr>
        <w:t xml:space="preserve">cts take diverse approaches to </w:t>
      </w:r>
      <w:r w:rsidR="00626594" w:rsidRPr="000A413D">
        <w:rPr>
          <w:rFonts w:ascii="Calibri" w:hAnsi="Calibri"/>
          <w:sz w:val="22"/>
          <w:szCs w:val="22"/>
        </w:rPr>
        <w:t xml:space="preserve">supporting new educators; the </w:t>
      </w:r>
      <w:hyperlink r:id="rId34" w:history="1">
        <w:r w:rsidR="00626594" w:rsidRPr="000A413D">
          <w:rPr>
            <w:rStyle w:val="Hyperlink"/>
            <w:rFonts w:ascii="Calibri" w:hAnsi="Calibri"/>
            <w:sz w:val="22"/>
            <w:szCs w:val="22"/>
          </w:rPr>
          <w:t>2017 Statewide Induction and Mentoring Report</w:t>
        </w:r>
      </w:hyperlink>
      <w:r w:rsidR="00626594" w:rsidRPr="000A413D">
        <w:rPr>
          <w:rFonts w:ascii="Calibri" w:hAnsi="Calibri"/>
          <w:sz w:val="22"/>
          <w:szCs w:val="22"/>
        </w:rPr>
        <w:t xml:space="preserve"> captures quantitative and qualitative data about these approaches.</w:t>
      </w:r>
      <w:r w:rsidR="00626594">
        <w:rPr>
          <w:rFonts w:ascii="Calibri" w:hAnsi="Calibri"/>
          <w:sz w:val="22"/>
          <w:szCs w:val="22"/>
        </w:rPr>
        <w:t xml:space="preserve"> The report disaggregates data by districts</w:t>
      </w:r>
      <w:r w:rsidR="00626594" w:rsidRPr="00C044DE">
        <w:rPr>
          <w:rFonts w:ascii="Calibri" w:hAnsi="Calibri"/>
          <w:sz w:val="22"/>
          <w:szCs w:val="22"/>
        </w:rPr>
        <w:t>’ accountability levels; self</w:t>
      </w:r>
      <w:r w:rsidR="00626594">
        <w:rPr>
          <w:rFonts w:ascii="Helvetica" w:eastAsia="Helvetica" w:hAnsi="Helvetica" w:cs="Helvetica"/>
          <w:sz w:val="22"/>
          <w:szCs w:val="22"/>
        </w:rPr>
        <w:t>-</w:t>
      </w:r>
      <w:r w:rsidR="00626594" w:rsidRPr="00C044DE">
        <w:rPr>
          <w:rFonts w:ascii="Calibri" w:hAnsi="Calibri"/>
          <w:sz w:val="22"/>
          <w:szCs w:val="22"/>
        </w:rPr>
        <w:t>reported average amount</w:t>
      </w:r>
      <w:r w:rsidR="00B007AE">
        <w:rPr>
          <w:rFonts w:ascii="Calibri" w:hAnsi="Calibri"/>
          <w:sz w:val="22"/>
          <w:szCs w:val="22"/>
        </w:rPr>
        <w:t xml:space="preserve"> of money</w:t>
      </w:r>
      <w:r w:rsidR="00626594" w:rsidRPr="00C044DE">
        <w:rPr>
          <w:rFonts w:ascii="Calibri" w:hAnsi="Calibri"/>
          <w:sz w:val="22"/>
          <w:szCs w:val="22"/>
        </w:rPr>
        <w:t xml:space="preserve"> spent </w:t>
      </w:r>
      <w:r w:rsidR="00626594">
        <w:rPr>
          <w:rFonts w:ascii="Calibri" w:hAnsi="Calibri"/>
          <w:sz w:val="22"/>
          <w:szCs w:val="22"/>
        </w:rPr>
        <w:t>per mentee; and proportions of new teachers. According to this data, supports for new teachers tend to be more frequent and structured than are supports for new administrators or Specialized Instructional Support Personnel. In some areas, supports are more common and structured in districts with larger proportions of new teachers, compared to those with small proportions of new teachers. Furthermore, districts at accountability Levels 3</w:t>
      </w:r>
      <w:r w:rsidR="00626594">
        <w:rPr>
          <w:rFonts w:ascii="Helvetica" w:eastAsia="Helvetica" w:hAnsi="Helvetica" w:cs="Helvetica"/>
          <w:sz w:val="22"/>
          <w:szCs w:val="22"/>
        </w:rPr>
        <w:t>–</w:t>
      </w:r>
      <w:r w:rsidR="00626594">
        <w:rPr>
          <w:rFonts w:ascii="Calibri" w:hAnsi="Calibri"/>
          <w:sz w:val="22"/>
          <w:szCs w:val="22"/>
        </w:rPr>
        <w:t>5 are more likely to provide novice teachers with induction programs lasting only one year</w:t>
      </w:r>
      <w:r w:rsidR="007A65C2">
        <w:rPr>
          <w:rFonts w:ascii="Calibri" w:hAnsi="Calibri"/>
          <w:sz w:val="22"/>
          <w:szCs w:val="22"/>
        </w:rPr>
        <w:t>.</w:t>
      </w:r>
      <w:r w:rsidR="00626594">
        <w:rPr>
          <w:rFonts w:ascii="Calibri" w:hAnsi="Calibri"/>
          <w:sz w:val="22"/>
          <w:szCs w:val="22"/>
        </w:rPr>
        <w:t xml:space="preserve"> </w:t>
      </w:r>
      <w:r w:rsidR="007A65C2">
        <w:rPr>
          <w:rFonts w:ascii="Calibri" w:hAnsi="Calibri"/>
          <w:sz w:val="22"/>
          <w:szCs w:val="22"/>
        </w:rPr>
        <w:t xml:space="preserve">These districts are </w:t>
      </w:r>
      <w:r w:rsidR="00626594">
        <w:rPr>
          <w:rFonts w:ascii="Calibri" w:hAnsi="Calibri"/>
          <w:sz w:val="22"/>
          <w:szCs w:val="22"/>
        </w:rPr>
        <w:t>less likely to provide three</w:t>
      </w:r>
      <w:r w:rsidR="00626594">
        <w:rPr>
          <w:rFonts w:ascii="Helvetica" w:eastAsia="Helvetica" w:hAnsi="Helvetica" w:cs="Helvetica"/>
          <w:sz w:val="22"/>
          <w:szCs w:val="22"/>
        </w:rPr>
        <w:t>-</w:t>
      </w:r>
      <w:r w:rsidR="00626594">
        <w:rPr>
          <w:rFonts w:ascii="Calibri" w:hAnsi="Calibri"/>
          <w:sz w:val="22"/>
          <w:szCs w:val="22"/>
        </w:rPr>
        <w:t>year programs, compared to districts at Levels 1 and 2</w:t>
      </w:r>
      <w:r w:rsidR="005D6C2A">
        <w:rPr>
          <w:rFonts w:ascii="Calibri" w:hAnsi="Calibri"/>
          <w:sz w:val="22"/>
          <w:szCs w:val="22"/>
        </w:rPr>
        <w:t>,</w:t>
      </w:r>
      <w:r w:rsidR="00B007AE">
        <w:rPr>
          <w:rFonts w:ascii="Calibri" w:hAnsi="Calibri"/>
          <w:sz w:val="22"/>
          <w:szCs w:val="22"/>
        </w:rPr>
        <w:t xml:space="preserve"> </w:t>
      </w:r>
      <w:r w:rsidR="00E044D8">
        <w:rPr>
          <w:rFonts w:ascii="Calibri" w:hAnsi="Calibri"/>
          <w:sz w:val="22"/>
          <w:szCs w:val="22"/>
        </w:rPr>
        <w:t>where induction programs are more likely to be multi-year.</w:t>
      </w:r>
    </w:p>
    <w:p w:rsidR="00361825" w:rsidRDefault="00361825" w:rsidP="006646A8">
      <w:pPr>
        <w:pStyle w:val="Heading2"/>
      </w:pPr>
      <w:bookmarkStart w:id="34" w:name="_Technical_assistance_for"/>
      <w:bookmarkStart w:id="35" w:name="_Toc509831829"/>
      <w:bookmarkEnd w:id="34"/>
      <w:r>
        <w:t>Technical assistance for schools and districts</w:t>
      </w:r>
      <w:bookmarkEnd w:id="35"/>
    </w:p>
    <w:p w:rsidR="00361825" w:rsidRPr="005246B5" w:rsidRDefault="00361825" w:rsidP="00361825">
      <w:pPr>
        <w:pStyle w:val="Heading4"/>
        <w:spacing w:before="0"/>
        <w:rPr>
          <w:rFonts w:ascii="Calibri" w:hAnsi="Calibri"/>
          <w:color w:val="auto"/>
        </w:rPr>
      </w:pPr>
      <w:r>
        <w:rPr>
          <w:rFonts w:ascii="Calibri" w:hAnsi="Calibri"/>
          <w:color w:val="auto"/>
        </w:rPr>
        <w:t>Equity L</w:t>
      </w:r>
      <w:r w:rsidRPr="005246B5">
        <w:rPr>
          <w:rFonts w:ascii="Calibri" w:hAnsi="Calibri"/>
          <w:color w:val="auto"/>
        </w:rPr>
        <w:t>abs</w:t>
      </w:r>
    </w:p>
    <w:p w:rsidR="00361825" w:rsidRPr="005A225D" w:rsidRDefault="00361825" w:rsidP="00361825">
      <w:pPr>
        <w:rPr>
          <w:rFonts w:asciiTheme="minorHAnsi" w:hAnsiTheme="minorHAnsi"/>
          <w:sz w:val="22"/>
          <w:szCs w:val="22"/>
        </w:rPr>
      </w:pPr>
      <w:r w:rsidRPr="005A225D">
        <w:rPr>
          <w:rFonts w:asciiTheme="minorHAnsi" w:hAnsiTheme="minorHAnsi"/>
          <w:sz w:val="22"/>
          <w:szCs w:val="22"/>
        </w:rPr>
        <w:t xml:space="preserve">To facilitate </w:t>
      </w:r>
      <w:r>
        <w:rPr>
          <w:rFonts w:asciiTheme="minorHAnsi" w:hAnsiTheme="minorHAnsi"/>
          <w:sz w:val="22"/>
          <w:szCs w:val="22"/>
        </w:rPr>
        <w:t>equity</w:t>
      </w:r>
      <w:r w:rsidRPr="005A225D">
        <w:rPr>
          <w:rFonts w:asciiTheme="minorHAnsi" w:hAnsiTheme="minorHAnsi"/>
          <w:sz w:val="22"/>
          <w:szCs w:val="22"/>
        </w:rPr>
        <w:t xml:space="preserve"> discussion</w:t>
      </w:r>
      <w:r>
        <w:rPr>
          <w:rFonts w:asciiTheme="minorHAnsi" w:hAnsiTheme="minorHAnsi"/>
          <w:sz w:val="22"/>
          <w:szCs w:val="22"/>
        </w:rPr>
        <w:t>s</w:t>
      </w:r>
      <w:r w:rsidRPr="005A225D">
        <w:rPr>
          <w:rFonts w:asciiTheme="minorHAnsi" w:hAnsiTheme="minorHAnsi"/>
          <w:sz w:val="22"/>
          <w:szCs w:val="22"/>
        </w:rPr>
        <w:t xml:space="preserve"> with stakeholders, the Department convened representatives from </w:t>
      </w:r>
      <w:r w:rsidR="00B007AE">
        <w:rPr>
          <w:rFonts w:asciiTheme="minorHAnsi" w:hAnsiTheme="minorHAnsi"/>
          <w:sz w:val="22"/>
          <w:szCs w:val="22"/>
        </w:rPr>
        <w:t>the</w:t>
      </w:r>
      <w:r w:rsidR="00B007AE" w:rsidRPr="005A225D">
        <w:rPr>
          <w:rFonts w:asciiTheme="minorHAnsi" w:hAnsiTheme="minorHAnsi"/>
          <w:sz w:val="22"/>
          <w:szCs w:val="22"/>
        </w:rPr>
        <w:t xml:space="preserve"> </w:t>
      </w:r>
      <w:r w:rsidRPr="005A225D">
        <w:rPr>
          <w:rFonts w:asciiTheme="minorHAnsi" w:hAnsiTheme="minorHAnsi"/>
          <w:sz w:val="22"/>
          <w:szCs w:val="22"/>
        </w:rPr>
        <w:t xml:space="preserve">25 </w:t>
      </w:r>
      <w:r>
        <w:rPr>
          <w:rFonts w:asciiTheme="minorHAnsi" w:hAnsiTheme="minorHAnsi"/>
          <w:sz w:val="22"/>
          <w:szCs w:val="22"/>
        </w:rPr>
        <w:t>largest urban</w:t>
      </w:r>
      <w:r w:rsidRPr="005A225D">
        <w:rPr>
          <w:rFonts w:asciiTheme="minorHAnsi" w:hAnsiTheme="minorHAnsi"/>
          <w:sz w:val="22"/>
          <w:szCs w:val="22"/>
        </w:rPr>
        <w:t xml:space="preserve"> districts on October 30 and November 6</w:t>
      </w:r>
      <w:r>
        <w:rPr>
          <w:rFonts w:asciiTheme="minorHAnsi" w:hAnsiTheme="minorHAnsi"/>
          <w:sz w:val="22"/>
          <w:szCs w:val="22"/>
        </w:rPr>
        <w:t>, 2017,</w:t>
      </w:r>
      <w:r w:rsidRPr="005A225D">
        <w:rPr>
          <w:rFonts w:asciiTheme="minorHAnsi" w:hAnsiTheme="minorHAnsi"/>
          <w:sz w:val="22"/>
          <w:szCs w:val="22"/>
        </w:rPr>
        <w:t xml:space="preserve"> for inaugural Massachusetts Equity Labs. The goals of these meetings were to: build familiarity with using and interpreting data from the Student Learning Experience </w:t>
      </w:r>
      <w:r>
        <w:rPr>
          <w:rFonts w:asciiTheme="minorHAnsi" w:hAnsiTheme="minorHAnsi"/>
          <w:sz w:val="22"/>
          <w:szCs w:val="22"/>
        </w:rPr>
        <w:t xml:space="preserve">(SLE) </w:t>
      </w:r>
      <w:r w:rsidR="006B252D" w:rsidRPr="005A225D">
        <w:rPr>
          <w:rFonts w:asciiTheme="minorHAnsi" w:hAnsiTheme="minorHAnsi"/>
          <w:sz w:val="22"/>
          <w:szCs w:val="22"/>
        </w:rPr>
        <w:t>report</w:t>
      </w:r>
      <w:r>
        <w:rPr>
          <w:rFonts w:asciiTheme="minorHAnsi" w:hAnsiTheme="minorHAnsi"/>
          <w:sz w:val="22"/>
          <w:szCs w:val="22"/>
        </w:rPr>
        <w:t xml:space="preserve"> (</w:t>
      </w:r>
      <w:hyperlink w:anchor="_Student_Learning_Experience" w:history="1">
        <w:r w:rsidR="00B12507" w:rsidRPr="00AD52F2">
          <w:rPr>
            <w:rStyle w:val="Hyperlink"/>
            <w:rFonts w:asciiTheme="minorHAnsi" w:hAnsiTheme="minorHAnsi"/>
            <w:sz w:val="22"/>
            <w:szCs w:val="22"/>
          </w:rPr>
          <w:t>page</w:t>
        </w:r>
        <w:r w:rsidR="00AD52F2" w:rsidRPr="00AD52F2">
          <w:rPr>
            <w:rStyle w:val="Hyperlink"/>
            <w:rFonts w:asciiTheme="minorHAnsi" w:hAnsiTheme="minorHAnsi"/>
            <w:sz w:val="22"/>
            <w:szCs w:val="22"/>
          </w:rPr>
          <w:t xml:space="preserve"> 1</w:t>
        </w:r>
      </w:hyperlink>
      <w:r w:rsidR="00983216">
        <w:rPr>
          <w:rStyle w:val="Hyperlink"/>
          <w:rFonts w:asciiTheme="minorHAnsi" w:hAnsiTheme="minorHAnsi"/>
          <w:sz w:val="22"/>
          <w:szCs w:val="22"/>
        </w:rPr>
        <w:t>2</w:t>
      </w:r>
      <w:r>
        <w:rPr>
          <w:rFonts w:asciiTheme="minorHAnsi" w:hAnsiTheme="minorHAnsi"/>
          <w:sz w:val="22"/>
          <w:szCs w:val="22"/>
        </w:rPr>
        <w:t>)</w:t>
      </w:r>
      <w:r w:rsidRPr="005A225D">
        <w:rPr>
          <w:rFonts w:asciiTheme="minorHAnsi" w:hAnsiTheme="minorHAnsi"/>
          <w:sz w:val="22"/>
          <w:szCs w:val="22"/>
        </w:rPr>
        <w:t xml:space="preserve">; build a community of practice around questions of educational equity; and provide tools to assist districts in federal equity reporting requirements. Feedback from the labs was positive:  </w:t>
      </w:r>
      <w:r w:rsidRPr="005A225D">
        <w:rPr>
          <w:rFonts w:asciiTheme="minorHAnsi" w:hAnsiTheme="minorHAnsi"/>
          <w:b/>
          <w:sz w:val="22"/>
          <w:szCs w:val="22"/>
        </w:rPr>
        <w:tab/>
      </w:r>
    </w:p>
    <w:p w:rsidR="00361825" w:rsidRPr="005A225D" w:rsidRDefault="00361825" w:rsidP="00361825">
      <w:pPr>
        <w:numPr>
          <w:ilvl w:val="0"/>
          <w:numId w:val="13"/>
        </w:numPr>
        <w:rPr>
          <w:rFonts w:asciiTheme="minorHAnsi" w:hAnsiTheme="minorHAnsi"/>
          <w:sz w:val="22"/>
          <w:szCs w:val="22"/>
        </w:rPr>
      </w:pPr>
      <w:r>
        <w:rPr>
          <w:rFonts w:asciiTheme="minorHAnsi" w:hAnsiTheme="minorHAnsi"/>
          <w:sz w:val="22"/>
          <w:szCs w:val="22"/>
        </w:rPr>
        <w:t>93 percent</w:t>
      </w:r>
      <w:r w:rsidRPr="005A225D">
        <w:rPr>
          <w:rFonts w:asciiTheme="minorHAnsi" w:hAnsiTheme="minorHAnsi"/>
          <w:sz w:val="22"/>
          <w:szCs w:val="22"/>
        </w:rPr>
        <w:t xml:space="preserve"> of participants agreed/strongly agreed with the statement: “</w:t>
      </w:r>
      <w:r w:rsidRPr="005A225D">
        <w:rPr>
          <w:rFonts w:asciiTheme="minorHAnsi" w:hAnsiTheme="minorHAnsi"/>
          <w:i/>
          <w:iCs/>
          <w:sz w:val="22"/>
          <w:szCs w:val="22"/>
        </w:rPr>
        <w:t>I am confident in my ability to use and implement the tools presented at today’s meeting.</w:t>
      </w:r>
      <w:r w:rsidRPr="005A225D">
        <w:rPr>
          <w:rFonts w:asciiTheme="minorHAnsi" w:hAnsiTheme="minorHAnsi"/>
          <w:sz w:val="22"/>
          <w:szCs w:val="22"/>
        </w:rPr>
        <w:t xml:space="preserve">”  </w:t>
      </w:r>
    </w:p>
    <w:p w:rsidR="00361825" w:rsidRPr="005A225D" w:rsidRDefault="00361825" w:rsidP="00361825">
      <w:pPr>
        <w:numPr>
          <w:ilvl w:val="0"/>
          <w:numId w:val="13"/>
        </w:numPr>
        <w:rPr>
          <w:rFonts w:asciiTheme="minorHAnsi" w:hAnsiTheme="minorHAnsi"/>
          <w:sz w:val="22"/>
          <w:szCs w:val="22"/>
        </w:rPr>
      </w:pPr>
      <w:r>
        <w:rPr>
          <w:rFonts w:asciiTheme="minorHAnsi" w:hAnsiTheme="minorHAnsi"/>
          <w:sz w:val="22"/>
          <w:szCs w:val="22"/>
        </w:rPr>
        <w:t>100 percent</w:t>
      </w:r>
      <w:r w:rsidRPr="005A225D">
        <w:rPr>
          <w:rFonts w:asciiTheme="minorHAnsi" w:hAnsiTheme="minorHAnsi"/>
          <w:sz w:val="22"/>
          <w:szCs w:val="22"/>
        </w:rPr>
        <w:t xml:space="preserve"> of participants agreed/stro</w:t>
      </w:r>
      <w:r>
        <w:rPr>
          <w:rFonts w:asciiTheme="minorHAnsi" w:hAnsiTheme="minorHAnsi"/>
          <w:sz w:val="22"/>
          <w:szCs w:val="22"/>
        </w:rPr>
        <w:t>ngly agreed with the statement:</w:t>
      </w:r>
      <w:r w:rsidRPr="005A225D">
        <w:rPr>
          <w:rFonts w:asciiTheme="minorHAnsi" w:hAnsiTheme="minorHAnsi"/>
          <w:sz w:val="22"/>
          <w:szCs w:val="22"/>
        </w:rPr>
        <w:t xml:space="preserve"> “</w:t>
      </w:r>
      <w:r w:rsidRPr="005A225D">
        <w:rPr>
          <w:rFonts w:asciiTheme="minorHAnsi" w:hAnsiTheme="minorHAnsi"/>
          <w:i/>
          <w:iCs/>
          <w:sz w:val="22"/>
          <w:szCs w:val="22"/>
        </w:rPr>
        <w:t>I am ready and willing to engage in a community of practice on this topic</w:t>
      </w:r>
      <w:r w:rsidRPr="005A225D">
        <w:rPr>
          <w:rFonts w:asciiTheme="minorHAnsi" w:hAnsiTheme="minorHAnsi"/>
          <w:sz w:val="22"/>
          <w:szCs w:val="22"/>
        </w:rPr>
        <w:t xml:space="preserve">.”  </w:t>
      </w:r>
    </w:p>
    <w:p w:rsidR="00361825" w:rsidRPr="005A225D" w:rsidRDefault="00361825" w:rsidP="00361825">
      <w:pPr>
        <w:rPr>
          <w:rFonts w:asciiTheme="minorHAnsi" w:hAnsiTheme="minorHAnsi"/>
          <w:sz w:val="22"/>
          <w:szCs w:val="22"/>
        </w:rPr>
      </w:pPr>
    </w:p>
    <w:p w:rsidR="00031E08" w:rsidRPr="0063542C" w:rsidRDefault="00361825" w:rsidP="0063542C">
      <w:pPr>
        <w:rPr>
          <w:rFonts w:asciiTheme="minorHAnsi" w:hAnsiTheme="minorHAnsi"/>
          <w:sz w:val="22"/>
          <w:szCs w:val="22"/>
        </w:rPr>
      </w:pPr>
      <w:r>
        <w:rPr>
          <w:rFonts w:asciiTheme="minorHAnsi" w:hAnsiTheme="minorHAnsi"/>
          <w:sz w:val="22"/>
          <w:szCs w:val="22"/>
        </w:rPr>
        <w:t>DESE hosted a state</w:t>
      </w:r>
      <w:r w:rsidRPr="005A225D">
        <w:rPr>
          <w:rFonts w:asciiTheme="minorHAnsi" w:hAnsiTheme="minorHAnsi"/>
          <w:sz w:val="22"/>
          <w:szCs w:val="22"/>
        </w:rPr>
        <w:t>wide webinar in February to disseminate information about the equity reporting requirements broadly</w:t>
      </w:r>
      <w:r w:rsidR="00B007AE">
        <w:rPr>
          <w:rFonts w:asciiTheme="minorHAnsi" w:hAnsiTheme="minorHAnsi"/>
          <w:sz w:val="22"/>
          <w:szCs w:val="22"/>
        </w:rPr>
        <w:t>, and</w:t>
      </w:r>
      <w:r w:rsidRPr="005A225D">
        <w:rPr>
          <w:rFonts w:asciiTheme="minorHAnsi" w:hAnsiTheme="minorHAnsi"/>
          <w:sz w:val="22"/>
          <w:szCs w:val="22"/>
        </w:rPr>
        <w:t xml:space="preserve"> </w:t>
      </w:r>
      <w:r>
        <w:rPr>
          <w:rFonts w:asciiTheme="minorHAnsi" w:hAnsiTheme="minorHAnsi"/>
          <w:sz w:val="22"/>
          <w:szCs w:val="22"/>
        </w:rPr>
        <w:t>followed</w:t>
      </w:r>
      <w:r w:rsidRPr="005A225D">
        <w:rPr>
          <w:rFonts w:asciiTheme="minorHAnsi" w:hAnsiTheme="minorHAnsi"/>
          <w:sz w:val="22"/>
          <w:szCs w:val="22"/>
        </w:rPr>
        <w:t xml:space="preserve"> up with two additional Equity Labs in March. </w:t>
      </w:r>
    </w:p>
    <w:p w:rsidR="00361825" w:rsidRPr="00031E08" w:rsidRDefault="00642A68" w:rsidP="00031E08">
      <w:pPr>
        <w:pStyle w:val="Heading4"/>
        <w:spacing w:before="0"/>
        <w:rPr>
          <w:rFonts w:ascii="Calibri" w:hAnsi="Calibri"/>
          <w:color w:val="auto"/>
        </w:rPr>
      </w:pPr>
      <w:r>
        <w:rPr>
          <w:rFonts w:ascii="Calibri" w:hAnsi="Calibri"/>
          <w:color w:val="auto"/>
        </w:rPr>
        <w:lastRenderedPageBreak/>
        <w:t>Educational equity c</w:t>
      </w:r>
      <w:r w:rsidR="00031E08">
        <w:rPr>
          <w:rFonts w:ascii="Calibri" w:hAnsi="Calibri"/>
          <w:color w:val="auto"/>
        </w:rPr>
        <w:t>ourse</w:t>
      </w:r>
      <w:r w:rsidR="00626594">
        <w:rPr>
          <w:rFonts w:ascii="Calibri" w:hAnsi="Calibri"/>
          <w:color w:val="auto"/>
        </w:rPr>
        <w:t>s</w:t>
      </w:r>
    </w:p>
    <w:p w:rsidR="00031E08" w:rsidRDefault="00031E08" w:rsidP="00031E08">
      <w:pPr>
        <w:contextualSpacing/>
        <w:rPr>
          <w:rFonts w:asciiTheme="minorHAnsi" w:hAnsiTheme="minorHAnsi"/>
          <w:sz w:val="22"/>
          <w:szCs w:val="22"/>
        </w:rPr>
      </w:pPr>
      <w:r w:rsidRPr="005A225D">
        <w:rPr>
          <w:rFonts w:asciiTheme="minorHAnsi" w:hAnsiTheme="minorHAnsi"/>
          <w:sz w:val="22"/>
          <w:szCs w:val="22"/>
        </w:rPr>
        <w:t xml:space="preserve">The Department is </w:t>
      </w:r>
      <w:r>
        <w:rPr>
          <w:rFonts w:asciiTheme="minorHAnsi" w:hAnsiTheme="minorHAnsi"/>
          <w:sz w:val="22"/>
          <w:szCs w:val="22"/>
        </w:rPr>
        <w:t xml:space="preserve">funding a </w:t>
      </w:r>
      <w:hyperlink r:id="rId35" w:history="1">
        <w:r>
          <w:rPr>
            <w:rStyle w:val="Hyperlink"/>
            <w:rFonts w:asciiTheme="minorHAnsi" w:hAnsiTheme="minorHAnsi"/>
            <w:sz w:val="22"/>
            <w:szCs w:val="22"/>
          </w:rPr>
          <w:t>series of courses</w:t>
        </w:r>
      </w:hyperlink>
      <w:r>
        <w:rPr>
          <w:rFonts w:asciiTheme="minorHAnsi" w:hAnsiTheme="minorHAnsi"/>
          <w:sz w:val="22"/>
          <w:szCs w:val="22"/>
        </w:rPr>
        <w:t xml:space="preserve"> on equity.</w:t>
      </w:r>
      <w:r w:rsidRPr="005A225D">
        <w:rPr>
          <w:rFonts w:asciiTheme="minorHAnsi" w:hAnsiTheme="minorHAnsi"/>
          <w:sz w:val="22"/>
          <w:szCs w:val="22"/>
        </w:rPr>
        <w:t xml:space="preserve"> Educational Equity is a course covering achievement, fairness, and opportunity in education with regards to currently and historically under supported groups: students of color, low</w:t>
      </w:r>
      <w:r>
        <w:rPr>
          <w:rFonts w:ascii="Helvetica" w:eastAsia="Helvetica" w:hAnsi="Helvetica" w:cs="Helvetica"/>
          <w:sz w:val="22"/>
          <w:szCs w:val="22"/>
        </w:rPr>
        <w:t>-</w:t>
      </w:r>
      <w:r w:rsidRPr="005A225D">
        <w:rPr>
          <w:rFonts w:asciiTheme="minorHAnsi" w:hAnsiTheme="minorHAnsi"/>
          <w:sz w:val="22"/>
          <w:szCs w:val="22"/>
        </w:rPr>
        <w:t>income students, and students with disabilities, among others.</w:t>
      </w:r>
      <w:r>
        <w:rPr>
          <w:rFonts w:asciiTheme="minorHAnsi" w:hAnsiTheme="minorHAnsi"/>
          <w:sz w:val="22"/>
          <w:szCs w:val="22"/>
        </w:rPr>
        <w:t xml:space="preserve"> </w:t>
      </w:r>
      <w:r w:rsidRPr="005A225D">
        <w:rPr>
          <w:rFonts w:asciiTheme="minorHAnsi" w:hAnsiTheme="minorHAnsi"/>
          <w:sz w:val="22"/>
          <w:szCs w:val="22"/>
        </w:rPr>
        <w:t>Topics covered include educator effectiveness and preparedness, inclusive practice, oppression, and cultural competence. Participants will compl</w:t>
      </w:r>
      <w:r>
        <w:rPr>
          <w:rFonts w:asciiTheme="minorHAnsi" w:hAnsiTheme="minorHAnsi"/>
          <w:sz w:val="22"/>
          <w:szCs w:val="22"/>
        </w:rPr>
        <w:t>ete a project in their district</w:t>
      </w:r>
      <w:r w:rsidRPr="005A225D">
        <w:rPr>
          <w:rFonts w:asciiTheme="minorHAnsi" w:hAnsiTheme="minorHAnsi"/>
          <w:sz w:val="22"/>
          <w:szCs w:val="22"/>
        </w:rPr>
        <w:t xml:space="preserve"> addressing inequity within their schools</w:t>
      </w:r>
      <w:r>
        <w:rPr>
          <w:rFonts w:asciiTheme="minorHAnsi" w:hAnsiTheme="minorHAnsi"/>
          <w:sz w:val="22"/>
          <w:szCs w:val="22"/>
        </w:rPr>
        <w:t>.</w:t>
      </w:r>
      <w:r w:rsidRPr="005A225D">
        <w:rPr>
          <w:rFonts w:asciiTheme="minorHAnsi" w:hAnsiTheme="minorHAnsi"/>
          <w:sz w:val="22"/>
          <w:szCs w:val="22"/>
        </w:rPr>
        <w:t xml:space="preserve"> </w:t>
      </w:r>
    </w:p>
    <w:p w:rsidR="00361825" w:rsidRPr="00626594" w:rsidRDefault="00626594" w:rsidP="00626594">
      <w:pPr>
        <w:pStyle w:val="Heading4"/>
        <w:rPr>
          <w:rFonts w:ascii="Calibri" w:hAnsi="Calibri"/>
          <w:color w:val="auto"/>
        </w:rPr>
      </w:pPr>
      <w:r>
        <w:rPr>
          <w:rFonts w:ascii="Calibri" w:hAnsi="Calibri"/>
          <w:color w:val="auto"/>
        </w:rPr>
        <w:t>I</w:t>
      </w:r>
      <w:r w:rsidR="009D5FC7">
        <w:rPr>
          <w:rFonts w:ascii="Calibri" w:hAnsi="Calibri"/>
          <w:color w:val="auto"/>
        </w:rPr>
        <w:t>nclusive practice i</w:t>
      </w:r>
      <w:r>
        <w:rPr>
          <w:rFonts w:ascii="Calibri" w:hAnsi="Calibri"/>
          <w:color w:val="auto"/>
        </w:rPr>
        <w:t>nitiatives</w:t>
      </w:r>
      <w:r w:rsidRPr="005A225D">
        <w:rPr>
          <w:rFonts w:ascii="Calibri" w:hAnsi="Calibri"/>
          <w:color w:val="auto"/>
        </w:rPr>
        <w:t xml:space="preserve"> </w:t>
      </w:r>
    </w:p>
    <w:p w:rsidR="006646A8" w:rsidRPr="005A225D" w:rsidRDefault="006646A8" w:rsidP="006646A8">
      <w:pPr>
        <w:rPr>
          <w:rFonts w:asciiTheme="minorHAnsi" w:hAnsiTheme="minorHAnsi"/>
          <w:sz w:val="22"/>
          <w:szCs w:val="22"/>
        </w:rPr>
      </w:pPr>
      <w:r w:rsidRPr="005A225D">
        <w:rPr>
          <w:rFonts w:asciiTheme="minorHAnsi" w:hAnsiTheme="minorHAnsi"/>
          <w:sz w:val="22"/>
          <w:szCs w:val="22"/>
        </w:rPr>
        <w:t>In Massachusetts, economically disadvantaged students with disabilities attend classes in substantially separate settings at twice the rate of students</w:t>
      </w:r>
      <w:r w:rsidR="00253160">
        <w:rPr>
          <w:rFonts w:asciiTheme="minorHAnsi" w:hAnsiTheme="minorHAnsi"/>
          <w:sz w:val="22"/>
          <w:szCs w:val="22"/>
        </w:rPr>
        <w:t xml:space="preserve"> w</w:t>
      </w:r>
      <w:r w:rsidR="00C35E2E">
        <w:rPr>
          <w:rFonts w:asciiTheme="minorHAnsi" w:hAnsiTheme="minorHAnsi"/>
          <w:sz w:val="22"/>
          <w:szCs w:val="22"/>
        </w:rPr>
        <w:t>ith disabilities</w:t>
      </w:r>
      <w:r w:rsidRPr="005A225D">
        <w:rPr>
          <w:rFonts w:asciiTheme="minorHAnsi" w:hAnsiTheme="minorHAnsi"/>
          <w:sz w:val="22"/>
          <w:szCs w:val="22"/>
        </w:rPr>
        <w:t xml:space="preserve"> who are not economically disadvantaged. </w:t>
      </w:r>
      <w:r>
        <w:rPr>
          <w:rFonts w:asciiTheme="minorHAnsi" w:hAnsiTheme="minorHAnsi"/>
          <w:sz w:val="22"/>
          <w:szCs w:val="22"/>
        </w:rPr>
        <w:t xml:space="preserve">The </w:t>
      </w:r>
      <w:r w:rsidRPr="005A225D">
        <w:rPr>
          <w:rFonts w:asciiTheme="minorHAnsi" w:hAnsiTheme="minorHAnsi"/>
          <w:sz w:val="22"/>
          <w:szCs w:val="22"/>
        </w:rPr>
        <w:t>teachers in these substantially separate classrooms are typically teaching out</w:t>
      </w:r>
      <w:r w:rsidR="00441AF8">
        <w:rPr>
          <w:rFonts w:ascii="Helvetica" w:eastAsia="Helvetica" w:hAnsi="Helvetica" w:cs="Helvetica"/>
          <w:sz w:val="22"/>
          <w:szCs w:val="22"/>
        </w:rPr>
        <w:t>-</w:t>
      </w:r>
      <w:r w:rsidRPr="005A225D">
        <w:rPr>
          <w:rFonts w:asciiTheme="minorHAnsi" w:hAnsiTheme="minorHAnsi"/>
          <w:sz w:val="22"/>
          <w:szCs w:val="22"/>
        </w:rPr>
        <w:t>of</w:t>
      </w:r>
      <w:r w:rsidR="00441AF8">
        <w:rPr>
          <w:rFonts w:ascii="Helvetica" w:eastAsia="Helvetica" w:hAnsi="Helvetica" w:cs="Helvetica"/>
          <w:sz w:val="22"/>
          <w:szCs w:val="22"/>
        </w:rPr>
        <w:t>-</w:t>
      </w:r>
      <w:r w:rsidRPr="005A225D">
        <w:rPr>
          <w:rFonts w:asciiTheme="minorHAnsi" w:hAnsiTheme="minorHAnsi"/>
          <w:sz w:val="22"/>
          <w:szCs w:val="22"/>
        </w:rPr>
        <w:t>field</w:t>
      </w:r>
      <w:r>
        <w:rPr>
          <w:rFonts w:asciiTheme="minorHAnsi" w:hAnsiTheme="minorHAnsi"/>
          <w:sz w:val="22"/>
          <w:szCs w:val="22"/>
        </w:rPr>
        <w:t xml:space="preserve"> </w:t>
      </w:r>
      <w:r w:rsidRPr="005A225D">
        <w:rPr>
          <w:rFonts w:asciiTheme="minorHAnsi" w:hAnsiTheme="minorHAnsi"/>
          <w:sz w:val="22"/>
          <w:szCs w:val="22"/>
        </w:rPr>
        <w:t>for at least part of the day, according to a</w:t>
      </w:r>
      <w:hyperlink r:id="rId36" w:history="1">
        <w:r w:rsidRPr="005A225D">
          <w:rPr>
            <w:rStyle w:val="Hyperlink"/>
            <w:rFonts w:asciiTheme="minorHAnsi" w:hAnsiTheme="minorHAnsi"/>
            <w:sz w:val="22"/>
            <w:szCs w:val="22"/>
          </w:rPr>
          <w:t xml:space="preserve"> review of special education in Massachusetts</w:t>
        </w:r>
      </w:hyperlink>
      <w:r w:rsidRPr="005A225D">
        <w:rPr>
          <w:rFonts w:asciiTheme="minorHAnsi" w:hAnsiTheme="minorHAnsi"/>
          <w:sz w:val="22"/>
          <w:szCs w:val="22"/>
        </w:rPr>
        <w:t>.</w:t>
      </w:r>
      <w:r w:rsidRPr="005A225D">
        <w:rPr>
          <w:rStyle w:val="EndnoteReference"/>
          <w:rFonts w:asciiTheme="minorHAnsi" w:hAnsiTheme="minorHAnsi"/>
          <w:sz w:val="22"/>
          <w:szCs w:val="22"/>
        </w:rPr>
        <w:endnoteReference w:id="24"/>
      </w:r>
      <w:r w:rsidRPr="005A225D">
        <w:rPr>
          <w:rFonts w:asciiTheme="minorHAnsi" w:hAnsiTheme="minorHAnsi"/>
          <w:sz w:val="22"/>
          <w:szCs w:val="22"/>
        </w:rPr>
        <w:t xml:space="preserve"> </w:t>
      </w:r>
    </w:p>
    <w:p w:rsidR="006646A8" w:rsidRPr="005A225D" w:rsidRDefault="006646A8" w:rsidP="006646A8">
      <w:pPr>
        <w:ind w:left="720"/>
        <w:rPr>
          <w:rFonts w:asciiTheme="minorHAnsi" w:hAnsiTheme="minorHAnsi"/>
          <w:sz w:val="22"/>
          <w:szCs w:val="22"/>
        </w:rPr>
      </w:pPr>
    </w:p>
    <w:p w:rsidR="005356E1" w:rsidRDefault="006646A8" w:rsidP="004A5B53">
      <w:pPr>
        <w:rPr>
          <w:rFonts w:asciiTheme="minorHAnsi" w:hAnsiTheme="minorHAnsi"/>
          <w:sz w:val="22"/>
          <w:szCs w:val="22"/>
        </w:rPr>
      </w:pPr>
      <w:r w:rsidRPr="005A225D">
        <w:rPr>
          <w:rFonts w:asciiTheme="minorHAnsi" w:hAnsiTheme="minorHAnsi"/>
          <w:sz w:val="22"/>
          <w:szCs w:val="22"/>
        </w:rPr>
        <w:t xml:space="preserve">The </w:t>
      </w:r>
      <w:hyperlink r:id="rId37" w:history="1">
        <w:r w:rsidRPr="005A225D">
          <w:rPr>
            <w:rStyle w:val="Hyperlink"/>
            <w:rFonts w:asciiTheme="minorHAnsi" w:hAnsiTheme="minorHAnsi"/>
            <w:sz w:val="22"/>
            <w:szCs w:val="22"/>
          </w:rPr>
          <w:t>Educator Effectiveness Guidebook for Inclusive Practice</w:t>
        </w:r>
      </w:hyperlink>
      <w:r w:rsidRPr="005A225D">
        <w:rPr>
          <w:rFonts w:asciiTheme="minorHAnsi" w:hAnsiTheme="minorHAnsi"/>
          <w:sz w:val="22"/>
          <w:szCs w:val="22"/>
        </w:rPr>
        <w:t xml:space="preserve"> </w:t>
      </w:r>
      <w:r w:rsidR="00F019E5">
        <w:rPr>
          <w:rFonts w:asciiTheme="minorHAnsi" w:hAnsiTheme="minorHAnsi"/>
          <w:sz w:val="22"/>
          <w:szCs w:val="22"/>
        </w:rPr>
        <w:t>aligns</w:t>
      </w:r>
      <w:r w:rsidRPr="005A225D">
        <w:rPr>
          <w:rFonts w:asciiTheme="minorHAnsi" w:hAnsiTheme="minorHAnsi"/>
          <w:sz w:val="22"/>
          <w:szCs w:val="22"/>
        </w:rPr>
        <w:t xml:space="preserve"> best practices in inclusive instruction</w:t>
      </w:r>
      <w:r w:rsidR="00C35E2E">
        <w:rPr>
          <w:rFonts w:asciiTheme="minorHAnsi" w:hAnsiTheme="minorHAnsi"/>
          <w:sz w:val="22"/>
          <w:szCs w:val="22"/>
        </w:rPr>
        <w:t>, social and emotional learning,</w:t>
      </w:r>
      <w:r w:rsidRPr="005A225D">
        <w:rPr>
          <w:rFonts w:asciiTheme="minorHAnsi" w:hAnsiTheme="minorHAnsi"/>
          <w:sz w:val="22"/>
          <w:szCs w:val="22"/>
        </w:rPr>
        <w:t xml:space="preserve"> and positive behavior support with core aspects of the Educator Evaluation Framework</w:t>
      </w:r>
      <w:r w:rsidR="006120A6">
        <w:rPr>
          <w:rFonts w:asciiTheme="minorHAnsi" w:hAnsiTheme="minorHAnsi"/>
          <w:sz w:val="22"/>
          <w:szCs w:val="22"/>
        </w:rPr>
        <w:t xml:space="preserve">. The </w:t>
      </w:r>
      <w:r w:rsidR="00723B48">
        <w:rPr>
          <w:rFonts w:asciiTheme="minorHAnsi" w:hAnsiTheme="minorHAnsi"/>
          <w:sz w:val="22"/>
          <w:szCs w:val="22"/>
        </w:rPr>
        <w:t>G</w:t>
      </w:r>
      <w:r w:rsidR="006120A6">
        <w:rPr>
          <w:rFonts w:asciiTheme="minorHAnsi" w:hAnsiTheme="minorHAnsi"/>
          <w:sz w:val="22"/>
          <w:szCs w:val="22"/>
        </w:rPr>
        <w:t>uidebook’s tools leverage educator evaluation to support more effective, inclusive teaching, while promoting more accurate evaluation of inclusive practice. This broadens exposure to quality teaching and enhances the capacity of educator evaluation data to identify effective teaching.</w:t>
      </w:r>
      <w:r w:rsidR="00B007AE">
        <w:rPr>
          <w:rFonts w:asciiTheme="minorHAnsi" w:hAnsiTheme="minorHAnsi"/>
          <w:sz w:val="22"/>
          <w:szCs w:val="22"/>
        </w:rPr>
        <w:t xml:space="preserve"> </w:t>
      </w:r>
      <w:r w:rsidR="004A5B53">
        <w:rPr>
          <w:rFonts w:asciiTheme="minorHAnsi" w:hAnsiTheme="minorHAnsi"/>
          <w:sz w:val="22"/>
          <w:szCs w:val="22"/>
        </w:rPr>
        <w:t xml:space="preserve">A statewide survey showed </w:t>
      </w:r>
      <w:r w:rsidRPr="005A225D">
        <w:rPr>
          <w:rFonts w:asciiTheme="minorHAnsi" w:hAnsiTheme="minorHAnsi"/>
          <w:sz w:val="22"/>
          <w:szCs w:val="22"/>
        </w:rPr>
        <w:t xml:space="preserve">that </w:t>
      </w:r>
      <w:r w:rsidR="005D6C2A">
        <w:rPr>
          <w:rFonts w:asciiTheme="minorHAnsi" w:hAnsiTheme="minorHAnsi"/>
          <w:sz w:val="22"/>
          <w:szCs w:val="22"/>
        </w:rPr>
        <w:t>68 percent of superintendents (n</w:t>
      </w:r>
      <w:r w:rsidRPr="005A225D">
        <w:rPr>
          <w:rFonts w:asciiTheme="minorHAnsi" w:hAnsiTheme="minorHAnsi"/>
          <w:sz w:val="22"/>
          <w:szCs w:val="22"/>
        </w:rPr>
        <w:t xml:space="preserve"> = 205 total responses) were using the Guidebook in their districts, with over 95 percent </w:t>
      </w:r>
      <w:r w:rsidR="00946B17">
        <w:rPr>
          <w:rFonts w:asciiTheme="minorHAnsi" w:hAnsiTheme="minorHAnsi"/>
          <w:sz w:val="22"/>
          <w:szCs w:val="22"/>
        </w:rPr>
        <w:t xml:space="preserve">of those superintendents </w:t>
      </w:r>
      <w:r w:rsidRPr="005A225D">
        <w:rPr>
          <w:rFonts w:asciiTheme="minorHAnsi" w:hAnsiTheme="minorHAnsi"/>
          <w:sz w:val="22"/>
          <w:szCs w:val="22"/>
        </w:rPr>
        <w:t xml:space="preserve">indicating that </w:t>
      </w:r>
      <w:r w:rsidR="00484EEF">
        <w:rPr>
          <w:rFonts w:asciiTheme="minorHAnsi" w:hAnsiTheme="minorHAnsi"/>
          <w:sz w:val="22"/>
          <w:szCs w:val="22"/>
        </w:rPr>
        <w:t xml:space="preserve">it was a useful resource. </w:t>
      </w:r>
      <w:r w:rsidR="00B007AE">
        <w:rPr>
          <w:rFonts w:asciiTheme="minorHAnsi" w:hAnsiTheme="minorHAnsi"/>
          <w:sz w:val="22"/>
          <w:szCs w:val="22"/>
        </w:rPr>
        <w:t xml:space="preserve"> </w:t>
      </w:r>
    </w:p>
    <w:p w:rsidR="006646A8" w:rsidRPr="005A225D" w:rsidRDefault="006646A8" w:rsidP="006646A8">
      <w:pPr>
        <w:rPr>
          <w:rFonts w:asciiTheme="minorHAnsi" w:hAnsiTheme="minorHAnsi"/>
          <w:sz w:val="22"/>
          <w:szCs w:val="22"/>
        </w:rPr>
      </w:pPr>
    </w:p>
    <w:p w:rsidR="006646A8" w:rsidRPr="005A225D" w:rsidRDefault="006646A8" w:rsidP="006646A8">
      <w:pPr>
        <w:rPr>
          <w:rFonts w:asciiTheme="minorHAnsi" w:hAnsiTheme="minorHAnsi"/>
          <w:sz w:val="22"/>
          <w:szCs w:val="22"/>
        </w:rPr>
      </w:pPr>
      <w:r w:rsidRPr="005A225D">
        <w:rPr>
          <w:rFonts w:asciiTheme="minorHAnsi" w:hAnsiTheme="minorHAnsi"/>
          <w:sz w:val="22"/>
          <w:szCs w:val="22"/>
        </w:rPr>
        <w:t xml:space="preserve">The Department recently finished its first year of </w:t>
      </w:r>
      <w:r w:rsidR="00B007AE">
        <w:rPr>
          <w:rFonts w:asciiTheme="minorHAnsi" w:hAnsiTheme="minorHAnsi"/>
          <w:sz w:val="22"/>
          <w:szCs w:val="22"/>
        </w:rPr>
        <w:t xml:space="preserve">producing </w:t>
      </w:r>
      <w:r w:rsidRPr="005A225D">
        <w:rPr>
          <w:rFonts w:asciiTheme="minorHAnsi" w:hAnsiTheme="minorHAnsi"/>
          <w:sz w:val="22"/>
          <w:szCs w:val="22"/>
        </w:rPr>
        <w:t xml:space="preserve">Foundations for Inclusive Practices courses for educators and administrators. Over </w:t>
      </w:r>
      <w:r w:rsidR="00C35E2E">
        <w:rPr>
          <w:rFonts w:asciiTheme="minorHAnsi" w:hAnsiTheme="minorHAnsi"/>
          <w:sz w:val="22"/>
          <w:szCs w:val="22"/>
        </w:rPr>
        <w:t>2,000</w:t>
      </w:r>
      <w:r w:rsidRPr="005A225D">
        <w:rPr>
          <w:rFonts w:asciiTheme="minorHAnsi" w:hAnsiTheme="minorHAnsi"/>
          <w:sz w:val="22"/>
          <w:szCs w:val="22"/>
        </w:rPr>
        <w:t xml:space="preserve"> teachers have completed the courses, exceeding the program’s two</w:t>
      </w:r>
      <w:r w:rsidR="00441AF8">
        <w:rPr>
          <w:rFonts w:ascii="Helvetica" w:eastAsia="Helvetica" w:hAnsi="Helvetica" w:cs="Helvetica"/>
          <w:sz w:val="22"/>
          <w:szCs w:val="22"/>
        </w:rPr>
        <w:t>-</w:t>
      </w:r>
      <w:r w:rsidRPr="005A225D">
        <w:rPr>
          <w:rFonts w:asciiTheme="minorHAnsi" w:hAnsiTheme="minorHAnsi"/>
          <w:sz w:val="22"/>
          <w:szCs w:val="22"/>
        </w:rPr>
        <w:t>year</w:t>
      </w:r>
      <w:r>
        <w:rPr>
          <w:rFonts w:asciiTheme="minorHAnsi" w:hAnsiTheme="minorHAnsi"/>
          <w:sz w:val="22"/>
          <w:szCs w:val="22"/>
        </w:rPr>
        <w:t xml:space="preserve"> </w:t>
      </w:r>
      <w:r w:rsidRPr="005A225D">
        <w:rPr>
          <w:rFonts w:asciiTheme="minorHAnsi" w:hAnsiTheme="minorHAnsi"/>
          <w:sz w:val="22"/>
          <w:szCs w:val="22"/>
        </w:rPr>
        <w:t>target of 1,200. The Department is on track to meet its two</w:t>
      </w:r>
      <w:r w:rsidR="00441AF8">
        <w:rPr>
          <w:rFonts w:ascii="Helvetica" w:eastAsia="Helvetica" w:hAnsi="Helvetica" w:cs="Helvetica"/>
          <w:sz w:val="22"/>
          <w:szCs w:val="22"/>
        </w:rPr>
        <w:t>-</w:t>
      </w:r>
      <w:r w:rsidRPr="005A225D">
        <w:rPr>
          <w:rFonts w:asciiTheme="minorHAnsi" w:hAnsiTheme="minorHAnsi"/>
          <w:sz w:val="22"/>
          <w:szCs w:val="22"/>
        </w:rPr>
        <w:t>year</w:t>
      </w:r>
      <w:r>
        <w:rPr>
          <w:rFonts w:asciiTheme="minorHAnsi" w:hAnsiTheme="minorHAnsi"/>
          <w:sz w:val="22"/>
          <w:szCs w:val="22"/>
        </w:rPr>
        <w:t xml:space="preserve"> </w:t>
      </w:r>
      <w:r w:rsidRPr="005A225D">
        <w:rPr>
          <w:rFonts w:asciiTheme="minorHAnsi" w:hAnsiTheme="minorHAnsi"/>
          <w:sz w:val="22"/>
          <w:szCs w:val="22"/>
        </w:rPr>
        <w:t xml:space="preserve">target of 400 for the administrator courses, with over </w:t>
      </w:r>
      <w:r w:rsidR="00723B48">
        <w:rPr>
          <w:rFonts w:asciiTheme="minorHAnsi" w:hAnsiTheme="minorHAnsi"/>
          <w:sz w:val="22"/>
          <w:szCs w:val="22"/>
        </w:rPr>
        <w:t>290</w:t>
      </w:r>
      <w:r w:rsidRPr="005A225D">
        <w:rPr>
          <w:rFonts w:asciiTheme="minorHAnsi" w:hAnsiTheme="minorHAnsi"/>
          <w:sz w:val="22"/>
          <w:szCs w:val="22"/>
        </w:rPr>
        <w:t xml:space="preserve"> administrators finishing the courses this past year. Among the completers, 97 percent of educators and 99 percent of administrators reported the course was useful or very useful. To date, over </w:t>
      </w:r>
      <w:r w:rsidR="00723B48">
        <w:rPr>
          <w:rFonts w:asciiTheme="minorHAnsi" w:hAnsiTheme="minorHAnsi"/>
          <w:sz w:val="22"/>
          <w:szCs w:val="22"/>
        </w:rPr>
        <w:t>5</w:t>
      </w:r>
      <w:r w:rsidRPr="005A225D">
        <w:rPr>
          <w:rFonts w:asciiTheme="minorHAnsi" w:hAnsiTheme="minorHAnsi"/>
          <w:sz w:val="22"/>
          <w:szCs w:val="22"/>
        </w:rPr>
        <w:t xml:space="preserve">,000 educators and 850 administrators have registered for the courses. </w:t>
      </w:r>
    </w:p>
    <w:p w:rsidR="006646A8" w:rsidRPr="005A225D" w:rsidRDefault="006646A8" w:rsidP="006646A8">
      <w:pPr>
        <w:ind w:firstLine="360"/>
        <w:rPr>
          <w:rFonts w:asciiTheme="minorHAnsi" w:hAnsiTheme="minorHAnsi"/>
          <w:sz w:val="22"/>
          <w:szCs w:val="22"/>
        </w:rPr>
      </w:pPr>
    </w:p>
    <w:p w:rsidR="006646A8" w:rsidRDefault="00F019E5" w:rsidP="006646A8">
      <w:pPr>
        <w:rPr>
          <w:rFonts w:asciiTheme="minorHAnsi" w:hAnsiTheme="minorHAnsi"/>
          <w:sz w:val="22"/>
          <w:szCs w:val="22"/>
        </w:rPr>
      </w:pPr>
      <w:r>
        <w:rPr>
          <w:rFonts w:asciiTheme="minorHAnsi" w:hAnsiTheme="minorHAnsi"/>
          <w:sz w:val="22"/>
          <w:szCs w:val="22"/>
        </w:rPr>
        <w:t>The 2015</w:t>
      </w:r>
      <w:r w:rsidR="006646A8" w:rsidRPr="005A225D">
        <w:rPr>
          <w:rFonts w:asciiTheme="minorHAnsi" w:hAnsiTheme="minorHAnsi"/>
          <w:sz w:val="22"/>
          <w:szCs w:val="22"/>
        </w:rPr>
        <w:t xml:space="preserve"> inclusion of students with disabilities and English learners in our state equity plan led the</w:t>
      </w:r>
      <w:r w:rsidR="008D1E9F">
        <w:rPr>
          <w:rFonts w:asciiTheme="minorHAnsi" w:hAnsiTheme="minorHAnsi"/>
          <w:sz w:val="22"/>
          <w:szCs w:val="22"/>
        </w:rPr>
        <w:t xml:space="preserve"> </w:t>
      </w:r>
      <w:hyperlink r:id="rId38" w:history="1">
        <w:r w:rsidR="008D1E9F">
          <w:rPr>
            <w:rStyle w:val="Hyperlink"/>
            <w:rFonts w:asciiTheme="minorHAnsi" w:hAnsiTheme="minorHAnsi"/>
            <w:sz w:val="22"/>
            <w:szCs w:val="22"/>
          </w:rPr>
          <w:t>National Council on Teacher Quality</w:t>
        </w:r>
      </w:hyperlink>
      <w:r w:rsidR="008D1E9F">
        <w:rPr>
          <w:rFonts w:asciiTheme="minorHAnsi" w:hAnsiTheme="minorHAnsi"/>
          <w:sz w:val="22"/>
          <w:szCs w:val="22"/>
        </w:rPr>
        <w:t xml:space="preserve"> to </w:t>
      </w:r>
      <w:r w:rsidR="006646A8" w:rsidRPr="005A225D">
        <w:rPr>
          <w:rFonts w:asciiTheme="minorHAnsi" w:hAnsiTheme="minorHAnsi"/>
          <w:sz w:val="22"/>
          <w:szCs w:val="22"/>
        </w:rPr>
        <w:t xml:space="preserve">recognize Massachusetts for reporting equity gaps for students with disabilities in addition to other subgroups. </w:t>
      </w:r>
    </w:p>
    <w:p w:rsidR="00055941" w:rsidRDefault="00055941" w:rsidP="006646A8">
      <w:pPr>
        <w:rPr>
          <w:rFonts w:asciiTheme="minorHAnsi" w:hAnsiTheme="minorHAnsi"/>
          <w:sz w:val="22"/>
          <w:szCs w:val="22"/>
        </w:rPr>
      </w:pPr>
    </w:p>
    <w:p w:rsidR="00055941" w:rsidRPr="00E47470" w:rsidRDefault="00055941" w:rsidP="00055941">
      <w:pPr>
        <w:rPr>
          <w:rFonts w:ascii="Calibri" w:eastAsiaTheme="majorEastAsia" w:hAnsi="Calibri" w:cstheme="majorBidi"/>
          <w:b/>
          <w:bCs/>
          <w:i/>
          <w:iCs/>
        </w:rPr>
      </w:pPr>
      <w:r w:rsidRPr="00E47470">
        <w:rPr>
          <w:rFonts w:ascii="Calibri" w:eastAsiaTheme="majorEastAsia" w:hAnsi="Calibri" w:cstheme="majorBidi"/>
          <w:b/>
          <w:bCs/>
          <w:i/>
          <w:iCs/>
        </w:rPr>
        <w:t>Sheltered English Immersion</w:t>
      </w:r>
    </w:p>
    <w:p w:rsidR="00055941" w:rsidRPr="00483BF4" w:rsidRDefault="00055941" w:rsidP="00055941">
      <w:pPr>
        <w:rPr>
          <w:rFonts w:asciiTheme="minorHAnsi" w:hAnsiTheme="minorHAnsi"/>
          <w:sz w:val="22"/>
          <w:szCs w:val="22"/>
        </w:rPr>
      </w:pPr>
      <w:r w:rsidRPr="00483BF4">
        <w:rPr>
          <w:rFonts w:asciiTheme="minorHAnsi" w:hAnsiTheme="minorHAnsi"/>
          <w:sz w:val="22"/>
          <w:szCs w:val="22"/>
        </w:rPr>
        <w:t xml:space="preserve">Providing access to effective educators for all students includes ensuring that </w:t>
      </w:r>
      <w:r w:rsidR="00B007AE">
        <w:rPr>
          <w:rFonts w:asciiTheme="minorHAnsi" w:hAnsiTheme="minorHAnsi"/>
          <w:sz w:val="22"/>
          <w:szCs w:val="22"/>
        </w:rPr>
        <w:t xml:space="preserve">teachers of </w:t>
      </w:r>
      <w:r w:rsidRPr="00483BF4">
        <w:rPr>
          <w:rFonts w:asciiTheme="minorHAnsi" w:hAnsiTheme="minorHAnsi"/>
          <w:sz w:val="22"/>
          <w:szCs w:val="22"/>
        </w:rPr>
        <w:t xml:space="preserve">English learners have the capacity to provide </w:t>
      </w:r>
      <w:r>
        <w:rPr>
          <w:rFonts w:asciiTheme="minorHAnsi" w:hAnsiTheme="minorHAnsi"/>
          <w:sz w:val="22"/>
          <w:szCs w:val="22"/>
        </w:rPr>
        <w:t>quality language acquisition instruction.</w:t>
      </w:r>
      <w:r w:rsidRPr="00483BF4">
        <w:rPr>
          <w:rFonts w:asciiTheme="minorHAnsi" w:hAnsiTheme="minorHAnsi"/>
          <w:sz w:val="22"/>
          <w:szCs w:val="22"/>
        </w:rPr>
        <w:t xml:space="preserve"> In </w:t>
      </w:r>
      <w:r w:rsidR="006C2B18">
        <w:rPr>
          <w:rFonts w:asciiTheme="minorHAnsi" w:hAnsiTheme="minorHAnsi"/>
          <w:sz w:val="22"/>
          <w:szCs w:val="22"/>
        </w:rPr>
        <w:t>summer</w:t>
      </w:r>
      <w:r w:rsidR="006C2B18" w:rsidRPr="00483BF4">
        <w:rPr>
          <w:rFonts w:asciiTheme="minorHAnsi" w:hAnsiTheme="minorHAnsi"/>
          <w:sz w:val="22"/>
          <w:szCs w:val="22"/>
        </w:rPr>
        <w:t xml:space="preserve"> </w:t>
      </w:r>
      <w:r w:rsidRPr="00483BF4">
        <w:rPr>
          <w:rFonts w:asciiTheme="minorHAnsi" w:hAnsiTheme="minorHAnsi"/>
          <w:sz w:val="22"/>
          <w:szCs w:val="22"/>
        </w:rPr>
        <w:t xml:space="preserve">2018, </w:t>
      </w:r>
      <w:r>
        <w:rPr>
          <w:rFonts w:asciiTheme="minorHAnsi" w:hAnsiTheme="minorHAnsi"/>
          <w:sz w:val="22"/>
          <w:szCs w:val="22"/>
        </w:rPr>
        <w:t>D</w:t>
      </w:r>
      <w:r w:rsidRPr="00483BF4">
        <w:rPr>
          <w:rFonts w:asciiTheme="minorHAnsi" w:hAnsiTheme="minorHAnsi"/>
          <w:sz w:val="22"/>
          <w:szCs w:val="22"/>
        </w:rPr>
        <w:t xml:space="preserve">ESE will publish </w:t>
      </w:r>
      <w:r>
        <w:rPr>
          <w:rFonts w:asciiTheme="minorHAnsi" w:hAnsiTheme="minorHAnsi"/>
          <w:sz w:val="22"/>
          <w:szCs w:val="22"/>
        </w:rPr>
        <w:t>Sheltered English Immersion (</w:t>
      </w:r>
      <w:r w:rsidRPr="00483BF4">
        <w:rPr>
          <w:rFonts w:asciiTheme="minorHAnsi" w:hAnsiTheme="minorHAnsi"/>
          <w:sz w:val="22"/>
          <w:szCs w:val="22"/>
        </w:rPr>
        <w:t>SEI</w:t>
      </w:r>
      <w:r>
        <w:rPr>
          <w:rFonts w:asciiTheme="minorHAnsi" w:hAnsiTheme="minorHAnsi"/>
          <w:sz w:val="22"/>
          <w:szCs w:val="22"/>
        </w:rPr>
        <w:t>)</w:t>
      </w:r>
      <w:r w:rsidRPr="00483BF4">
        <w:rPr>
          <w:rFonts w:asciiTheme="minorHAnsi" w:hAnsiTheme="minorHAnsi"/>
          <w:sz w:val="22"/>
          <w:szCs w:val="22"/>
        </w:rPr>
        <w:t xml:space="preserve"> programmatic guidance for developing, structuring, implementing, and optimizing SEI programs. The guidance will provide information on SEI progr</w:t>
      </w:r>
      <w:r>
        <w:rPr>
          <w:rFonts w:asciiTheme="minorHAnsi" w:hAnsiTheme="minorHAnsi"/>
          <w:sz w:val="22"/>
          <w:szCs w:val="22"/>
        </w:rPr>
        <w:t>am options for various district</w:t>
      </w:r>
      <w:r w:rsidRPr="00483BF4">
        <w:rPr>
          <w:rFonts w:asciiTheme="minorHAnsi" w:hAnsiTheme="minorHAnsi"/>
          <w:sz w:val="22"/>
          <w:szCs w:val="22"/>
        </w:rPr>
        <w:t xml:space="preserve"> contexts. Additionally, a program development continuum will allow districts to identify where they are in the development and implementation of SEI</w:t>
      </w:r>
      <w:r>
        <w:rPr>
          <w:rFonts w:asciiTheme="minorHAnsi" w:hAnsiTheme="minorHAnsi"/>
          <w:sz w:val="22"/>
          <w:szCs w:val="22"/>
        </w:rPr>
        <w:t>,</w:t>
      </w:r>
      <w:r w:rsidRPr="00483BF4">
        <w:rPr>
          <w:rFonts w:asciiTheme="minorHAnsi" w:hAnsiTheme="minorHAnsi"/>
          <w:sz w:val="22"/>
          <w:szCs w:val="22"/>
        </w:rPr>
        <w:t xml:space="preserve"> and which guidance, resources, or next steps would be most useful to them. </w:t>
      </w:r>
      <w:r w:rsidR="006C2B18">
        <w:rPr>
          <w:rFonts w:asciiTheme="minorHAnsi" w:hAnsiTheme="minorHAnsi"/>
          <w:sz w:val="22"/>
          <w:szCs w:val="22"/>
        </w:rPr>
        <w:t>The</w:t>
      </w:r>
      <w:r w:rsidRPr="00483BF4">
        <w:rPr>
          <w:rFonts w:asciiTheme="minorHAnsi" w:hAnsiTheme="minorHAnsi"/>
          <w:sz w:val="22"/>
          <w:szCs w:val="22"/>
        </w:rPr>
        <w:t xml:space="preserve"> resource will include guidance for optimally scheduling English learners</w:t>
      </w:r>
      <w:r>
        <w:rPr>
          <w:rFonts w:asciiTheme="minorHAnsi" w:hAnsiTheme="minorHAnsi"/>
          <w:sz w:val="22"/>
          <w:szCs w:val="22"/>
        </w:rPr>
        <w:t xml:space="preserve">. </w:t>
      </w:r>
      <w:r w:rsidR="006C2B18">
        <w:rPr>
          <w:rFonts w:asciiTheme="minorHAnsi" w:hAnsiTheme="minorHAnsi"/>
          <w:sz w:val="22"/>
          <w:szCs w:val="22"/>
        </w:rPr>
        <w:t>Moving forward, DESE will take advantage o</w:t>
      </w:r>
      <w:r w:rsidR="005D6C2A">
        <w:rPr>
          <w:rFonts w:asciiTheme="minorHAnsi" w:hAnsiTheme="minorHAnsi"/>
          <w:sz w:val="22"/>
          <w:szCs w:val="22"/>
        </w:rPr>
        <w:t xml:space="preserve">f opportunities produced by the </w:t>
      </w:r>
      <w:r>
        <w:rPr>
          <w:rFonts w:asciiTheme="minorHAnsi" w:hAnsiTheme="minorHAnsi"/>
          <w:sz w:val="22"/>
          <w:szCs w:val="22"/>
        </w:rPr>
        <w:t xml:space="preserve">2017 Massachusetts </w:t>
      </w:r>
      <w:hyperlink r:id="rId39" w:history="1">
        <w:r w:rsidR="00531538">
          <w:rPr>
            <w:rStyle w:val="Hyperlink"/>
            <w:rFonts w:asciiTheme="minorHAnsi" w:hAnsiTheme="minorHAnsi"/>
            <w:sz w:val="22"/>
            <w:szCs w:val="22"/>
          </w:rPr>
          <w:t>Language Opportunities for Our Kids (LOOK) Act</w:t>
        </w:r>
      </w:hyperlink>
      <w:r w:rsidR="006C2B18">
        <w:rPr>
          <w:rFonts w:asciiTheme="minorHAnsi" w:hAnsiTheme="minorHAnsi"/>
          <w:sz w:val="22"/>
          <w:szCs w:val="22"/>
        </w:rPr>
        <w:t>, which</w:t>
      </w:r>
      <w:r>
        <w:rPr>
          <w:rFonts w:asciiTheme="minorHAnsi" w:hAnsiTheme="minorHAnsi"/>
          <w:sz w:val="22"/>
          <w:szCs w:val="22"/>
        </w:rPr>
        <w:t xml:space="preserve"> expands options for educating English learners by allowing more flexibility in choosing to implement bilingual education. </w:t>
      </w:r>
    </w:p>
    <w:p w:rsidR="006646A8" w:rsidRDefault="006646A8" w:rsidP="006646A8">
      <w:pPr>
        <w:rPr>
          <w:rFonts w:asciiTheme="minorHAnsi" w:hAnsiTheme="minorHAnsi"/>
          <w:sz w:val="22"/>
          <w:szCs w:val="22"/>
        </w:rPr>
      </w:pPr>
    </w:p>
    <w:p w:rsidR="00055941" w:rsidRDefault="00531BBE" w:rsidP="00B34E28">
      <w:pPr>
        <w:pStyle w:val="Heading2"/>
      </w:pPr>
      <w:r>
        <w:lastRenderedPageBreak/>
        <w:t>DESE policies that advance equity</w:t>
      </w:r>
    </w:p>
    <w:p w:rsidR="00055941" w:rsidRPr="00055941" w:rsidRDefault="00055941" w:rsidP="005A225D">
      <w:pPr>
        <w:rPr>
          <w:rFonts w:ascii="Calibri" w:eastAsiaTheme="majorEastAsia" w:hAnsi="Calibri" w:cstheme="majorBidi"/>
          <w:b/>
          <w:bCs/>
          <w:i/>
          <w:iCs/>
        </w:rPr>
      </w:pPr>
      <w:r w:rsidRPr="00055941">
        <w:rPr>
          <w:rFonts w:ascii="Calibri" w:eastAsiaTheme="majorEastAsia" w:hAnsi="Calibri" w:cstheme="majorBidi"/>
          <w:b/>
          <w:bCs/>
          <w:i/>
          <w:iCs/>
        </w:rPr>
        <w:t>Educator Evaluation Framework</w:t>
      </w:r>
    </w:p>
    <w:p w:rsidR="004A4FF9" w:rsidRPr="00723B48" w:rsidRDefault="004A4FF9" w:rsidP="005A225D">
      <w:pPr>
        <w:contextualSpacing/>
        <w:rPr>
          <w:rFonts w:asciiTheme="minorHAnsi" w:hAnsiTheme="minorHAnsi"/>
          <w:spacing w:val="-2"/>
          <w:sz w:val="22"/>
          <w:szCs w:val="22"/>
        </w:rPr>
      </w:pPr>
      <w:r>
        <w:rPr>
          <w:rFonts w:ascii="Calibri" w:hAnsi="Calibri"/>
          <w:sz w:val="22"/>
          <w:szCs w:val="22"/>
        </w:rPr>
        <w:t>Accurate, well</w:t>
      </w:r>
      <w:r w:rsidR="00441AF8">
        <w:rPr>
          <w:rFonts w:ascii="Helvetica" w:eastAsia="Helvetica" w:hAnsi="Helvetica" w:cs="Helvetica"/>
          <w:sz w:val="22"/>
          <w:szCs w:val="22"/>
        </w:rPr>
        <w:t>-</w:t>
      </w:r>
      <w:r>
        <w:rPr>
          <w:rFonts w:ascii="Calibri" w:hAnsi="Calibri"/>
          <w:sz w:val="22"/>
          <w:szCs w:val="22"/>
        </w:rPr>
        <w:t xml:space="preserve">calibrated educator evaluation data, reported at the state level, is essential to </w:t>
      </w:r>
      <w:r w:rsidRPr="005C23D7">
        <w:rPr>
          <w:rFonts w:asciiTheme="minorHAnsi" w:hAnsiTheme="minorHAnsi"/>
          <w:sz w:val="22"/>
          <w:szCs w:val="22"/>
        </w:rPr>
        <w:t>addre</w:t>
      </w:r>
      <w:r>
        <w:rPr>
          <w:rFonts w:asciiTheme="minorHAnsi" w:hAnsiTheme="minorHAnsi"/>
          <w:sz w:val="22"/>
          <w:szCs w:val="22"/>
        </w:rPr>
        <w:t>ssing equitable access</w:t>
      </w:r>
      <w:r w:rsidRPr="005C23D7">
        <w:rPr>
          <w:rFonts w:asciiTheme="minorHAnsi" w:hAnsiTheme="minorHAnsi"/>
          <w:sz w:val="22"/>
          <w:szCs w:val="22"/>
        </w:rPr>
        <w:t>.</w:t>
      </w:r>
      <w:r w:rsidRPr="005C23D7">
        <w:rPr>
          <w:rFonts w:asciiTheme="minorHAnsi" w:hAnsiTheme="minorHAnsi"/>
          <w:spacing w:val="-2"/>
          <w:sz w:val="22"/>
          <w:szCs w:val="22"/>
        </w:rPr>
        <w:t xml:space="preserve"> </w:t>
      </w:r>
      <w:r w:rsidR="00BF5AB5">
        <w:rPr>
          <w:rFonts w:asciiTheme="minorHAnsi" w:hAnsiTheme="minorHAnsi"/>
          <w:spacing w:val="-2"/>
          <w:sz w:val="22"/>
          <w:szCs w:val="22"/>
        </w:rPr>
        <w:t>D</w:t>
      </w:r>
      <w:r w:rsidR="00670287">
        <w:rPr>
          <w:rFonts w:asciiTheme="minorHAnsi" w:hAnsiTheme="minorHAnsi"/>
          <w:spacing w:val="-2"/>
          <w:sz w:val="22"/>
          <w:szCs w:val="22"/>
        </w:rPr>
        <w:t xml:space="preserve">ESE </w:t>
      </w:r>
      <w:r w:rsidR="006C2B18">
        <w:rPr>
          <w:rFonts w:asciiTheme="minorHAnsi" w:hAnsiTheme="minorHAnsi"/>
          <w:spacing w:val="-2"/>
          <w:sz w:val="22"/>
          <w:szCs w:val="22"/>
        </w:rPr>
        <w:t xml:space="preserve">supports districts </w:t>
      </w:r>
      <w:r w:rsidR="007A65C2">
        <w:rPr>
          <w:rFonts w:asciiTheme="minorHAnsi" w:hAnsiTheme="minorHAnsi"/>
          <w:spacing w:val="-2"/>
          <w:sz w:val="22"/>
          <w:szCs w:val="22"/>
        </w:rPr>
        <w:t>in</w:t>
      </w:r>
      <w:r w:rsidR="006C2B18">
        <w:rPr>
          <w:rFonts w:asciiTheme="minorHAnsi" w:hAnsiTheme="minorHAnsi"/>
          <w:spacing w:val="-2"/>
          <w:sz w:val="22"/>
          <w:szCs w:val="22"/>
        </w:rPr>
        <w:t xml:space="preserve"> calibrat</w:t>
      </w:r>
      <w:r w:rsidR="007A65C2">
        <w:rPr>
          <w:rFonts w:asciiTheme="minorHAnsi" w:hAnsiTheme="minorHAnsi"/>
          <w:spacing w:val="-2"/>
          <w:sz w:val="22"/>
          <w:szCs w:val="22"/>
        </w:rPr>
        <w:t>ing</w:t>
      </w:r>
      <w:r w:rsidR="006C2B18">
        <w:rPr>
          <w:rFonts w:asciiTheme="minorHAnsi" w:hAnsiTheme="minorHAnsi"/>
          <w:spacing w:val="-2"/>
          <w:sz w:val="22"/>
          <w:szCs w:val="22"/>
        </w:rPr>
        <w:t xml:space="preserve"> expectations and feedback, </w:t>
      </w:r>
      <w:r w:rsidRPr="005C23D7">
        <w:rPr>
          <w:rFonts w:asciiTheme="minorHAnsi" w:hAnsiTheme="minorHAnsi"/>
          <w:spacing w:val="-2"/>
          <w:sz w:val="22"/>
          <w:szCs w:val="22"/>
        </w:rPr>
        <w:t xml:space="preserve">while </w:t>
      </w:r>
      <w:r w:rsidR="006C2B18">
        <w:rPr>
          <w:rFonts w:asciiTheme="minorHAnsi" w:hAnsiTheme="minorHAnsi"/>
          <w:spacing w:val="-2"/>
          <w:sz w:val="22"/>
          <w:szCs w:val="22"/>
        </w:rPr>
        <w:t>recognizing</w:t>
      </w:r>
      <w:r w:rsidR="006C2B18" w:rsidRPr="005C23D7">
        <w:rPr>
          <w:rFonts w:asciiTheme="minorHAnsi" w:hAnsiTheme="minorHAnsi"/>
          <w:spacing w:val="-2"/>
          <w:sz w:val="22"/>
          <w:szCs w:val="22"/>
        </w:rPr>
        <w:t xml:space="preserve"> </w:t>
      </w:r>
      <w:r w:rsidRPr="005C23D7">
        <w:rPr>
          <w:rFonts w:asciiTheme="minorHAnsi" w:hAnsiTheme="minorHAnsi"/>
          <w:spacing w:val="-2"/>
          <w:sz w:val="22"/>
          <w:szCs w:val="22"/>
        </w:rPr>
        <w:t>the importance of local c</w:t>
      </w:r>
      <w:r w:rsidR="00670287">
        <w:rPr>
          <w:rFonts w:asciiTheme="minorHAnsi" w:hAnsiTheme="minorHAnsi"/>
          <w:spacing w:val="-2"/>
          <w:sz w:val="22"/>
          <w:szCs w:val="22"/>
        </w:rPr>
        <w:t>ontrol over evaluation systems.</w:t>
      </w:r>
      <w:r w:rsidR="000E27D0">
        <w:rPr>
          <w:rFonts w:asciiTheme="minorHAnsi" w:hAnsiTheme="minorHAnsi"/>
          <w:spacing w:val="-2"/>
          <w:sz w:val="22"/>
          <w:szCs w:val="22"/>
        </w:rPr>
        <w:t xml:space="preserve"> </w:t>
      </w:r>
      <w:r w:rsidR="006C2B18">
        <w:rPr>
          <w:rFonts w:asciiTheme="minorHAnsi" w:hAnsiTheme="minorHAnsi"/>
          <w:spacing w:val="-2"/>
          <w:sz w:val="22"/>
          <w:szCs w:val="22"/>
        </w:rPr>
        <w:t xml:space="preserve">Two resources </w:t>
      </w:r>
      <w:r w:rsidRPr="005C23D7">
        <w:rPr>
          <w:rFonts w:asciiTheme="minorHAnsi" w:hAnsiTheme="minorHAnsi"/>
          <w:spacing w:val="-2"/>
          <w:sz w:val="22"/>
          <w:szCs w:val="22"/>
        </w:rPr>
        <w:t xml:space="preserve">encourage consistent application of the Educator Evaluation Framework: </w:t>
      </w:r>
    </w:p>
    <w:p w:rsidR="004A4FF9" w:rsidRPr="00574FF6" w:rsidRDefault="004A4FF9" w:rsidP="005A225D">
      <w:pPr>
        <w:contextualSpacing/>
        <w:rPr>
          <w:spacing w:val="-2"/>
          <w:sz w:val="22"/>
          <w:szCs w:val="22"/>
        </w:rPr>
      </w:pPr>
    </w:p>
    <w:p w:rsidR="004A4FF9" w:rsidRPr="002C5803" w:rsidRDefault="004A4FF9" w:rsidP="005A225D">
      <w:pPr>
        <w:pStyle w:val="ListParagraph"/>
        <w:numPr>
          <w:ilvl w:val="0"/>
          <w:numId w:val="12"/>
        </w:numPr>
        <w:tabs>
          <w:tab w:val="left" w:pos="3780"/>
        </w:tabs>
        <w:rPr>
          <w:rFonts w:asciiTheme="minorHAnsi" w:hAnsiTheme="minorHAnsi"/>
          <w:sz w:val="22"/>
          <w:szCs w:val="22"/>
        </w:rPr>
      </w:pPr>
      <w:r w:rsidRPr="00574FF6">
        <w:rPr>
          <w:rFonts w:asciiTheme="minorHAnsi" w:eastAsiaTheme="minorHAnsi" w:hAnsiTheme="minorHAnsi" w:cstheme="minorBidi"/>
          <w:sz w:val="22"/>
          <w:szCs w:val="22"/>
        </w:rPr>
        <w:t>“What to Look For”</w:t>
      </w:r>
      <w:r w:rsidRPr="00574FF6">
        <w:rPr>
          <w:rFonts w:asciiTheme="minorHAnsi" w:hAnsiTheme="minorHAnsi"/>
          <w:sz w:val="22"/>
          <w:szCs w:val="22"/>
        </w:rPr>
        <w:t xml:space="preserve"> </w:t>
      </w:r>
      <w:hyperlink r:id="rId40" w:history="1">
        <w:r w:rsidRPr="002C5803">
          <w:rPr>
            <w:rStyle w:val="Hyperlink"/>
            <w:rFonts w:asciiTheme="minorHAnsi" w:hAnsiTheme="minorHAnsi"/>
            <w:sz w:val="22"/>
            <w:szCs w:val="22"/>
          </w:rPr>
          <w:t>observation guides</w:t>
        </w:r>
      </w:hyperlink>
      <w:r>
        <w:rPr>
          <w:rFonts w:asciiTheme="minorHAnsi" w:hAnsiTheme="minorHAnsi"/>
          <w:sz w:val="22"/>
          <w:szCs w:val="22"/>
        </w:rPr>
        <w:t xml:space="preserve"> describe</w:t>
      </w:r>
      <w:r w:rsidRPr="00574FF6">
        <w:rPr>
          <w:rFonts w:asciiTheme="minorHAnsi" w:hAnsiTheme="minorHAnsi"/>
          <w:sz w:val="22"/>
          <w:szCs w:val="22"/>
        </w:rPr>
        <w:t xml:space="preserve"> the practices and student </w:t>
      </w:r>
      <w:r w:rsidR="006C2B18">
        <w:rPr>
          <w:rFonts w:asciiTheme="minorHAnsi" w:hAnsiTheme="minorHAnsi"/>
          <w:sz w:val="22"/>
          <w:szCs w:val="22"/>
        </w:rPr>
        <w:t>actions</w:t>
      </w:r>
      <w:r w:rsidR="006C2B18" w:rsidRPr="00574FF6">
        <w:rPr>
          <w:rFonts w:asciiTheme="minorHAnsi" w:hAnsiTheme="minorHAnsi"/>
          <w:sz w:val="22"/>
          <w:szCs w:val="22"/>
        </w:rPr>
        <w:t xml:space="preserve"> </w:t>
      </w:r>
      <w:r w:rsidR="005D6C2A">
        <w:rPr>
          <w:rFonts w:asciiTheme="minorHAnsi" w:hAnsiTheme="minorHAnsi"/>
          <w:sz w:val="22"/>
          <w:szCs w:val="22"/>
        </w:rPr>
        <w:t xml:space="preserve">that </w:t>
      </w:r>
      <w:r w:rsidRPr="00574FF6">
        <w:rPr>
          <w:rFonts w:asciiTheme="minorHAnsi" w:hAnsiTheme="minorHAnsi"/>
          <w:sz w:val="22"/>
          <w:szCs w:val="22"/>
        </w:rPr>
        <w:t xml:space="preserve">observers should expect to see in classrooms </w:t>
      </w:r>
      <w:r w:rsidR="006C2B18">
        <w:rPr>
          <w:rFonts w:asciiTheme="minorHAnsi" w:hAnsiTheme="minorHAnsi"/>
          <w:sz w:val="22"/>
          <w:szCs w:val="22"/>
        </w:rPr>
        <w:t>at</w:t>
      </w:r>
      <w:r w:rsidR="006C2B18" w:rsidRPr="00574FF6">
        <w:rPr>
          <w:rFonts w:asciiTheme="minorHAnsi" w:hAnsiTheme="minorHAnsi"/>
          <w:sz w:val="22"/>
          <w:szCs w:val="22"/>
        </w:rPr>
        <w:t xml:space="preserve"> </w:t>
      </w:r>
      <w:r w:rsidRPr="00574FF6">
        <w:rPr>
          <w:rFonts w:asciiTheme="minorHAnsi" w:hAnsiTheme="minorHAnsi"/>
          <w:sz w:val="22"/>
          <w:szCs w:val="22"/>
        </w:rPr>
        <w:t>particular</w:t>
      </w:r>
      <w:r>
        <w:rPr>
          <w:rFonts w:asciiTheme="minorHAnsi" w:hAnsiTheme="minorHAnsi"/>
          <w:sz w:val="22"/>
          <w:szCs w:val="22"/>
        </w:rPr>
        <w:t xml:space="preserve"> grade levels and subject areas. </w:t>
      </w:r>
      <w:r w:rsidR="000827EF">
        <w:rPr>
          <w:rFonts w:asciiTheme="minorHAnsi" w:hAnsiTheme="minorHAnsi"/>
          <w:sz w:val="22"/>
          <w:szCs w:val="22"/>
        </w:rPr>
        <w:t xml:space="preserve">In 2017, </w:t>
      </w:r>
      <w:r w:rsidR="00BF5AB5">
        <w:rPr>
          <w:rFonts w:asciiTheme="minorHAnsi" w:hAnsiTheme="minorHAnsi"/>
          <w:sz w:val="22"/>
          <w:szCs w:val="22"/>
        </w:rPr>
        <w:t>D</w:t>
      </w:r>
      <w:r w:rsidR="000827EF">
        <w:rPr>
          <w:rFonts w:asciiTheme="minorHAnsi" w:hAnsiTheme="minorHAnsi"/>
          <w:sz w:val="22"/>
          <w:szCs w:val="22"/>
        </w:rPr>
        <w:t xml:space="preserve">ESE </w:t>
      </w:r>
      <w:r>
        <w:rPr>
          <w:rFonts w:asciiTheme="minorHAnsi" w:hAnsiTheme="minorHAnsi"/>
          <w:sz w:val="22"/>
          <w:szCs w:val="22"/>
        </w:rPr>
        <w:t>significan</w:t>
      </w:r>
      <w:r w:rsidR="000827EF">
        <w:rPr>
          <w:rFonts w:asciiTheme="minorHAnsi" w:hAnsiTheme="minorHAnsi"/>
          <w:sz w:val="22"/>
          <w:szCs w:val="22"/>
        </w:rPr>
        <w:t>tly expanded and updated these guides</w:t>
      </w:r>
      <w:r>
        <w:rPr>
          <w:rFonts w:asciiTheme="minorHAnsi" w:hAnsiTheme="minorHAnsi"/>
          <w:sz w:val="22"/>
          <w:szCs w:val="22"/>
        </w:rPr>
        <w:t xml:space="preserve"> to reflect updates to the Massachusetts Curriculum Frameworks for English language arts (ELA)/literacy, mathematics, and science, technology, and engineering</w:t>
      </w:r>
      <w:r w:rsidR="000827EF">
        <w:rPr>
          <w:rFonts w:asciiTheme="minorHAnsi" w:hAnsiTheme="minorHAnsi"/>
          <w:sz w:val="22"/>
          <w:szCs w:val="22"/>
        </w:rPr>
        <w:t>,</w:t>
      </w:r>
      <w:r>
        <w:rPr>
          <w:rFonts w:asciiTheme="minorHAnsi" w:hAnsiTheme="minorHAnsi"/>
          <w:sz w:val="22"/>
          <w:szCs w:val="22"/>
        </w:rPr>
        <w:t xml:space="preserve"> and to </w:t>
      </w:r>
      <w:r w:rsidR="006C2B18">
        <w:rPr>
          <w:rFonts w:asciiTheme="minorHAnsi" w:hAnsiTheme="minorHAnsi"/>
          <w:sz w:val="22"/>
          <w:szCs w:val="22"/>
        </w:rPr>
        <w:t xml:space="preserve">include </w:t>
      </w:r>
      <w:r>
        <w:rPr>
          <w:rFonts w:asciiTheme="minorHAnsi" w:hAnsiTheme="minorHAnsi"/>
          <w:sz w:val="22"/>
          <w:szCs w:val="22"/>
        </w:rPr>
        <w:t xml:space="preserve">a broader range of grade levels. </w:t>
      </w:r>
    </w:p>
    <w:p w:rsidR="004A4FF9" w:rsidRPr="00574FF6" w:rsidRDefault="006C2B18" w:rsidP="005A225D">
      <w:pPr>
        <w:pStyle w:val="ListParagraph"/>
        <w:numPr>
          <w:ilvl w:val="0"/>
          <w:numId w:val="12"/>
        </w:numPr>
        <w:rPr>
          <w:rFonts w:asciiTheme="minorHAnsi" w:hAnsiTheme="minorHAnsi"/>
          <w:spacing w:val="-2"/>
          <w:sz w:val="22"/>
          <w:szCs w:val="22"/>
        </w:rPr>
      </w:pPr>
      <w:r>
        <w:rPr>
          <w:rFonts w:asciiTheme="minorHAnsi" w:hAnsiTheme="minorHAnsi"/>
          <w:sz w:val="22"/>
          <w:szCs w:val="22"/>
        </w:rPr>
        <w:t>DESE built an</w:t>
      </w:r>
      <w:r w:rsidRPr="00574FF6">
        <w:rPr>
          <w:rFonts w:asciiTheme="minorHAnsi" w:hAnsiTheme="minorHAnsi"/>
          <w:sz w:val="22"/>
          <w:szCs w:val="22"/>
        </w:rPr>
        <w:t xml:space="preserve"> </w:t>
      </w:r>
      <w:r w:rsidR="004A4FF9" w:rsidRPr="00574FF6">
        <w:rPr>
          <w:rFonts w:asciiTheme="minorHAnsi" w:eastAsiaTheme="minorHAnsi" w:hAnsiTheme="minorHAnsi" w:cstheme="minorBidi"/>
          <w:sz w:val="22"/>
          <w:szCs w:val="22"/>
        </w:rPr>
        <w:t>interactive</w:t>
      </w:r>
      <w:r w:rsidR="004A4FF9" w:rsidRPr="00574FF6">
        <w:rPr>
          <w:rFonts w:asciiTheme="minorHAnsi" w:hAnsiTheme="minorHAnsi"/>
          <w:sz w:val="22"/>
          <w:szCs w:val="22"/>
        </w:rPr>
        <w:t xml:space="preserve"> </w:t>
      </w:r>
      <w:hyperlink r:id="rId41" w:history="1">
        <w:r w:rsidR="004A4FF9" w:rsidRPr="00574FF6">
          <w:rPr>
            <w:rStyle w:val="Hyperlink"/>
            <w:rFonts w:asciiTheme="minorHAnsi" w:hAnsiTheme="minorHAnsi"/>
            <w:sz w:val="22"/>
            <w:szCs w:val="22"/>
          </w:rPr>
          <w:t>Online Calibration Training Tool</w:t>
        </w:r>
      </w:hyperlink>
      <w:r w:rsidR="004A4FF9" w:rsidRPr="00574FF6">
        <w:rPr>
          <w:rFonts w:asciiTheme="minorHAnsi" w:hAnsiTheme="minorHAnsi"/>
          <w:sz w:val="22"/>
          <w:szCs w:val="22"/>
        </w:rPr>
        <w:t xml:space="preserve"> </w:t>
      </w:r>
      <w:r>
        <w:rPr>
          <w:rFonts w:asciiTheme="minorHAnsi" w:hAnsiTheme="minorHAnsi"/>
          <w:sz w:val="22"/>
          <w:szCs w:val="22"/>
        </w:rPr>
        <w:t xml:space="preserve">that </w:t>
      </w:r>
      <w:r w:rsidR="004A4FF9" w:rsidRPr="00574FF6">
        <w:rPr>
          <w:rFonts w:asciiTheme="minorHAnsi" w:eastAsiaTheme="minorHAnsi" w:hAnsiTheme="minorHAnsi" w:cstheme="minorBidi"/>
          <w:sz w:val="22"/>
          <w:szCs w:val="22"/>
        </w:rPr>
        <w:t>can help observers reach common expectations of practice</w:t>
      </w:r>
      <w:r w:rsidR="004A4FF9" w:rsidRPr="00574FF6">
        <w:rPr>
          <w:rFonts w:asciiTheme="minorHAnsi" w:hAnsiTheme="minorHAnsi"/>
          <w:sz w:val="22"/>
          <w:szCs w:val="22"/>
        </w:rPr>
        <w:t xml:space="preserve">. Through the tool, evaluators practice providing high quality </w:t>
      </w:r>
      <w:r w:rsidR="004A4FF9">
        <w:rPr>
          <w:rFonts w:asciiTheme="minorHAnsi" w:hAnsiTheme="minorHAnsi"/>
          <w:sz w:val="22"/>
          <w:szCs w:val="22"/>
        </w:rPr>
        <w:t xml:space="preserve">ratings and </w:t>
      </w:r>
      <w:r w:rsidR="004A4FF9" w:rsidRPr="00574FF6">
        <w:rPr>
          <w:rFonts w:asciiTheme="minorHAnsi" w:hAnsiTheme="minorHAnsi"/>
          <w:sz w:val="22"/>
          <w:szCs w:val="22"/>
        </w:rPr>
        <w:t>feedback in response to a selected lesson. Real</w:t>
      </w:r>
      <w:r w:rsidR="00441AF8">
        <w:rPr>
          <w:rFonts w:ascii="Helvetica" w:eastAsia="Helvetica" w:hAnsi="Helvetica" w:cs="Helvetica"/>
          <w:sz w:val="22"/>
          <w:szCs w:val="22"/>
        </w:rPr>
        <w:t>-</w:t>
      </w:r>
      <w:r w:rsidR="004A4FF9" w:rsidRPr="00574FF6">
        <w:rPr>
          <w:rFonts w:asciiTheme="minorHAnsi" w:hAnsiTheme="minorHAnsi"/>
          <w:sz w:val="22"/>
          <w:szCs w:val="22"/>
        </w:rPr>
        <w:t>time data displays allow participants to calibrate their assessments of practice and written feedback with one another, as well as with educators throughout the state.</w:t>
      </w:r>
    </w:p>
    <w:p w:rsidR="004A4FF9" w:rsidRDefault="004A4FF9" w:rsidP="00E47470">
      <w:pPr>
        <w:pStyle w:val="Heading4"/>
        <w:rPr>
          <w:rFonts w:asciiTheme="minorHAnsi" w:hAnsiTheme="minorHAnsi"/>
          <w:sz w:val="22"/>
          <w:szCs w:val="22"/>
        </w:rPr>
      </w:pPr>
      <w:r w:rsidRPr="00E47470">
        <w:rPr>
          <w:rFonts w:ascii="Calibri" w:hAnsi="Calibri"/>
          <w:color w:val="auto"/>
        </w:rPr>
        <w:t>Learning standards</w:t>
      </w:r>
    </w:p>
    <w:p w:rsidR="00642A68" w:rsidRPr="00E174E3" w:rsidRDefault="00642A68" w:rsidP="00642A68">
      <w:pPr>
        <w:rPr>
          <w:rFonts w:asciiTheme="minorHAnsi" w:hAnsiTheme="minorHAnsi"/>
          <w:sz w:val="22"/>
          <w:szCs w:val="22"/>
        </w:rPr>
      </w:pPr>
      <w:r w:rsidRPr="00483BF4">
        <w:rPr>
          <w:rFonts w:asciiTheme="minorHAnsi" w:hAnsiTheme="minorHAnsi"/>
          <w:sz w:val="22"/>
          <w:szCs w:val="22"/>
        </w:rPr>
        <w:t>2018 marks the 25</w:t>
      </w:r>
      <w:r w:rsidRPr="00483BF4">
        <w:rPr>
          <w:rFonts w:asciiTheme="minorHAnsi" w:hAnsiTheme="minorHAnsi"/>
          <w:sz w:val="22"/>
          <w:szCs w:val="22"/>
          <w:vertAlign w:val="superscript"/>
        </w:rPr>
        <w:t>th</w:t>
      </w:r>
      <w:r w:rsidRPr="00483BF4">
        <w:rPr>
          <w:rFonts w:asciiTheme="minorHAnsi" w:hAnsiTheme="minorHAnsi"/>
          <w:sz w:val="22"/>
          <w:szCs w:val="22"/>
        </w:rPr>
        <w:t xml:space="preserve"> anniversary of the Massachusetts Education Reform Act of 1993, and standards</w:t>
      </w:r>
      <w:r>
        <w:rPr>
          <w:rFonts w:ascii="Helvetica" w:eastAsia="Helvetica" w:hAnsi="Helvetica" w:cs="Helvetica"/>
          <w:sz w:val="22"/>
          <w:szCs w:val="22"/>
        </w:rPr>
        <w:t>-</w:t>
      </w:r>
      <w:r w:rsidRPr="00483BF4">
        <w:rPr>
          <w:rFonts w:asciiTheme="minorHAnsi" w:hAnsiTheme="minorHAnsi"/>
          <w:sz w:val="22"/>
          <w:szCs w:val="22"/>
        </w:rPr>
        <w:t xml:space="preserve">based reforms continue to guide Massachusetts as a national education leader. Among </w:t>
      </w:r>
      <w:r w:rsidR="00461E2F">
        <w:rPr>
          <w:rFonts w:asciiTheme="minorHAnsi" w:hAnsiTheme="minorHAnsi"/>
          <w:sz w:val="22"/>
          <w:szCs w:val="22"/>
        </w:rPr>
        <w:t>the</w:t>
      </w:r>
      <w:r w:rsidR="00461E2F" w:rsidRPr="00483BF4">
        <w:rPr>
          <w:rFonts w:asciiTheme="minorHAnsi" w:hAnsiTheme="minorHAnsi"/>
          <w:sz w:val="22"/>
          <w:szCs w:val="22"/>
        </w:rPr>
        <w:t xml:space="preserve"> </w:t>
      </w:r>
      <w:r w:rsidRPr="00483BF4">
        <w:rPr>
          <w:rFonts w:asciiTheme="minorHAnsi" w:hAnsiTheme="minorHAnsi"/>
          <w:sz w:val="22"/>
          <w:szCs w:val="22"/>
        </w:rPr>
        <w:t xml:space="preserve">core provisions, the Act required </w:t>
      </w:r>
      <w:r w:rsidR="005D6C2A">
        <w:rPr>
          <w:rFonts w:asciiTheme="minorHAnsi" w:hAnsiTheme="minorHAnsi"/>
          <w:sz w:val="22"/>
          <w:szCs w:val="22"/>
        </w:rPr>
        <w:t xml:space="preserve">that </w:t>
      </w:r>
      <w:r w:rsidRPr="00483BF4">
        <w:rPr>
          <w:rFonts w:asciiTheme="minorHAnsi" w:hAnsiTheme="minorHAnsi"/>
          <w:sz w:val="22"/>
          <w:szCs w:val="22"/>
        </w:rPr>
        <w:t xml:space="preserve">the </w:t>
      </w:r>
      <w:r w:rsidR="00461E2F">
        <w:rPr>
          <w:rFonts w:asciiTheme="minorHAnsi" w:hAnsiTheme="minorHAnsi"/>
          <w:sz w:val="22"/>
          <w:szCs w:val="22"/>
        </w:rPr>
        <w:t xml:space="preserve">state establish </w:t>
      </w:r>
      <w:r w:rsidRPr="00483BF4">
        <w:rPr>
          <w:rFonts w:asciiTheme="minorHAnsi" w:hAnsiTheme="minorHAnsi"/>
          <w:sz w:val="22"/>
          <w:szCs w:val="22"/>
        </w:rPr>
        <w:t>high standards that each student would be expected to meet</w:t>
      </w:r>
      <w:r w:rsidR="00461E2F">
        <w:rPr>
          <w:rFonts w:asciiTheme="minorHAnsi" w:hAnsiTheme="minorHAnsi"/>
          <w:sz w:val="22"/>
          <w:szCs w:val="22"/>
        </w:rPr>
        <w:t>.</w:t>
      </w:r>
      <w:r w:rsidRPr="00483BF4">
        <w:rPr>
          <w:rFonts w:asciiTheme="minorHAnsi" w:hAnsiTheme="minorHAnsi"/>
          <w:sz w:val="22"/>
          <w:szCs w:val="22"/>
        </w:rPr>
        <w:t xml:space="preserve"> Decades of Massachusetts</w:t>
      </w:r>
      <w:r>
        <w:rPr>
          <w:rFonts w:asciiTheme="minorHAnsi" w:hAnsiTheme="minorHAnsi"/>
          <w:sz w:val="22"/>
          <w:szCs w:val="22"/>
        </w:rPr>
        <w:t xml:space="preserve"> students’ high performance is </w:t>
      </w:r>
      <w:r w:rsidRPr="00483BF4">
        <w:rPr>
          <w:rFonts w:asciiTheme="minorHAnsi" w:hAnsiTheme="minorHAnsi"/>
          <w:sz w:val="22"/>
          <w:szCs w:val="22"/>
        </w:rPr>
        <w:t xml:space="preserve">often attributed to the Commonwealth’s </w:t>
      </w:r>
      <w:r>
        <w:rPr>
          <w:rFonts w:asciiTheme="minorHAnsi" w:hAnsiTheme="minorHAnsi"/>
          <w:sz w:val="22"/>
          <w:szCs w:val="22"/>
        </w:rPr>
        <w:t>commitment to maintaining rigorous standards. Standards-based learning continues to be a core element of educational equity in Massachusetts.</w:t>
      </w:r>
    </w:p>
    <w:p w:rsidR="00642A68" w:rsidRDefault="00642A68" w:rsidP="00483BF4">
      <w:pPr>
        <w:rPr>
          <w:rFonts w:asciiTheme="minorHAnsi" w:hAnsiTheme="minorHAnsi"/>
          <w:sz w:val="22"/>
          <w:szCs w:val="22"/>
        </w:rPr>
      </w:pPr>
    </w:p>
    <w:p w:rsidR="008A5802" w:rsidRDefault="004A4FF9" w:rsidP="00483BF4">
      <w:pPr>
        <w:rPr>
          <w:rFonts w:asciiTheme="minorHAnsi" w:hAnsiTheme="minorHAnsi"/>
          <w:sz w:val="22"/>
          <w:szCs w:val="22"/>
        </w:rPr>
      </w:pPr>
      <w:r w:rsidRPr="00483BF4">
        <w:rPr>
          <w:rFonts w:asciiTheme="minorHAnsi" w:hAnsiTheme="minorHAnsi"/>
          <w:sz w:val="22"/>
          <w:szCs w:val="22"/>
        </w:rPr>
        <w:t xml:space="preserve">The Massachusetts learning standards </w:t>
      </w:r>
      <w:r>
        <w:rPr>
          <w:rFonts w:asciiTheme="minorHAnsi" w:hAnsiTheme="minorHAnsi"/>
          <w:sz w:val="22"/>
          <w:szCs w:val="22"/>
        </w:rPr>
        <w:t>provide teachers, students</w:t>
      </w:r>
      <w:r w:rsidR="004731A1">
        <w:rPr>
          <w:rFonts w:asciiTheme="minorHAnsi" w:hAnsiTheme="minorHAnsi"/>
          <w:sz w:val="22"/>
          <w:szCs w:val="22"/>
        </w:rPr>
        <w:t>,</w:t>
      </w:r>
      <w:r>
        <w:rPr>
          <w:rFonts w:asciiTheme="minorHAnsi" w:hAnsiTheme="minorHAnsi"/>
          <w:sz w:val="22"/>
          <w:szCs w:val="22"/>
        </w:rPr>
        <w:t xml:space="preserve"> and families with clear and shared expectations for</w:t>
      </w:r>
      <w:r w:rsidRPr="00483BF4">
        <w:rPr>
          <w:rFonts w:asciiTheme="minorHAnsi" w:hAnsiTheme="minorHAnsi"/>
          <w:sz w:val="22"/>
          <w:szCs w:val="22"/>
        </w:rPr>
        <w:t xml:space="preserve"> what all students should know and be abl</w:t>
      </w:r>
      <w:r>
        <w:rPr>
          <w:rFonts w:asciiTheme="minorHAnsi" w:hAnsiTheme="minorHAnsi"/>
          <w:sz w:val="22"/>
          <w:szCs w:val="22"/>
        </w:rPr>
        <w:t xml:space="preserve">e to do at the end of each year, </w:t>
      </w:r>
      <w:r w:rsidRPr="00483BF4">
        <w:rPr>
          <w:rFonts w:asciiTheme="minorHAnsi" w:hAnsiTheme="minorHAnsi"/>
          <w:sz w:val="22"/>
          <w:szCs w:val="22"/>
        </w:rPr>
        <w:t xml:space="preserve">and </w:t>
      </w:r>
      <w:r w:rsidR="00AD5D68">
        <w:rPr>
          <w:rFonts w:asciiTheme="minorHAnsi" w:hAnsiTheme="minorHAnsi"/>
          <w:sz w:val="22"/>
          <w:szCs w:val="22"/>
        </w:rPr>
        <w:t xml:space="preserve">the standards </w:t>
      </w:r>
      <w:r w:rsidRPr="00483BF4">
        <w:rPr>
          <w:rFonts w:asciiTheme="minorHAnsi" w:hAnsiTheme="minorHAnsi"/>
          <w:sz w:val="22"/>
          <w:szCs w:val="22"/>
        </w:rPr>
        <w:t>th</w:t>
      </w:r>
      <w:r>
        <w:rPr>
          <w:rFonts w:asciiTheme="minorHAnsi" w:hAnsiTheme="minorHAnsi"/>
          <w:sz w:val="22"/>
          <w:szCs w:val="22"/>
        </w:rPr>
        <w:t xml:space="preserve">us promote equitable education. They formalize the expectation that all students in the Commonwealth have access to the same academic content, regardless of their zip code, background, or abilities. Learning standards also articulate learning progressions that bring coherence to students’ experiences as they move from grade to grade, even if the students change schools or districts. </w:t>
      </w:r>
      <w:r w:rsidR="00AD5D68">
        <w:rPr>
          <w:rFonts w:asciiTheme="minorHAnsi" w:hAnsiTheme="minorHAnsi"/>
          <w:sz w:val="22"/>
          <w:szCs w:val="22"/>
        </w:rPr>
        <w:t>Schools must implement standards</w:t>
      </w:r>
      <w:r w:rsidRPr="00483BF4">
        <w:rPr>
          <w:rFonts w:asciiTheme="minorHAnsi" w:hAnsiTheme="minorHAnsi"/>
          <w:sz w:val="22"/>
          <w:szCs w:val="22"/>
        </w:rPr>
        <w:t xml:space="preserve"> so they are equally accessible to all students. However, this does not mean that all students will or should receive an identical exp</w:t>
      </w:r>
      <w:r>
        <w:rPr>
          <w:rFonts w:asciiTheme="minorHAnsi" w:hAnsiTheme="minorHAnsi"/>
          <w:sz w:val="22"/>
          <w:szCs w:val="22"/>
        </w:rPr>
        <w:t>erience</w:t>
      </w:r>
      <w:r w:rsidRPr="00483BF4">
        <w:rPr>
          <w:rFonts w:asciiTheme="minorHAnsi" w:hAnsiTheme="minorHAnsi"/>
          <w:sz w:val="22"/>
          <w:szCs w:val="22"/>
        </w:rPr>
        <w:t>.</w:t>
      </w:r>
      <w:r>
        <w:rPr>
          <w:rFonts w:asciiTheme="minorHAnsi" w:hAnsiTheme="minorHAnsi"/>
          <w:sz w:val="22"/>
          <w:szCs w:val="22"/>
        </w:rPr>
        <w:t xml:space="preserve"> 2017</w:t>
      </w:r>
      <w:r w:rsidR="00237EF1">
        <w:rPr>
          <w:rFonts w:ascii="Helvetica" w:eastAsia="Helvetica" w:hAnsi="Helvetica" w:cs="Helvetica"/>
          <w:sz w:val="22"/>
          <w:szCs w:val="22"/>
        </w:rPr>
        <w:t>–</w:t>
      </w:r>
      <w:r>
        <w:rPr>
          <w:rFonts w:asciiTheme="minorHAnsi" w:hAnsiTheme="minorHAnsi"/>
          <w:sz w:val="22"/>
          <w:szCs w:val="22"/>
        </w:rPr>
        <w:t xml:space="preserve">18 instructional support networks </w:t>
      </w:r>
      <w:r w:rsidR="004731A1">
        <w:rPr>
          <w:rFonts w:asciiTheme="minorHAnsi" w:hAnsiTheme="minorHAnsi"/>
          <w:sz w:val="22"/>
          <w:szCs w:val="22"/>
        </w:rPr>
        <w:t xml:space="preserve">promote </w:t>
      </w:r>
      <w:r>
        <w:rPr>
          <w:rFonts w:asciiTheme="minorHAnsi" w:hAnsiTheme="minorHAnsi"/>
          <w:sz w:val="22"/>
          <w:szCs w:val="22"/>
        </w:rPr>
        <w:t>implementation of the learning standards, including a focus on his</w:t>
      </w:r>
      <w:r w:rsidR="00AD5D68">
        <w:rPr>
          <w:rFonts w:asciiTheme="minorHAnsi" w:hAnsiTheme="minorHAnsi"/>
          <w:sz w:val="22"/>
          <w:szCs w:val="22"/>
        </w:rPr>
        <w:t>torically disadvantaged student</w:t>
      </w:r>
      <w:r>
        <w:rPr>
          <w:rFonts w:asciiTheme="minorHAnsi" w:hAnsiTheme="minorHAnsi"/>
          <w:sz w:val="22"/>
          <w:szCs w:val="22"/>
        </w:rPr>
        <w:t xml:space="preserve"> groups such as English learners.</w:t>
      </w:r>
      <w:r w:rsidRPr="00483BF4">
        <w:rPr>
          <w:rFonts w:asciiTheme="minorHAnsi" w:hAnsiTheme="minorHAnsi"/>
          <w:sz w:val="22"/>
          <w:szCs w:val="22"/>
        </w:rPr>
        <w:t xml:space="preserve"> </w:t>
      </w:r>
      <w:hyperlink r:id="rId42" w:history="1">
        <w:r w:rsidR="005D6C2A">
          <w:rPr>
            <w:rStyle w:val="Hyperlink"/>
            <w:rFonts w:asciiTheme="minorHAnsi" w:hAnsiTheme="minorHAnsi"/>
            <w:sz w:val="22"/>
            <w:szCs w:val="22"/>
          </w:rPr>
          <w:t>New and revised curriculum frameworks</w:t>
        </w:r>
      </w:hyperlink>
      <w:r w:rsidR="005D6C2A">
        <w:rPr>
          <w:rFonts w:asciiTheme="minorHAnsi" w:hAnsiTheme="minorHAnsi"/>
          <w:sz w:val="22"/>
          <w:szCs w:val="22"/>
        </w:rPr>
        <w:t xml:space="preserve"> </w:t>
      </w:r>
      <w:r w:rsidRPr="00483BF4">
        <w:rPr>
          <w:rFonts w:asciiTheme="minorHAnsi" w:hAnsiTheme="minorHAnsi"/>
          <w:sz w:val="22"/>
          <w:szCs w:val="22"/>
        </w:rPr>
        <w:t>also support differentiation for English learners and students with disabilities.</w:t>
      </w:r>
    </w:p>
    <w:p w:rsidR="002434C7" w:rsidRPr="00D66C84" w:rsidRDefault="002434C7" w:rsidP="002434C7">
      <w:pPr>
        <w:pStyle w:val="Heading4"/>
        <w:rPr>
          <w:rFonts w:ascii="Calibri" w:hAnsi="Calibri"/>
          <w:color w:val="auto"/>
        </w:rPr>
      </w:pPr>
      <w:r>
        <w:rPr>
          <w:rFonts w:ascii="Calibri" w:hAnsi="Calibri"/>
          <w:color w:val="auto"/>
        </w:rPr>
        <w:t>Educator preparation</w:t>
      </w:r>
    </w:p>
    <w:p w:rsidR="002434C7" w:rsidRPr="006E48AD" w:rsidRDefault="002434C7" w:rsidP="002434C7">
      <w:pPr>
        <w:rPr>
          <w:rFonts w:asciiTheme="minorHAnsi" w:hAnsiTheme="minorHAnsi"/>
          <w:sz w:val="22"/>
          <w:szCs w:val="22"/>
        </w:rPr>
      </w:pPr>
      <w:r w:rsidRPr="006E48AD">
        <w:rPr>
          <w:rFonts w:asciiTheme="minorHAnsi" w:hAnsiTheme="minorHAnsi"/>
          <w:sz w:val="22"/>
          <w:szCs w:val="22"/>
        </w:rPr>
        <w:t xml:space="preserve">By continuing to enhance </w:t>
      </w:r>
      <w:hyperlink r:id="rId43" w:history="1">
        <w:r>
          <w:rPr>
            <w:rStyle w:val="Hyperlink"/>
            <w:rFonts w:asciiTheme="minorHAnsi" w:hAnsiTheme="minorHAnsi"/>
            <w:sz w:val="22"/>
            <w:szCs w:val="22"/>
          </w:rPr>
          <w:t>educator preparation</w:t>
        </w:r>
      </w:hyperlink>
      <w:r w:rsidRPr="006E48AD">
        <w:rPr>
          <w:rFonts w:asciiTheme="minorHAnsi" w:hAnsiTheme="minorHAnsi"/>
          <w:sz w:val="22"/>
          <w:szCs w:val="22"/>
        </w:rPr>
        <w:t>, Massachusetts can ensure that novice teachers are ready from day one to effectively serve students. This is especially pertinent to closing achievement gaps, as novice teachers are more likely to work in higher need schools</w:t>
      </w:r>
      <w:r w:rsidR="00461E2F">
        <w:rPr>
          <w:rFonts w:asciiTheme="minorHAnsi" w:hAnsiTheme="minorHAnsi"/>
          <w:sz w:val="22"/>
          <w:szCs w:val="22"/>
        </w:rPr>
        <w:t xml:space="preserve"> and more likely to teach students from historically underserved backgrounds</w:t>
      </w:r>
      <w:r w:rsidRPr="006E48AD">
        <w:rPr>
          <w:rFonts w:asciiTheme="minorHAnsi" w:hAnsiTheme="minorHAnsi"/>
          <w:sz w:val="22"/>
          <w:szCs w:val="22"/>
        </w:rPr>
        <w:t>. Through the educator preparation program formal review</w:t>
      </w:r>
      <w:r w:rsidRPr="006E48AD">
        <w:rPr>
          <w:rFonts w:asciiTheme="minorHAnsi" w:hAnsiTheme="minorHAnsi"/>
          <w:b/>
          <w:bCs/>
          <w:sz w:val="22"/>
          <w:szCs w:val="22"/>
        </w:rPr>
        <w:t xml:space="preserve"> </w:t>
      </w:r>
      <w:r w:rsidRPr="006E48AD">
        <w:rPr>
          <w:rFonts w:asciiTheme="minorHAnsi" w:hAnsiTheme="minorHAnsi"/>
          <w:sz w:val="22"/>
          <w:szCs w:val="22"/>
        </w:rPr>
        <w:t xml:space="preserve">process, the Department reviews how preparation programs are working to recruit, admit, retain, and </w:t>
      </w:r>
      <w:r>
        <w:rPr>
          <w:rFonts w:asciiTheme="minorHAnsi" w:hAnsiTheme="minorHAnsi"/>
          <w:sz w:val="22"/>
          <w:szCs w:val="22"/>
        </w:rPr>
        <w:t>graduate</w:t>
      </w:r>
      <w:r w:rsidRPr="006E48AD">
        <w:rPr>
          <w:rFonts w:asciiTheme="minorHAnsi" w:hAnsiTheme="minorHAnsi"/>
          <w:sz w:val="22"/>
          <w:szCs w:val="22"/>
        </w:rPr>
        <w:t xml:space="preserve"> a diverse candidate pool. Reviews also set an expectation that educator candidates are engaging in coursework that explicitly prepares them to be effective in cultural proficiency, Sheltered English Immersion, and social</w:t>
      </w:r>
      <w:r>
        <w:rPr>
          <w:rFonts w:ascii="Helvetica" w:eastAsia="Helvetica" w:hAnsi="Helvetica" w:cs="Helvetica"/>
          <w:sz w:val="22"/>
          <w:szCs w:val="22"/>
        </w:rPr>
        <w:t>-</w:t>
      </w:r>
      <w:r w:rsidRPr="006E48AD">
        <w:rPr>
          <w:rFonts w:asciiTheme="minorHAnsi" w:hAnsiTheme="minorHAnsi"/>
          <w:sz w:val="22"/>
          <w:szCs w:val="22"/>
        </w:rPr>
        <w:t xml:space="preserve">emotional learning, among other areas. </w:t>
      </w:r>
    </w:p>
    <w:p w:rsidR="002434C7" w:rsidRPr="006E48AD" w:rsidRDefault="002434C7" w:rsidP="002434C7">
      <w:pPr>
        <w:rPr>
          <w:rFonts w:asciiTheme="minorHAnsi" w:hAnsiTheme="minorHAnsi"/>
          <w:sz w:val="22"/>
          <w:szCs w:val="22"/>
        </w:rPr>
      </w:pPr>
    </w:p>
    <w:p w:rsidR="002434C7" w:rsidRDefault="002434C7" w:rsidP="002434C7">
      <w:pPr>
        <w:rPr>
          <w:rFonts w:asciiTheme="minorHAnsi" w:hAnsiTheme="minorHAnsi"/>
          <w:sz w:val="22"/>
          <w:szCs w:val="22"/>
        </w:rPr>
      </w:pPr>
      <w:r w:rsidRPr="006E48AD">
        <w:rPr>
          <w:rFonts w:asciiTheme="minorHAnsi" w:hAnsiTheme="minorHAnsi"/>
          <w:sz w:val="22"/>
          <w:szCs w:val="22"/>
        </w:rPr>
        <w:lastRenderedPageBreak/>
        <w:t>To further promote candidate readiness to serve diverse learners, the Department partnered</w:t>
      </w:r>
      <w:r>
        <w:rPr>
          <w:rFonts w:asciiTheme="minorHAnsi" w:hAnsiTheme="minorHAnsi"/>
          <w:sz w:val="22"/>
          <w:szCs w:val="22"/>
        </w:rPr>
        <w:t xml:space="preserve"> with 12 organizations across Massachusetts</w:t>
      </w:r>
      <w:r w:rsidRPr="006E48AD">
        <w:rPr>
          <w:rFonts w:asciiTheme="minorHAnsi" w:hAnsiTheme="minorHAnsi"/>
          <w:sz w:val="22"/>
          <w:szCs w:val="22"/>
        </w:rPr>
        <w:t xml:space="preserve"> to offer </w:t>
      </w:r>
      <w:hyperlink r:id="rId44" w:history="1">
        <w:r w:rsidRPr="00EA4CB3">
          <w:rPr>
            <w:rStyle w:val="Hyperlink"/>
            <w:rFonts w:asciiTheme="minorHAnsi" w:hAnsiTheme="minorHAnsi"/>
            <w:sz w:val="22"/>
            <w:szCs w:val="22"/>
          </w:rPr>
          <w:t>mixed reality classroom simulations</w:t>
        </w:r>
      </w:hyperlink>
      <w:r w:rsidRPr="00EA4CB3">
        <w:rPr>
          <w:rFonts w:asciiTheme="minorHAnsi" w:hAnsiTheme="minorHAnsi"/>
          <w:sz w:val="22"/>
          <w:szCs w:val="22"/>
        </w:rPr>
        <w:t xml:space="preserve"> to 1500 </w:t>
      </w:r>
      <w:r>
        <w:rPr>
          <w:rFonts w:asciiTheme="minorHAnsi" w:hAnsiTheme="minorHAnsi"/>
          <w:sz w:val="22"/>
          <w:szCs w:val="22"/>
        </w:rPr>
        <w:t>educator candidates</w:t>
      </w:r>
      <w:r w:rsidR="00531BBE">
        <w:rPr>
          <w:rFonts w:asciiTheme="minorHAnsi" w:hAnsiTheme="minorHAnsi"/>
          <w:sz w:val="22"/>
          <w:szCs w:val="22"/>
        </w:rPr>
        <w:t xml:space="preserve"> between 2016 and </w:t>
      </w:r>
      <w:r w:rsidRPr="006E48AD">
        <w:rPr>
          <w:rFonts w:asciiTheme="minorHAnsi" w:hAnsiTheme="minorHAnsi"/>
          <w:sz w:val="22"/>
          <w:szCs w:val="22"/>
        </w:rPr>
        <w:t>2018. These programs helped develop and pilot new Massachusetts</w:t>
      </w:r>
      <w:r>
        <w:rPr>
          <w:rFonts w:ascii="Helvetica" w:eastAsia="Helvetica" w:hAnsi="Helvetica" w:cs="Helvetica"/>
          <w:sz w:val="22"/>
          <w:szCs w:val="22"/>
        </w:rPr>
        <w:t>-</w:t>
      </w:r>
      <w:r w:rsidRPr="006E48AD">
        <w:rPr>
          <w:rFonts w:asciiTheme="minorHAnsi" w:hAnsiTheme="minorHAnsi"/>
          <w:sz w:val="22"/>
          <w:szCs w:val="22"/>
        </w:rPr>
        <w:t>specific avatars for the simulations, including an English learner and two students with disabilities.</w:t>
      </w:r>
    </w:p>
    <w:p w:rsidR="005D6C2A" w:rsidRDefault="005D6C2A" w:rsidP="002434C7">
      <w:pPr>
        <w:rPr>
          <w:rFonts w:asciiTheme="minorHAnsi" w:hAnsiTheme="minorHAnsi"/>
          <w:sz w:val="22"/>
          <w:szCs w:val="22"/>
        </w:rPr>
      </w:pPr>
    </w:p>
    <w:p w:rsidR="000B3942" w:rsidRDefault="000B3942" w:rsidP="000B3942">
      <w:pPr>
        <w:jc w:val="center"/>
        <w:rPr>
          <w:rFonts w:asciiTheme="minorHAnsi" w:hAnsiTheme="minorHAnsi"/>
          <w:sz w:val="22"/>
          <w:szCs w:val="22"/>
        </w:rPr>
      </w:pPr>
      <w:r>
        <w:rPr>
          <w:rFonts w:asciiTheme="minorHAnsi" w:hAnsiTheme="minorHAnsi"/>
          <w:sz w:val="22"/>
          <w:szCs w:val="22"/>
        </w:rPr>
        <w:sym w:font="Symbol" w:char="F0B7"/>
      </w:r>
      <w:r>
        <w:rPr>
          <w:rFonts w:asciiTheme="minorHAnsi" w:hAnsiTheme="minorHAnsi"/>
          <w:sz w:val="22"/>
          <w:szCs w:val="22"/>
        </w:rPr>
        <w:t xml:space="preserve"> </w:t>
      </w:r>
      <w:r>
        <w:rPr>
          <w:rFonts w:asciiTheme="minorHAnsi" w:hAnsiTheme="minorHAnsi"/>
          <w:sz w:val="22"/>
          <w:szCs w:val="22"/>
        </w:rPr>
        <w:sym w:font="Symbol" w:char="F0B7"/>
      </w:r>
      <w:r>
        <w:rPr>
          <w:rFonts w:asciiTheme="minorHAnsi" w:hAnsiTheme="minorHAnsi"/>
          <w:sz w:val="22"/>
          <w:szCs w:val="22"/>
        </w:rPr>
        <w:t xml:space="preserve"> </w:t>
      </w:r>
      <w:r>
        <w:rPr>
          <w:rFonts w:asciiTheme="minorHAnsi" w:hAnsiTheme="minorHAnsi"/>
          <w:sz w:val="22"/>
          <w:szCs w:val="22"/>
        </w:rPr>
        <w:sym w:font="Symbol" w:char="F0B7"/>
      </w:r>
    </w:p>
    <w:p w:rsidR="00F20541" w:rsidRDefault="00F20541" w:rsidP="005D6C2A">
      <w:pPr>
        <w:rPr>
          <w:rFonts w:ascii="Calibri" w:hAnsi="Calibri"/>
          <w:iCs/>
          <w:sz w:val="22"/>
          <w:szCs w:val="22"/>
        </w:rPr>
      </w:pPr>
    </w:p>
    <w:p w:rsidR="005D6C2A" w:rsidRPr="005D6C2A" w:rsidRDefault="005D6C2A" w:rsidP="005D6C2A">
      <w:pPr>
        <w:rPr>
          <w:rFonts w:ascii="Calibri" w:hAnsi="Calibri"/>
          <w:iCs/>
          <w:sz w:val="22"/>
          <w:szCs w:val="22"/>
        </w:rPr>
      </w:pPr>
      <w:r w:rsidRPr="005D6C2A">
        <w:rPr>
          <w:rFonts w:ascii="Calibri" w:hAnsi="Calibri"/>
          <w:iCs/>
          <w:sz w:val="22"/>
          <w:szCs w:val="22"/>
        </w:rPr>
        <w:t xml:space="preserve">Closing student achievement gaps is the collective responsibility of DESE, districts, schools, and families. Students bring many strengths and assets, no matter their background. Great educators can help them build upon those assets and grow as people and scholars. </w:t>
      </w:r>
      <w:r w:rsidR="000B3942">
        <w:rPr>
          <w:rFonts w:ascii="Calibri" w:hAnsi="Calibri"/>
          <w:iCs/>
          <w:sz w:val="22"/>
          <w:szCs w:val="22"/>
        </w:rPr>
        <w:t xml:space="preserve">Access to quality educators can </w:t>
      </w:r>
      <w:r w:rsidR="004731A1">
        <w:rPr>
          <w:rFonts w:ascii="Calibri" w:hAnsi="Calibri"/>
          <w:iCs/>
          <w:sz w:val="22"/>
          <w:szCs w:val="22"/>
        </w:rPr>
        <w:t xml:space="preserve">lead </w:t>
      </w:r>
      <w:proofErr w:type="spellStart"/>
      <w:r w:rsidR="004731A1">
        <w:rPr>
          <w:rFonts w:ascii="Calibri" w:hAnsi="Calibri"/>
          <w:iCs/>
          <w:sz w:val="22"/>
          <w:szCs w:val="22"/>
        </w:rPr>
        <w:t>t</w:t>
      </w:r>
      <w:proofErr w:type="spellEnd"/>
      <w:r w:rsidR="004731A1">
        <w:rPr>
          <w:rFonts w:ascii="Calibri" w:hAnsi="Calibri"/>
          <w:iCs/>
          <w:sz w:val="22"/>
          <w:szCs w:val="22"/>
        </w:rPr>
        <w:t xml:space="preserve"> </w:t>
      </w:r>
      <w:r w:rsidR="000B3942">
        <w:rPr>
          <w:rFonts w:ascii="Calibri" w:hAnsi="Calibri"/>
          <w:iCs/>
          <w:sz w:val="22"/>
          <w:szCs w:val="22"/>
        </w:rPr>
        <w:t>several additional weeks’ worth of learning. Thus, a</w:t>
      </w:r>
      <w:r w:rsidRPr="005D6C2A">
        <w:rPr>
          <w:rFonts w:ascii="Calibri" w:hAnsi="Calibri"/>
          <w:iCs/>
          <w:sz w:val="22"/>
          <w:szCs w:val="22"/>
        </w:rPr>
        <w:t xml:space="preserve">ddressing inequities in access to excellent educators is a key lever in </w:t>
      </w:r>
      <w:r w:rsidR="000B3942">
        <w:rPr>
          <w:rFonts w:ascii="Calibri" w:hAnsi="Calibri"/>
          <w:iCs/>
          <w:sz w:val="22"/>
          <w:szCs w:val="22"/>
        </w:rPr>
        <w:t>the work to ensure a</w:t>
      </w:r>
      <w:r w:rsidR="00593452">
        <w:rPr>
          <w:rFonts w:ascii="Calibri" w:hAnsi="Calibri"/>
          <w:iCs/>
          <w:sz w:val="22"/>
          <w:szCs w:val="22"/>
        </w:rPr>
        <w:t xml:space="preserve"> high quality </w:t>
      </w:r>
      <w:r w:rsidR="000B3942">
        <w:rPr>
          <w:rFonts w:ascii="Calibri" w:hAnsi="Calibri"/>
          <w:iCs/>
          <w:sz w:val="22"/>
          <w:szCs w:val="22"/>
        </w:rPr>
        <w:t>education for all</w:t>
      </w:r>
      <w:r w:rsidRPr="005D6C2A">
        <w:rPr>
          <w:rFonts w:ascii="Calibri" w:hAnsi="Calibri"/>
          <w:iCs/>
          <w:sz w:val="22"/>
          <w:szCs w:val="22"/>
        </w:rPr>
        <w:t xml:space="preserve">. We hope this 2018 Equity Update has given you good context about </w:t>
      </w:r>
      <w:r w:rsidR="00B73DD6">
        <w:rPr>
          <w:rFonts w:ascii="Calibri" w:hAnsi="Calibri"/>
          <w:iCs/>
          <w:sz w:val="22"/>
          <w:szCs w:val="22"/>
        </w:rPr>
        <w:t xml:space="preserve">the data, next steps for DESE, </w:t>
      </w:r>
      <w:r w:rsidRPr="005D6C2A">
        <w:rPr>
          <w:rFonts w:ascii="Calibri" w:hAnsi="Calibri"/>
          <w:iCs/>
          <w:sz w:val="22"/>
          <w:szCs w:val="22"/>
        </w:rPr>
        <w:t xml:space="preserve">and ideas for how to begin addressing equity gaps in your schools and districts. </w:t>
      </w:r>
    </w:p>
    <w:p w:rsidR="007D47BF" w:rsidRDefault="007D47BF"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D22441" w:rsidRDefault="00D224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63542C" w:rsidRDefault="0063542C" w:rsidP="007D47BF">
      <w:pPr>
        <w:rPr>
          <w:rFonts w:asciiTheme="minorHAnsi" w:hAnsiTheme="minorHAnsi"/>
          <w:sz w:val="22"/>
          <w:szCs w:val="22"/>
        </w:rPr>
      </w:pPr>
    </w:p>
    <w:p w:rsidR="00F20541" w:rsidRDefault="00F20541" w:rsidP="007D47BF">
      <w:pPr>
        <w:rPr>
          <w:rFonts w:asciiTheme="minorHAnsi" w:hAnsiTheme="minorHAnsi"/>
          <w:sz w:val="22"/>
          <w:szCs w:val="22"/>
        </w:rPr>
      </w:pPr>
    </w:p>
    <w:p w:rsidR="004A4FF9" w:rsidRDefault="004A4FF9" w:rsidP="007828E8">
      <w:pPr>
        <w:pStyle w:val="Heading1"/>
        <w:rPr>
          <w:rFonts w:ascii="Calibri" w:hAnsi="Calibri"/>
          <w:sz w:val="36"/>
          <w:szCs w:val="36"/>
        </w:rPr>
      </w:pPr>
      <w:bookmarkStart w:id="36" w:name="_Toc481485205"/>
      <w:bookmarkStart w:id="37" w:name="_Toc509831831"/>
      <w:r>
        <w:rPr>
          <w:rFonts w:ascii="Calibri" w:hAnsi="Calibri"/>
          <w:sz w:val="36"/>
          <w:szCs w:val="36"/>
        </w:rPr>
        <w:lastRenderedPageBreak/>
        <w:t>Appendix A: D</w:t>
      </w:r>
      <w:r w:rsidRPr="00144DD0">
        <w:rPr>
          <w:rFonts w:ascii="Calibri" w:hAnsi="Calibri"/>
          <w:sz w:val="36"/>
          <w:szCs w:val="36"/>
        </w:rPr>
        <w:t>efinitions</w:t>
      </w:r>
      <w:bookmarkEnd w:id="36"/>
      <w:bookmarkEnd w:id="37"/>
    </w:p>
    <w:p w:rsidR="004A4FF9" w:rsidRPr="00C318FB" w:rsidRDefault="004A4FF9" w:rsidP="007828E8">
      <w:pPr>
        <w:ind w:left="1440"/>
        <w:rPr>
          <w:rFonts w:ascii="Calibri" w:hAnsi="Calibri"/>
          <w:b/>
          <w:sz w:val="22"/>
          <w:szCs w:val="22"/>
        </w:rPr>
      </w:pPr>
    </w:p>
    <w:p w:rsidR="004A4FF9" w:rsidRDefault="004A4FF9" w:rsidP="007828E8">
      <w:pPr>
        <w:rPr>
          <w:rFonts w:ascii="Calibri" w:hAnsi="Calibri"/>
          <w:b/>
          <w:sz w:val="22"/>
          <w:szCs w:val="22"/>
        </w:rPr>
      </w:pPr>
      <w:r w:rsidRPr="006B541B">
        <w:rPr>
          <w:rFonts w:ascii="Calibri" w:hAnsi="Calibri"/>
          <w:b/>
          <w:sz w:val="22"/>
          <w:szCs w:val="22"/>
        </w:rPr>
        <w:t>Economically Disadvantaged Students</w:t>
      </w:r>
      <w:r>
        <w:rPr>
          <w:rFonts w:ascii="Calibri" w:hAnsi="Calibri"/>
          <w:b/>
          <w:sz w:val="22"/>
          <w:szCs w:val="22"/>
        </w:rPr>
        <w:t>:</w:t>
      </w:r>
    </w:p>
    <w:p w:rsidR="004A4FF9" w:rsidRPr="00D613D7" w:rsidRDefault="004A4FF9" w:rsidP="00B021E3">
      <w:pPr>
        <w:pStyle w:val="ListParagraph"/>
        <w:numPr>
          <w:ilvl w:val="0"/>
          <w:numId w:val="12"/>
        </w:numPr>
        <w:tabs>
          <w:tab w:val="left" w:pos="3780"/>
        </w:tabs>
        <w:rPr>
          <w:rFonts w:ascii="Calibri" w:hAnsi="Calibri"/>
          <w:b/>
          <w:sz w:val="22"/>
          <w:szCs w:val="22"/>
        </w:rPr>
      </w:pPr>
      <w:r w:rsidRPr="00D613D7">
        <w:rPr>
          <w:rFonts w:ascii="Calibri" w:hAnsi="Calibri"/>
          <w:sz w:val="22"/>
          <w:szCs w:val="22"/>
        </w:rPr>
        <w:t xml:space="preserve">Prior to </w:t>
      </w:r>
      <w:r w:rsidRPr="00B021E3">
        <w:rPr>
          <w:rFonts w:asciiTheme="minorHAnsi" w:eastAsiaTheme="minorHAnsi" w:hAnsiTheme="minorHAnsi" w:cstheme="minorBidi"/>
          <w:sz w:val="22"/>
          <w:szCs w:val="22"/>
        </w:rPr>
        <w:t>the</w:t>
      </w:r>
      <w:r w:rsidRPr="00D613D7">
        <w:rPr>
          <w:rFonts w:ascii="Calibri" w:hAnsi="Calibri"/>
          <w:sz w:val="22"/>
          <w:szCs w:val="22"/>
        </w:rPr>
        <w:t xml:space="preserve"> 2014</w:t>
      </w:r>
      <w:r>
        <w:t>–</w:t>
      </w:r>
      <w:r w:rsidRPr="00D613D7">
        <w:rPr>
          <w:rFonts w:ascii="Calibri" w:hAnsi="Calibri"/>
          <w:sz w:val="22"/>
          <w:szCs w:val="22"/>
        </w:rPr>
        <w:t>15 school year, “low income students” referred to students enrolled in or eligible for free or reduced price lunch</w:t>
      </w:r>
      <w:r w:rsidR="004731A1">
        <w:rPr>
          <w:rFonts w:ascii="Calibri" w:hAnsi="Calibri"/>
          <w:sz w:val="22"/>
          <w:szCs w:val="22"/>
        </w:rPr>
        <w:t>.</w:t>
      </w:r>
    </w:p>
    <w:p w:rsidR="004A4FF9" w:rsidRPr="00D613D7" w:rsidRDefault="004A4FF9" w:rsidP="00B021E3">
      <w:pPr>
        <w:pStyle w:val="ListParagraph"/>
        <w:numPr>
          <w:ilvl w:val="0"/>
          <w:numId w:val="12"/>
        </w:numPr>
        <w:tabs>
          <w:tab w:val="left" w:pos="3780"/>
        </w:tabs>
        <w:rPr>
          <w:rFonts w:ascii="Calibri" w:hAnsi="Calibri"/>
          <w:sz w:val="22"/>
          <w:szCs w:val="22"/>
        </w:rPr>
      </w:pPr>
      <w:r w:rsidRPr="006B541B">
        <w:rPr>
          <w:rFonts w:ascii="Calibri" w:hAnsi="Calibri"/>
          <w:sz w:val="22"/>
          <w:szCs w:val="22"/>
        </w:rPr>
        <w:t>In</w:t>
      </w:r>
      <w:r>
        <w:rPr>
          <w:rFonts w:ascii="Calibri" w:hAnsi="Calibri"/>
          <w:sz w:val="22"/>
          <w:szCs w:val="22"/>
        </w:rPr>
        <w:t xml:space="preserve"> </w:t>
      </w:r>
      <w:r w:rsidR="004731A1">
        <w:rPr>
          <w:rFonts w:ascii="Calibri" w:hAnsi="Calibri"/>
          <w:sz w:val="22"/>
          <w:szCs w:val="22"/>
        </w:rPr>
        <w:t xml:space="preserve">the </w:t>
      </w:r>
      <w:r w:rsidRPr="00B021E3">
        <w:rPr>
          <w:rFonts w:asciiTheme="minorHAnsi" w:eastAsiaTheme="minorHAnsi" w:hAnsiTheme="minorHAnsi" w:cstheme="minorBidi"/>
          <w:sz w:val="22"/>
          <w:szCs w:val="22"/>
        </w:rPr>
        <w:t>2014</w:t>
      </w:r>
      <w:r w:rsidRPr="00D613D7">
        <w:rPr>
          <w:rFonts w:ascii="Calibri" w:hAnsi="Calibri"/>
          <w:sz w:val="22"/>
          <w:szCs w:val="22"/>
        </w:rPr>
        <w:t>–</w:t>
      </w:r>
      <w:r>
        <w:rPr>
          <w:rFonts w:ascii="Calibri" w:hAnsi="Calibri"/>
          <w:sz w:val="22"/>
          <w:szCs w:val="22"/>
        </w:rPr>
        <w:t xml:space="preserve">15 school year and beyond: “economically disadvantaged students” are students who are </w:t>
      </w:r>
      <w:r w:rsidRPr="006B541B">
        <w:rPr>
          <w:rFonts w:ascii="Calibri" w:hAnsi="Calibri"/>
          <w:sz w:val="22"/>
          <w:szCs w:val="22"/>
        </w:rPr>
        <w:t>participating in one or more of the following s</w:t>
      </w:r>
      <w:r w:rsidR="000A5FE5">
        <w:rPr>
          <w:rFonts w:ascii="Calibri" w:hAnsi="Calibri"/>
          <w:sz w:val="22"/>
          <w:szCs w:val="22"/>
        </w:rPr>
        <w:t>tate</w:t>
      </w:r>
      <w:r w:rsidR="00441AF8">
        <w:rPr>
          <w:rFonts w:ascii="Helvetica" w:eastAsia="Helvetica" w:hAnsi="Helvetica" w:cs="Helvetica"/>
          <w:sz w:val="22"/>
          <w:szCs w:val="22"/>
        </w:rPr>
        <w:t>-</w:t>
      </w:r>
      <w:r w:rsidR="000A5FE5">
        <w:rPr>
          <w:rFonts w:ascii="Calibri" w:hAnsi="Calibri"/>
          <w:sz w:val="22"/>
          <w:szCs w:val="22"/>
        </w:rPr>
        <w:t xml:space="preserve">administered programs: the </w:t>
      </w:r>
      <w:r w:rsidRPr="006B541B">
        <w:rPr>
          <w:rFonts w:ascii="Calibri" w:hAnsi="Calibri"/>
          <w:sz w:val="22"/>
          <w:szCs w:val="22"/>
        </w:rPr>
        <w:t xml:space="preserve">Supplemental Nutrition Assistance Program (SNAP); the Transitional Assistance for Families with Dependent Children (TAFDC); the Department of Children and Families’ (DCF) foster care program; and eligible MassHealth </w:t>
      </w:r>
      <w:r>
        <w:rPr>
          <w:rFonts w:ascii="Calibri" w:hAnsi="Calibri"/>
          <w:sz w:val="22"/>
          <w:szCs w:val="22"/>
        </w:rPr>
        <w:t xml:space="preserve">programs </w:t>
      </w:r>
      <w:r w:rsidRPr="006B541B">
        <w:rPr>
          <w:rFonts w:ascii="Calibri" w:hAnsi="Calibri"/>
          <w:sz w:val="22"/>
          <w:szCs w:val="22"/>
        </w:rPr>
        <w:t xml:space="preserve">(Medicaid). </w:t>
      </w:r>
    </w:p>
    <w:p w:rsidR="004A4FF9" w:rsidRPr="00D613D7" w:rsidRDefault="004A4FF9" w:rsidP="007828E8">
      <w:pPr>
        <w:pStyle w:val="ListParagraph"/>
        <w:tabs>
          <w:tab w:val="left" w:pos="1080"/>
        </w:tabs>
        <w:ind w:left="1080"/>
        <w:rPr>
          <w:rFonts w:ascii="Calibri" w:hAnsi="Calibri"/>
          <w:sz w:val="22"/>
          <w:szCs w:val="22"/>
        </w:rPr>
      </w:pPr>
    </w:p>
    <w:p w:rsidR="004A4FF9" w:rsidRPr="009C1EE6" w:rsidRDefault="004A4FF9" w:rsidP="007828E8">
      <w:pPr>
        <w:tabs>
          <w:tab w:val="left" w:pos="720"/>
        </w:tabs>
        <w:rPr>
          <w:rFonts w:ascii="Calibri" w:hAnsi="Calibri"/>
          <w:sz w:val="22"/>
          <w:szCs w:val="22"/>
        </w:rPr>
      </w:pPr>
      <w:r w:rsidRPr="009C1EE6">
        <w:rPr>
          <w:rFonts w:ascii="Calibri" w:hAnsi="Calibri"/>
          <w:b/>
          <w:sz w:val="22"/>
          <w:szCs w:val="22"/>
        </w:rPr>
        <w:t xml:space="preserve">Educator: </w:t>
      </w:r>
      <w:r w:rsidRPr="009C1EE6">
        <w:rPr>
          <w:rFonts w:ascii="Calibri" w:hAnsi="Calibri"/>
          <w:sz w:val="22"/>
          <w:szCs w:val="22"/>
        </w:rPr>
        <w:t xml:space="preserve"> Any person employed by a school or school district in a position requiring a license (</w:t>
      </w:r>
      <w:hyperlink r:id="rId45" w:history="1">
        <w:r w:rsidRPr="009C1EE6">
          <w:rPr>
            <w:rStyle w:val="Hyperlink"/>
            <w:rFonts w:ascii="Calibri" w:hAnsi="Calibri"/>
            <w:sz w:val="22"/>
            <w:szCs w:val="22"/>
          </w:rPr>
          <w:t>603 CMR 7.02</w:t>
        </w:r>
      </w:hyperlink>
      <w:r w:rsidRPr="009C1EE6">
        <w:rPr>
          <w:rFonts w:ascii="Calibri" w:hAnsi="Calibri"/>
          <w:sz w:val="22"/>
          <w:szCs w:val="22"/>
        </w:rPr>
        <w:t>), including teachers and administrators (</w:t>
      </w:r>
      <w:hyperlink r:id="rId46" w:history="1">
        <w:r w:rsidRPr="009C1EE6">
          <w:rPr>
            <w:rStyle w:val="Hyperlink"/>
            <w:rFonts w:ascii="Calibri" w:hAnsi="Calibri"/>
            <w:sz w:val="22"/>
            <w:szCs w:val="22"/>
          </w:rPr>
          <w:t>603 CMR 35.02</w:t>
        </w:r>
      </w:hyperlink>
      <w:r w:rsidRPr="009C1EE6">
        <w:rPr>
          <w:rFonts w:ascii="Calibri" w:hAnsi="Calibri"/>
          <w:sz w:val="22"/>
          <w:szCs w:val="22"/>
        </w:rPr>
        <w:t>).</w:t>
      </w:r>
    </w:p>
    <w:p w:rsidR="004A4FF9" w:rsidRPr="009C1EE6" w:rsidRDefault="004A4FF9" w:rsidP="007828E8">
      <w:pPr>
        <w:tabs>
          <w:tab w:val="left" w:pos="720"/>
        </w:tabs>
        <w:ind w:left="1440" w:hanging="720"/>
        <w:rPr>
          <w:rFonts w:ascii="Calibri" w:hAnsi="Calibri"/>
          <w:sz w:val="22"/>
          <w:szCs w:val="22"/>
        </w:rPr>
      </w:pPr>
    </w:p>
    <w:p w:rsidR="004A4FF9" w:rsidRPr="00501897" w:rsidRDefault="004A4FF9" w:rsidP="007828E8">
      <w:pPr>
        <w:tabs>
          <w:tab w:val="left" w:pos="720"/>
        </w:tabs>
        <w:rPr>
          <w:rFonts w:ascii="Calibri" w:hAnsi="Calibri"/>
          <w:sz w:val="22"/>
          <w:szCs w:val="22"/>
        </w:rPr>
      </w:pPr>
      <w:r>
        <w:rPr>
          <w:rFonts w:ascii="Calibri" w:hAnsi="Calibri"/>
          <w:b/>
          <w:sz w:val="22"/>
          <w:szCs w:val="22"/>
        </w:rPr>
        <w:t xml:space="preserve">Educator Preparation: </w:t>
      </w:r>
      <w:r>
        <w:rPr>
          <w:rFonts w:ascii="Calibri" w:hAnsi="Calibri"/>
          <w:sz w:val="22"/>
          <w:szCs w:val="22"/>
        </w:rPr>
        <w:t xml:space="preserve">All steps involved in the </w:t>
      </w:r>
      <w:r w:rsidRPr="00243CF0">
        <w:rPr>
          <w:rFonts w:ascii="Calibri" w:hAnsi="Calibri"/>
          <w:sz w:val="22"/>
          <w:szCs w:val="22"/>
        </w:rPr>
        <w:t>ways in which prospective teachers and administrators can be prepared for a career in education</w:t>
      </w:r>
      <w:r>
        <w:rPr>
          <w:rFonts w:ascii="Calibri" w:hAnsi="Calibri"/>
          <w:sz w:val="22"/>
          <w:szCs w:val="22"/>
        </w:rPr>
        <w:t>. This includes Institutes of Higher Education and other educator preparation programs (EPP</w:t>
      </w:r>
      <w:r w:rsidR="004731A1">
        <w:rPr>
          <w:rFonts w:ascii="Calibri" w:hAnsi="Calibri"/>
          <w:sz w:val="22"/>
          <w:szCs w:val="22"/>
        </w:rPr>
        <w:t>s</w:t>
      </w:r>
      <w:r>
        <w:rPr>
          <w:rFonts w:ascii="Calibri" w:hAnsi="Calibri"/>
          <w:sz w:val="22"/>
          <w:szCs w:val="22"/>
        </w:rPr>
        <w:t xml:space="preserve">); multiple pathways to the profession; and licensure. </w:t>
      </w:r>
    </w:p>
    <w:p w:rsidR="004A4FF9" w:rsidRDefault="004A4FF9" w:rsidP="007828E8">
      <w:pPr>
        <w:tabs>
          <w:tab w:val="left" w:pos="720"/>
        </w:tabs>
        <w:ind w:left="1440" w:hanging="720"/>
        <w:rPr>
          <w:rFonts w:ascii="Calibri" w:hAnsi="Calibri"/>
          <w:b/>
          <w:sz w:val="22"/>
          <w:szCs w:val="22"/>
        </w:rPr>
      </w:pPr>
    </w:p>
    <w:p w:rsidR="004A4FF9" w:rsidRPr="009C1EE6" w:rsidRDefault="000A5FE5" w:rsidP="007828E8">
      <w:pPr>
        <w:tabs>
          <w:tab w:val="left" w:pos="720"/>
        </w:tabs>
        <w:rPr>
          <w:rFonts w:ascii="Calibri" w:hAnsi="Calibri"/>
          <w:sz w:val="22"/>
          <w:szCs w:val="22"/>
        </w:rPr>
      </w:pPr>
      <w:r>
        <w:rPr>
          <w:rFonts w:ascii="Calibri" w:hAnsi="Calibri"/>
          <w:b/>
          <w:sz w:val="22"/>
          <w:szCs w:val="22"/>
        </w:rPr>
        <w:t>English l</w:t>
      </w:r>
      <w:r w:rsidR="004A4FF9" w:rsidRPr="009C1EE6">
        <w:rPr>
          <w:rFonts w:ascii="Calibri" w:hAnsi="Calibri"/>
          <w:b/>
          <w:sz w:val="22"/>
          <w:szCs w:val="22"/>
        </w:rPr>
        <w:t>earner</w:t>
      </w:r>
      <w:r w:rsidR="004A4FF9">
        <w:rPr>
          <w:rFonts w:ascii="Calibri" w:hAnsi="Calibri"/>
          <w:b/>
          <w:sz w:val="22"/>
          <w:szCs w:val="22"/>
        </w:rPr>
        <w:t>s</w:t>
      </w:r>
      <w:r w:rsidR="004A4FF9" w:rsidRPr="009C1EE6">
        <w:rPr>
          <w:rFonts w:ascii="Calibri" w:hAnsi="Calibri"/>
          <w:b/>
          <w:sz w:val="22"/>
          <w:szCs w:val="22"/>
        </w:rPr>
        <w:t xml:space="preserve"> </w:t>
      </w:r>
      <w:hyperlink r:id="rId47" w:history="1">
        <w:r w:rsidR="004A4FF9" w:rsidRPr="009C1EE6">
          <w:rPr>
            <w:rStyle w:val="Hyperlink"/>
            <w:rFonts w:ascii="Calibri" w:hAnsi="Calibri"/>
            <w:sz w:val="22"/>
            <w:szCs w:val="22"/>
          </w:rPr>
          <w:t>are children who</w:t>
        </w:r>
      </w:hyperlink>
      <w:r w:rsidR="004A4FF9" w:rsidRPr="009C1EE6">
        <w:rPr>
          <w:rFonts w:ascii="Calibri" w:hAnsi="Calibri"/>
          <w:sz w:val="22"/>
          <w:szCs w:val="22"/>
        </w:rPr>
        <w:t>:</w:t>
      </w:r>
    </w:p>
    <w:p w:rsidR="004A4FF9" w:rsidRPr="009C1EE6" w:rsidRDefault="004A4FF9" w:rsidP="007828E8">
      <w:pPr>
        <w:numPr>
          <w:ilvl w:val="0"/>
          <w:numId w:val="5"/>
        </w:numPr>
        <w:tabs>
          <w:tab w:val="clear" w:pos="2160"/>
          <w:tab w:val="left" w:pos="0"/>
          <w:tab w:val="num" w:pos="1800"/>
        </w:tabs>
        <w:ind w:left="1080"/>
        <w:rPr>
          <w:rFonts w:ascii="Calibri" w:hAnsi="Calibri"/>
          <w:sz w:val="22"/>
          <w:szCs w:val="22"/>
        </w:rPr>
      </w:pPr>
      <w:r w:rsidRPr="009C1EE6">
        <w:rPr>
          <w:rFonts w:ascii="Calibri" w:hAnsi="Calibri"/>
          <w:sz w:val="22"/>
          <w:szCs w:val="22"/>
        </w:rPr>
        <w:t>have indicated a language other than English on the Home Language Survey; AND</w:t>
      </w:r>
    </w:p>
    <w:p w:rsidR="004A4FF9" w:rsidRPr="009C1EE6" w:rsidRDefault="004A4FF9" w:rsidP="007828E8">
      <w:pPr>
        <w:numPr>
          <w:ilvl w:val="0"/>
          <w:numId w:val="5"/>
        </w:numPr>
        <w:tabs>
          <w:tab w:val="clear" w:pos="2160"/>
          <w:tab w:val="left" w:pos="0"/>
          <w:tab w:val="num" w:pos="1800"/>
        </w:tabs>
        <w:ind w:left="1080"/>
        <w:rPr>
          <w:rFonts w:ascii="Calibri" w:hAnsi="Calibri"/>
          <w:sz w:val="22"/>
          <w:szCs w:val="22"/>
        </w:rPr>
      </w:pPr>
      <w:r w:rsidRPr="009C1EE6">
        <w:rPr>
          <w:rFonts w:ascii="Calibri" w:hAnsi="Calibri"/>
          <w:sz w:val="22"/>
          <w:szCs w:val="22"/>
        </w:rPr>
        <w:t>are less than proficient on an English language proficiency assessment; AND</w:t>
      </w:r>
    </w:p>
    <w:p w:rsidR="004A4FF9" w:rsidRPr="009C1EE6" w:rsidRDefault="004A4FF9" w:rsidP="007828E8">
      <w:pPr>
        <w:numPr>
          <w:ilvl w:val="0"/>
          <w:numId w:val="5"/>
        </w:numPr>
        <w:tabs>
          <w:tab w:val="clear" w:pos="2160"/>
          <w:tab w:val="left" w:pos="0"/>
          <w:tab w:val="num" w:pos="1800"/>
        </w:tabs>
        <w:ind w:left="1080"/>
        <w:rPr>
          <w:rFonts w:ascii="Calibri" w:hAnsi="Calibri"/>
          <w:sz w:val="22"/>
          <w:szCs w:val="22"/>
        </w:rPr>
      </w:pPr>
      <w:proofErr w:type="gramStart"/>
      <w:r w:rsidRPr="009C1EE6">
        <w:rPr>
          <w:rFonts w:ascii="Calibri" w:hAnsi="Calibri"/>
          <w:sz w:val="22"/>
          <w:szCs w:val="22"/>
        </w:rPr>
        <w:t>are</w:t>
      </w:r>
      <w:proofErr w:type="gramEnd"/>
      <w:r w:rsidRPr="009C1EE6">
        <w:rPr>
          <w:rFonts w:ascii="Calibri" w:hAnsi="Calibri"/>
          <w:sz w:val="22"/>
          <w:szCs w:val="22"/>
        </w:rPr>
        <w:t xml:space="preserve"> unable to perform ordinary classroom work in English</w:t>
      </w:r>
      <w:r w:rsidR="004731A1">
        <w:rPr>
          <w:rFonts w:ascii="Calibri" w:hAnsi="Calibri"/>
          <w:sz w:val="22"/>
          <w:szCs w:val="22"/>
        </w:rPr>
        <w:t>.</w:t>
      </w:r>
    </w:p>
    <w:p w:rsidR="004A4FF9" w:rsidRPr="009C1EE6" w:rsidRDefault="004A4FF9" w:rsidP="007828E8">
      <w:pPr>
        <w:ind w:left="1440"/>
        <w:rPr>
          <w:rFonts w:ascii="Calibri" w:hAnsi="Calibri"/>
          <w:b/>
          <w:sz w:val="22"/>
          <w:szCs w:val="22"/>
        </w:rPr>
      </w:pPr>
    </w:p>
    <w:p w:rsidR="004A4FF9" w:rsidRPr="00066DEE" w:rsidRDefault="004A4FF9" w:rsidP="007828E8">
      <w:pPr>
        <w:rPr>
          <w:rFonts w:ascii="Calibri" w:hAnsi="Calibri"/>
          <w:sz w:val="22"/>
          <w:szCs w:val="22"/>
        </w:rPr>
      </w:pPr>
      <w:r>
        <w:rPr>
          <w:rFonts w:ascii="Calibri" w:hAnsi="Calibri"/>
          <w:b/>
          <w:sz w:val="22"/>
          <w:szCs w:val="22"/>
        </w:rPr>
        <w:t>Evaluation R</w:t>
      </w:r>
      <w:r w:rsidRPr="00066DEE">
        <w:rPr>
          <w:rFonts w:ascii="Calibri" w:hAnsi="Calibri"/>
          <w:b/>
          <w:sz w:val="22"/>
          <w:szCs w:val="22"/>
        </w:rPr>
        <w:t>atings:</w:t>
      </w:r>
      <w:r w:rsidRPr="00066DEE">
        <w:rPr>
          <w:rFonts w:ascii="Calibri" w:hAnsi="Calibri"/>
          <w:sz w:val="22"/>
          <w:szCs w:val="22"/>
        </w:rPr>
        <w:t xml:space="preserve"> The </w:t>
      </w:r>
      <w:hyperlink r:id="rId48" w:history="1">
        <w:r w:rsidRPr="00066DEE">
          <w:rPr>
            <w:rStyle w:val="Hyperlink"/>
            <w:rFonts w:ascii="Calibri" w:hAnsi="Calibri"/>
            <w:sz w:val="22"/>
            <w:szCs w:val="22"/>
          </w:rPr>
          <w:t>Massachusetts Evaluation Framework</w:t>
        </w:r>
      </w:hyperlink>
      <w:r w:rsidRPr="00066DEE">
        <w:rPr>
          <w:rFonts w:ascii="Calibri" w:hAnsi="Calibri"/>
          <w:sz w:val="22"/>
          <w:szCs w:val="22"/>
        </w:rPr>
        <w:t xml:space="preserve"> </w:t>
      </w:r>
      <w:r>
        <w:rPr>
          <w:rFonts w:ascii="Calibri" w:hAnsi="Calibri"/>
          <w:sz w:val="22"/>
          <w:szCs w:val="22"/>
        </w:rPr>
        <w:t>leads to</w:t>
      </w:r>
      <w:r w:rsidRPr="00066DEE">
        <w:rPr>
          <w:rFonts w:ascii="Calibri" w:hAnsi="Calibri"/>
          <w:sz w:val="22"/>
          <w:szCs w:val="22"/>
        </w:rPr>
        <w:t xml:space="preserve"> a Summative Performance Rating. </w:t>
      </w:r>
      <w:r>
        <w:rPr>
          <w:rFonts w:ascii="Calibri" w:hAnsi="Calibri"/>
          <w:sz w:val="22"/>
          <w:szCs w:val="22"/>
        </w:rPr>
        <w:t xml:space="preserve">The two higher ratings are </w:t>
      </w:r>
      <w:r>
        <w:rPr>
          <w:rFonts w:ascii="Calibri" w:hAnsi="Calibri"/>
          <w:b/>
          <w:sz w:val="22"/>
          <w:szCs w:val="22"/>
        </w:rPr>
        <w:t>Exemplary and</w:t>
      </w:r>
      <w:r w:rsidRPr="009B793D">
        <w:rPr>
          <w:rFonts w:ascii="Calibri" w:hAnsi="Calibri"/>
          <w:b/>
          <w:sz w:val="22"/>
          <w:szCs w:val="22"/>
        </w:rPr>
        <w:t xml:space="preserve"> Proficient</w:t>
      </w:r>
      <w:r>
        <w:rPr>
          <w:rFonts w:ascii="Calibri" w:hAnsi="Calibri"/>
          <w:sz w:val="22"/>
          <w:szCs w:val="22"/>
        </w:rPr>
        <w:t xml:space="preserve">, while the two lower ratings are </w:t>
      </w:r>
      <w:r>
        <w:rPr>
          <w:rFonts w:ascii="Calibri" w:hAnsi="Calibri"/>
          <w:b/>
          <w:sz w:val="22"/>
          <w:szCs w:val="22"/>
        </w:rPr>
        <w:t>Needs Improvement and Unsatisfactory</w:t>
      </w:r>
      <w:r>
        <w:rPr>
          <w:rFonts w:ascii="Calibri" w:hAnsi="Calibri"/>
          <w:sz w:val="22"/>
          <w:szCs w:val="22"/>
        </w:rPr>
        <w:t xml:space="preserve">. </w:t>
      </w:r>
      <w:r w:rsidRPr="009B793D">
        <w:rPr>
          <w:rFonts w:ascii="Calibri" w:hAnsi="Calibri"/>
          <w:sz w:val="22"/>
          <w:szCs w:val="22"/>
        </w:rPr>
        <w:t>The</w:t>
      </w:r>
      <w:r w:rsidRPr="00066DEE">
        <w:rPr>
          <w:rFonts w:ascii="Calibri" w:hAnsi="Calibri"/>
          <w:sz w:val="22"/>
          <w:szCs w:val="22"/>
        </w:rPr>
        <w:t xml:space="preserve"> roll</w:t>
      </w:r>
      <w:r w:rsidR="00441AF8">
        <w:rPr>
          <w:rFonts w:ascii="Helvetica" w:eastAsia="Helvetica" w:hAnsi="Helvetica" w:cs="Helvetica"/>
          <w:sz w:val="22"/>
          <w:szCs w:val="22"/>
        </w:rPr>
        <w:t>-</w:t>
      </w:r>
      <w:r w:rsidRPr="00066DEE">
        <w:rPr>
          <w:rFonts w:ascii="Calibri" w:hAnsi="Calibri"/>
          <w:sz w:val="22"/>
          <w:szCs w:val="22"/>
        </w:rPr>
        <w:t>out for implementation of the Evaluation Framework is now complete</w:t>
      </w:r>
      <w:r>
        <w:rPr>
          <w:rFonts w:ascii="Calibri" w:hAnsi="Calibri"/>
          <w:sz w:val="22"/>
          <w:szCs w:val="22"/>
        </w:rPr>
        <w:t>. A</w:t>
      </w:r>
      <w:r w:rsidRPr="00066DEE">
        <w:rPr>
          <w:rFonts w:ascii="Calibri" w:hAnsi="Calibri"/>
          <w:sz w:val="22"/>
          <w:szCs w:val="22"/>
        </w:rPr>
        <w:t xml:space="preserve">ll districts are </w:t>
      </w:r>
      <w:r>
        <w:rPr>
          <w:rFonts w:ascii="Calibri" w:hAnsi="Calibri"/>
          <w:sz w:val="22"/>
          <w:szCs w:val="22"/>
        </w:rPr>
        <w:t xml:space="preserve">expected to be </w:t>
      </w:r>
      <w:r w:rsidRPr="00066DEE">
        <w:rPr>
          <w:rFonts w:ascii="Calibri" w:hAnsi="Calibri"/>
          <w:sz w:val="22"/>
          <w:szCs w:val="22"/>
        </w:rPr>
        <w:t>evaluating all educators,</w:t>
      </w:r>
      <w:r>
        <w:rPr>
          <w:rFonts w:ascii="Calibri" w:hAnsi="Calibri"/>
          <w:sz w:val="22"/>
          <w:szCs w:val="22"/>
        </w:rPr>
        <w:t xml:space="preserve"> </w:t>
      </w:r>
      <w:r w:rsidRPr="00066DEE">
        <w:rPr>
          <w:rFonts w:ascii="Calibri" w:hAnsi="Calibri"/>
          <w:sz w:val="22"/>
          <w:szCs w:val="22"/>
        </w:rPr>
        <w:t>including teachers and administrators.</w:t>
      </w:r>
    </w:p>
    <w:p w:rsidR="004A4FF9" w:rsidRDefault="004A4FF9" w:rsidP="007828E8">
      <w:pPr>
        <w:tabs>
          <w:tab w:val="left" w:pos="3057"/>
        </w:tabs>
        <w:rPr>
          <w:rFonts w:ascii="Calibri" w:hAnsi="Calibri"/>
          <w:b/>
          <w:sz w:val="22"/>
          <w:szCs w:val="22"/>
        </w:rPr>
      </w:pPr>
    </w:p>
    <w:p w:rsidR="004A4FF9" w:rsidRPr="00AF3B37" w:rsidRDefault="004A4FF9" w:rsidP="008E3C7F">
      <w:pPr>
        <w:tabs>
          <w:tab w:val="left" w:pos="3057"/>
        </w:tabs>
        <w:rPr>
          <w:rFonts w:ascii="Calibri" w:hAnsi="Calibri"/>
          <w:sz w:val="22"/>
          <w:szCs w:val="22"/>
        </w:rPr>
      </w:pPr>
      <w:r>
        <w:rPr>
          <w:rFonts w:ascii="Calibri" w:hAnsi="Calibri"/>
          <w:b/>
          <w:sz w:val="22"/>
          <w:szCs w:val="22"/>
        </w:rPr>
        <w:t>Out</w:t>
      </w:r>
      <w:r w:rsidR="00441AF8">
        <w:rPr>
          <w:rFonts w:ascii="Helvetica" w:eastAsia="Helvetica" w:hAnsi="Helvetica" w:cs="Helvetica"/>
          <w:b/>
          <w:sz w:val="22"/>
          <w:szCs w:val="22"/>
        </w:rPr>
        <w:t>-</w:t>
      </w:r>
      <w:r>
        <w:rPr>
          <w:rFonts w:ascii="Calibri" w:hAnsi="Calibri"/>
          <w:b/>
          <w:sz w:val="22"/>
          <w:szCs w:val="22"/>
        </w:rPr>
        <w:t>of</w:t>
      </w:r>
      <w:r w:rsidR="00441AF8">
        <w:rPr>
          <w:rFonts w:ascii="Helvetica" w:eastAsia="Helvetica" w:hAnsi="Helvetica" w:cs="Helvetica"/>
          <w:b/>
          <w:sz w:val="22"/>
          <w:szCs w:val="22"/>
        </w:rPr>
        <w:t>-</w:t>
      </w:r>
      <w:r w:rsidRPr="009C1EE6">
        <w:rPr>
          <w:rFonts w:ascii="Calibri" w:hAnsi="Calibri"/>
          <w:b/>
          <w:sz w:val="22"/>
          <w:szCs w:val="22"/>
        </w:rPr>
        <w:t>Field</w:t>
      </w:r>
      <w:r w:rsidR="008E3C7F">
        <w:rPr>
          <w:rFonts w:ascii="Calibri" w:hAnsi="Calibri"/>
          <w:b/>
          <w:sz w:val="22"/>
          <w:szCs w:val="22"/>
        </w:rPr>
        <w:t xml:space="preserve"> Teacher</w:t>
      </w:r>
      <w:r w:rsidRPr="009C1EE6">
        <w:rPr>
          <w:rFonts w:ascii="Calibri" w:hAnsi="Calibri"/>
          <w:b/>
          <w:sz w:val="22"/>
          <w:szCs w:val="22"/>
        </w:rPr>
        <w:t xml:space="preserve">: </w:t>
      </w:r>
      <w:r w:rsidR="005246B5">
        <w:rPr>
          <w:rFonts w:ascii="Calibri" w:hAnsi="Calibri"/>
          <w:sz w:val="22"/>
          <w:szCs w:val="22"/>
        </w:rPr>
        <w:t>A</w:t>
      </w:r>
      <w:r>
        <w:rPr>
          <w:rFonts w:ascii="Calibri" w:hAnsi="Calibri"/>
          <w:sz w:val="22"/>
          <w:szCs w:val="22"/>
        </w:rPr>
        <w:t xml:space="preserve"> teacher without the appropriate license/s for a particular course</w:t>
      </w:r>
      <w:r w:rsidR="005246B5">
        <w:rPr>
          <w:rFonts w:ascii="Calibri" w:hAnsi="Calibri"/>
          <w:sz w:val="22"/>
          <w:szCs w:val="22"/>
        </w:rPr>
        <w:t>. Licensed teachers may work for up to 20 percent of their time in a course for which they do not hold a license, and still comply with regulations (</w:t>
      </w:r>
      <w:hyperlink r:id="rId49" w:history="1">
        <w:r w:rsidR="005246B5">
          <w:rPr>
            <w:rStyle w:val="Hyperlink"/>
            <w:rFonts w:ascii="Calibri" w:hAnsi="Calibri"/>
            <w:sz w:val="22"/>
            <w:szCs w:val="22"/>
          </w:rPr>
          <w:t>603 CMR 7.15(9)(a)</w:t>
        </w:r>
      </w:hyperlink>
      <w:r w:rsidR="005246B5">
        <w:rPr>
          <w:rFonts w:ascii="Calibri" w:hAnsi="Calibri"/>
          <w:sz w:val="22"/>
          <w:szCs w:val="22"/>
        </w:rPr>
        <w:t>). Students assigned to those courses for which the teacher does not hold a license are experienc</w:t>
      </w:r>
      <w:r w:rsidR="00F83D5E">
        <w:rPr>
          <w:rFonts w:ascii="Calibri" w:hAnsi="Calibri"/>
          <w:sz w:val="22"/>
          <w:szCs w:val="22"/>
        </w:rPr>
        <w:t>ing</w:t>
      </w:r>
      <w:r w:rsidR="005246B5">
        <w:rPr>
          <w:rFonts w:ascii="Calibri" w:hAnsi="Calibri"/>
          <w:sz w:val="22"/>
          <w:szCs w:val="22"/>
        </w:rPr>
        <w:t xml:space="preserve"> an out-of-field teacher in that course.</w:t>
      </w:r>
    </w:p>
    <w:p w:rsidR="000A5FE5" w:rsidRPr="000A5FE5" w:rsidRDefault="000A5FE5" w:rsidP="008E3C7F">
      <w:pPr>
        <w:pStyle w:val="ListParagraph"/>
        <w:tabs>
          <w:tab w:val="left" w:pos="1080"/>
        </w:tabs>
        <w:ind w:left="1080"/>
        <w:rPr>
          <w:rFonts w:ascii="Calibri" w:hAnsi="Calibri"/>
          <w:sz w:val="22"/>
          <w:szCs w:val="22"/>
        </w:rPr>
      </w:pPr>
    </w:p>
    <w:p w:rsidR="004A4FF9" w:rsidRPr="00436DFA" w:rsidRDefault="00ED23C8" w:rsidP="007828E8">
      <w:pPr>
        <w:rPr>
          <w:rFonts w:ascii="Calibri" w:hAnsi="Calibri"/>
          <w:sz w:val="22"/>
          <w:szCs w:val="22"/>
        </w:rPr>
      </w:pPr>
      <w:hyperlink r:id="rId50" w:history="1">
        <w:r w:rsidR="008E3C7F">
          <w:rPr>
            <w:rStyle w:val="Hyperlink"/>
            <w:rFonts w:ascii="Calibri" w:hAnsi="Calibri"/>
            <w:b/>
            <w:sz w:val="22"/>
            <w:szCs w:val="22"/>
          </w:rPr>
          <w:t>Student Growth Percentile</w:t>
        </w:r>
      </w:hyperlink>
      <w:r w:rsidR="008E3C7F">
        <w:rPr>
          <w:rFonts w:ascii="Calibri" w:hAnsi="Calibri"/>
          <w:b/>
          <w:sz w:val="22"/>
          <w:szCs w:val="22"/>
        </w:rPr>
        <w:t xml:space="preserve"> </w:t>
      </w:r>
      <w:r w:rsidR="004A4FF9">
        <w:rPr>
          <w:rFonts w:ascii="Calibri" w:hAnsi="Calibri"/>
          <w:b/>
          <w:sz w:val="22"/>
          <w:szCs w:val="22"/>
        </w:rPr>
        <w:t xml:space="preserve">(SGP): </w:t>
      </w:r>
      <w:r w:rsidR="000A5FE5">
        <w:rPr>
          <w:rFonts w:ascii="Calibri" w:hAnsi="Calibri"/>
          <w:sz w:val="22"/>
          <w:szCs w:val="22"/>
        </w:rPr>
        <w:t>Each student with a</w:t>
      </w:r>
      <w:r w:rsidR="004A4FF9">
        <w:rPr>
          <w:rFonts w:ascii="Calibri" w:hAnsi="Calibri"/>
          <w:sz w:val="22"/>
          <w:szCs w:val="22"/>
        </w:rPr>
        <w:t>t least two consecutive years of MCAS scores receives an SGP, which measures how much the student changed relative to other students statewide with similar scores in previous years. SGPs range from 1 to 99, where higher numbers represent higher growth and lower numbers represent lower gro</w:t>
      </w:r>
      <w:r w:rsidR="000A5FE5">
        <w:rPr>
          <w:rFonts w:ascii="Calibri" w:hAnsi="Calibri"/>
          <w:sz w:val="22"/>
          <w:szCs w:val="22"/>
        </w:rPr>
        <w:t xml:space="preserve">wth. SGPs are calculated in English language arts </w:t>
      </w:r>
      <w:r w:rsidR="004A4FF9">
        <w:rPr>
          <w:rFonts w:ascii="Calibri" w:hAnsi="Calibri"/>
          <w:sz w:val="22"/>
          <w:szCs w:val="22"/>
        </w:rPr>
        <w:t>and math for students in grades four through eight, and for grade 10.</w:t>
      </w:r>
    </w:p>
    <w:p w:rsidR="004A4FF9" w:rsidRDefault="004A4FF9" w:rsidP="007828E8">
      <w:pPr>
        <w:rPr>
          <w:rFonts w:ascii="Calibri" w:hAnsi="Calibri"/>
          <w:b/>
          <w:sz w:val="22"/>
          <w:szCs w:val="22"/>
        </w:rPr>
      </w:pPr>
    </w:p>
    <w:p w:rsidR="004A4FF9" w:rsidRDefault="004A4FF9" w:rsidP="007828E8">
      <w:pPr>
        <w:rPr>
          <w:rFonts w:asciiTheme="minorHAnsi" w:hAnsiTheme="minorHAnsi"/>
          <w:sz w:val="22"/>
          <w:szCs w:val="22"/>
        </w:rPr>
      </w:pPr>
      <w:r>
        <w:rPr>
          <w:rFonts w:ascii="Calibri" w:hAnsi="Calibri"/>
          <w:b/>
          <w:sz w:val="22"/>
          <w:szCs w:val="22"/>
        </w:rPr>
        <w:t>Students of Color</w:t>
      </w:r>
      <w:r w:rsidRPr="009C1EE6">
        <w:rPr>
          <w:rFonts w:ascii="Calibri" w:hAnsi="Calibri"/>
          <w:b/>
          <w:sz w:val="22"/>
          <w:szCs w:val="22"/>
        </w:rPr>
        <w:t>:</w:t>
      </w:r>
      <w:r w:rsidRPr="009C1EE6">
        <w:rPr>
          <w:rFonts w:ascii="Calibri" w:hAnsi="Calibri"/>
          <w:sz w:val="22"/>
          <w:szCs w:val="22"/>
        </w:rPr>
        <w:t xml:space="preserve"> </w:t>
      </w:r>
      <w:r>
        <w:rPr>
          <w:rFonts w:ascii="Calibri" w:hAnsi="Calibri"/>
          <w:sz w:val="22"/>
          <w:szCs w:val="22"/>
        </w:rPr>
        <w:t>Students</w:t>
      </w:r>
      <w:r w:rsidRPr="009C1EE6">
        <w:rPr>
          <w:rFonts w:ascii="Calibri" w:hAnsi="Calibri"/>
          <w:sz w:val="22"/>
          <w:szCs w:val="22"/>
        </w:rPr>
        <w:t xml:space="preserve"> who are </w:t>
      </w:r>
      <w:r w:rsidR="00606294">
        <w:rPr>
          <w:rFonts w:ascii="Calibri" w:hAnsi="Calibri"/>
          <w:sz w:val="22"/>
          <w:szCs w:val="22"/>
        </w:rPr>
        <w:t xml:space="preserve">African American or </w:t>
      </w:r>
      <w:r w:rsidR="000A5FE5">
        <w:rPr>
          <w:rFonts w:ascii="Calibri" w:hAnsi="Calibri"/>
          <w:sz w:val="22"/>
          <w:szCs w:val="22"/>
        </w:rPr>
        <w:t>b</w:t>
      </w:r>
      <w:r w:rsidR="00606294">
        <w:rPr>
          <w:rFonts w:ascii="Calibri" w:hAnsi="Calibri"/>
          <w:sz w:val="22"/>
          <w:szCs w:val="22"/>
        </w:rPr>
        <w:t>lack;</w:t>
      </w:r>
      <w:r w:rsidR="000A5FE5" w:rsidRPr="009C1EE6">
        <w:rPr>
          <w:rFonts w:ascii="Calibri" w:hAnsi="Calibri"/>
          <w:sz w:val="22"/>
          <w:szCs w:val="22"/>
        </w:rPr>
        <w:t xml:space="preserve"> </w:t>
      </w:r>
      <w:r w:rsidR="00606294">
        <w:rPr>
          <w:rFonts w:ascii="Calibri" w:hAnsi="Calibri"/>
          <w:sz w:val="22"/>
          <w:szCs w:val="22"/>
        </w:rPr>
        <w:t xml:space="preserve">American Indian or </w:t>
      </w:r>
      <w:r w:rsidRPr="009C1EE6">
        <w:rPr>
          <w:rFonts w:ascii="Calibri" w:hAnsi="Calibri"/>
          <w:sz w:val="22"/>
          <w:szCs w:val="22"/>
        </w:rPr>
        <w:t>Alaska</w:t>
      </w:r>
      <w:r w:rsidR="00606294">
        <w:rPr>
          <w:rFonts w:ascii="Calibri" w:hAnsi="Calibri"/>
          <w:sz w:val="22"/>
          <w:szCs w:val="22"/>
        </w:rPr>
        <w:t xml:space="preserve"> Native; Asian, Native Hawaiian or Pacific Islander;</w:t>
      </w:r>
      <w:r w:rsidRPr="009C1EE6">
        <w:rPr>
          <w:rFonts w:ascii="Calibri" w:hAnsi="Calibri"/>
          <w:sz w:val="22"/>
          <w:szCs w:val="22"/>
        </w:rPr>
        <w:t xml:space="preserve"> Hispanic</w:t>
      </w:r>
      <w:r w:rsidR="00606294">
        <w:rPr>
          <w:rFonts w:ascii="Calibri" w:hAnsi="Calibri"/>
          <w:sz w:val="22"/>
          <w:szCs w:val="22"/>
        </w:rPr>
        <w:t xml:space="preserve"> or </w:t>
      </w:r>
      <w:r w:rsidR="000A5FE5">
        <w:rPr>
          <w:rFonts w:ascii="Calibri" w:hAnsi="Calibri"/>
          <w:sz w:val="22"/>
          <w:szCs w:val="22"/>
        </w:rPr>
        <w:t>Latino</w:t>
      </w:r>
      <w:r w:rsidR="00606294">
        <w:rPr>
          <w:rFonts w:ascii="Calibri" w:hAnsi="Calibri"/>
          <w:sz w:val="22"/>
          <w:szCs w:val="22"/>
        </w:rPr>
        <w:t>;</w:t>
      </w:r>
      <w:r w:rsidRPr="009C1EE6">
        <w:rPr>
          <w:rFonts w:ascii="Calibri" w:hAnsi="Calibri"/>
          <w:sz w:val="22"/>
          <w:szCs w:val="22"/>
        </w:rPr>
        <w:t xml:space="preserve"> or two or more races. The term “students of color” is used interchangeably with the term “minority</w:t>
      </w:r>
      <w:r>
        <w:rPr>
          <w:rFonts w:ascii="Calibri" w:hAnsi="Calibri"/>
          <w:sz w:val="22"/>
          <w:szCs w:val="22"/>
        </w:rPr>
        <w:t>.”</w:t>
      </w:r>
    </w:p>
    <w:p w:rsidR="00AD409F" w:rsidRPr="005D7F44" w:rsidRDefault="00AD409F" w:rsidP="00AD409F">
      <w:pPr>
        <w:rPr>
          <w:rFonts w:ascii="Calibri" w:hAnsi="Calibri"/>
          <w:b/>
          <w:sz w:val="22"/>
          <w:szCs w:val="22"/>
        </w:rPr>
      </w:pPr>
    </w:p>
    <w:p w:rsidR="00AD409F" w:rsidRDefault="00AD409F" w:rsidP="005A225D">
      <w:pPr>
        <w:rPr>
          <w:rFonts w:asciiTheme="minorHAnsi" w:hAnsiTheme="minorHAnsi"/>
          <w:sz w:val="22"/>
          <w:szCs w:val="22"/>
        </w:rPr>
      </w:pPr>
    </w:p>
    <w:p w:rsidR="004A4FF9" w:rsidRDefault="004A4FF9" w:rsidP="00ED35C5">
      <w:pPr>
        <w:pStyle w:val="Heading1"/>
        <w:rPr>
          <w:rFonts w:ascii="Calibri" w:hAnsi="Calibri"/>
          <w:sz w:val="36"/>
          <w:szCs w:val="36"/>
        </w:rPr>
        <w:sectPr w:rsidR="004A4FF9" w:rsidSect="00A22931">
          <w:footerReference w:type="default" r:id="rId51"/>
          <w:footnotePr>
            <w:numFmt w:val="lowerRoman"/>
          </w:footnotePr>
          <w:endnotePr>
            <w:numFmt w:val="decimal"/>
          </w:endnotePr>
          <w:type w:val="continuous"/>
          <w:pgSz w:w="12240" w:h="15840" w:code="1"/>
          <w:pgMar w:top="1440" w:right="1440" w:bottom="1440" w:left="1440" w:header="720" w:footer="720" w:gutter="0"/>
          <w:cols w:space="180"/>
          <w:docGrid w:linePitch="360"/>
        </w:sectPr>
      </w:pPr>
      <w:bookmarkStart w:id="38" w:name="_Toc481485221"/>
    </w:p>
    <w:p w:rsidR="004A4FF9" w:rsidRDefault="004A4FF9" w:rsidP="00ED35C5">
      <w:pPr>
        <w:pStyle w:val="Heading1"/>
        <w:rPr>
          <w:rFonts w:ascii="Calibri" w:hAnsi="Calibri"/>
          <w:sz w:val="36"/>
          <w:szCs w:val="36"/>
        </w:rPr>
      </w:pPr>
      <w:bookmarkStart w:id="39" w:name="_Appendix_B:_2016–17"/>
      <w:bookmarkStart w:id="40" w:name="_Toc509831832"/>
      <w:bookmarkEnd w:id="39"/>
      <w:r>
        <w:rPr>
          <w:rFonts w:ascii="Calibri" w:hAnsi="Calibri"/>
          <w:sz w:val="36"/>
          <w:szCs w:val="36"/>
        </w:rPr>
        <w:lastRenderedPageBreak/>
        <w:t>Appendix B</w:t>
      </w:r>
      <w:r w:rsidRPr="00735CC8">
        <w:rPr>
          <w:rFonts w:ascii="Calibri" w:hAnsi="Calibri"/>
          <w:sz w:val="36"/>
          <w:szCs w:val="36"/>
        </w:rPr>
        <w:t xml:space="preserve">: </w:t>
      </w:r>
      <w:r>
        <w:rPr>
          <w:rFonts w:ascii="Calibri" w:hAnsi="Calibri"/>
          <w:sz w:val="36"/>
          <w:szCs w:val="36"/>
        </w:rPr>
        <w:t>2016</w:t>
      </w:r>
      <w:r>
        <w:t>–</w:t>
      </w:r>
      <w:r>
        <w:rPr>
          <w:rFonts w:ascii="Calibri" w:hAnsi="Calibri"/>
          <w:sz w:val="36"/>
          <w:szCs w:val="36"/>
        </w:rPr>
        <w:t xml:space="preserve">17 </w:t>
      </w:r>
      <w:r w:rsidR="00B73DD6">
        <w:rPr>
          <w:rFonts w:ascii="Calibri" w:hAnsi="Calibri"/>
          <w:sz w:val="36"/>
          <w:szCs w:val="36"/>
        </w:rPr>
        <w:t>statewide</w:t>
      </w:r>
      <w:r>
        <w:rPr>
          <w:rFonts w:ascii="Calibri" w:hAnsi="Calibri"/>
          <w:sz w:val="36"/>
          <w:szCs w:val="36"/>
        </w:rPr>
        <w:t xml:space="preserve"> educator evaluation data</w:t>
      </w:r>
      <w:bookmarkEnd w:id="38"/>
      <w:bookmarkEnd w:id="40"/>
      <w:r w:rsidR="00A04C5B">
        <w:rPr>
          <w:rFonts w:ascii="Calibri" w:hAnsi="Calibri"/>
          <w:sz w:val="36"/>
          <w:szCs w:val="36"/>
        </w:rPr>
        <w:t xml:space="preserve"> </w:t>
      </w:r>
    </w:p>
    <w:p w:rsidR="00055941" w:rsidRDefault="00055941" w:rsidP="00055941">
      <w:pPr>
        <w:pStyle w:val="CommentText"/>
        <w:rPr>
          <w:rFonts w:asciiTheme="minorHAnsi" w:hAnsiTheme="minorHAnsi"/>
          <w:spacing w:val="-2"/>
          <w:sz w:val="22"/>
          <w:szCs w:val="22"/>
        </w:rPr>
      </w:pPr>
      <w:r w:rsidRPr="005A225D">
        <w:rPr>
          <w:rFonts w:asciiTheme="minorHAnsi" w:hAnsiTheme="minorHAnsi"/>
          <w:sz w:val="22"/>
          <w:szCs w:val="22"/>
        </w:rPr>
        <w:t xml:space="preserve">The public reporting of aggregated educator evaluation ratings is an essential mechanism for </w:t>
      </w:r>
      <w:r>
        <w:rPr>
          <w:rFonts w:asciiTheme="minorHAnsi" w:hAnsiTheme="minorHAnsi"/>
          <w:sz w:val="22"/>
          <w:szCs w:val="22"/>
        </w:rPr>
        <w:t>D</w:t>
      </w:r>
      <w:r w:rsidRPr="005A225D">
        <w:rPr>
          <w:rFonts w:asciiTheme="minorHAnsi" w:hAnsiTheme="minorHAnsi"/>
          <w:sz w:val="22"/>
          <w:szCs w:val="22"/>
        </w:rPr>
        <w:t>ESE to assess the implementation of the Educator Evaluation Framework at a statewide level. Public reporting of educator evaluation data is established by statute (</w:t>
      </w:r>
      <w:hyperlink r:id="rId52" w:history="1">
        <w:r w:rsidRPr="005A225D">
          <w:rPr>
            <w:rStyle w:val="Hyperlink"/>
            <w:rFonts w:asciiTheme="minorHAnsi" w:hAnsiTheme="minorHAnsi"/>
            <w:sz w:val="22"/>
            <w:szCs w:val="22"/>
          </w:rPr>
          <w:t xml:space="preserve">M.G.L. c.69, </w:t>
        </w:r>
        <w:r w:rsidRPr="005A225D">
          <w:rPr>
            <w:rStyle w:val="Hyperlink"/>
            <w:rFonts w:ascii="Helvetica" w:eastAsia="Helvetica" w:hAnsi="Helvetica" w:cs="Helvetica"/>
            <w:sz w:val="22"/>
            <w:szCs w:val="22"/>
          </w:rPr>
          <w:t>§</w:t>
        </w:r>
        <w:proofErr w:type="gramStart"/>
        <w:r w:rsidRPr="005A225D">
          <w:rPr>
            <w:rStyle w:val="Hyperlink"/>
            <w:rFonts w:ascii="Helvetica" w:eastAsia="Helvetica" w:hAnsi="Helvetica" w:cs="Helvetica"/>
            <w:sz w:val="22"/>
            <w:szCs w:val="22"/>
          </w:rPr>
          <w:t>1B </w:t>
        </w:r>
        <w:proofErr w:type="gramEnd"/>
      </w:hyperlink>
      <w:r w:rsidRPr="005A225D">
        <w:rPr>
          <w:rFonts w:asciiTheme="minorHAnsi" w:hAnsiTheme="minorHAnsi"/>
          <w:sz w:val="22"/>
          <w:szCs w:val="22"/>
        </w:rPr>
        <w:t xml:space="preserve">) to enable </w:t>
      </w:r>
      <w:r>
        <w:rPr>
          <w:rFonts w:asciiTheme="minorHAnsi" w:hAnsiTheme="minorHAnsi"/>
          <w:sz w:val="22"/>
          <w:szCs w:val="22"/>
        </w:rPr>
        <w:t>D</w:t>
      </w:r>
      <w:r w:rsidRPr="005A225D">
        <w:rPr>
          <w:rFonts w:asciiTheme="minorHAnsi" w:hAnsiTheme="minorHAnsi"/>
          <w:sz w:val="22"/>
          <w:szCs w:val="22"/>
        </w:rPr>
        <w:t xml:space="preserve">ESE to assess the effectiveness of educator evaluation implementation statewide. </w:t>
      </w:r>
      <w:r w:rsidR="00F83D5E">
        <w:rPr>
          <w:rFonts w:asciiTheme="minorHAnsi" w:hAnsiTheme="minorHAnsi"/>
          <w:sz w:val="22"/>
          <w:szCs w:val="22"/>
        </w:rPr>
        <w:t>DESE</w:t>
      </w:r>
      <w:r w:rsidRPr="005A225D">
        <w:rPr>
          <w:rFonts w:asciiTheme="minorHAnsi" w:hAnsiTheme="minorHAnsi"/>
          <w:sz w:val="22"/>
          <w:szCs w:val="22"/>
        </w:rPr>
        <w:t xml:space="preserve"> strives to ensure that schools and districts have robust educator evaluation systems in place that </w:t>
      </w:r>
      <w:r w:rsidRPr="005A225D">
        <w:rPr>
          <w:rFonts w:asciiTheme="minorHAnsi" w:hAnsiTheme="minorHAnsi"/>
          <w:spacing w:val="-2"/>
          <w:sz w:val="22"/>
          <w:szCs w:val="22"/>
        </w:rPr>
        <w:t xml:space="preserve">promote professional learning and growth as </w:t>
      </w:r>
      <w:r w:rsidR="004731A1">
        <w:rPr>
          <w:rFonts w:asciiTheme="minorHAnsi" w:hAnsiTheme="minorHAnsi"/>
          <w:spacing w:val="-2"/>
          <w:sz w:val="22"/>
          <w:szCs w:val="22"/>
        </w:rPr>
        <w:t xml:space="preserve">a </w:t>
      </w:r>
      <w:r w:rsidRPr="005A225D">
        <w:rPr>
          <w:rFonts w:asciiTheme="minorHAnsi" w:hAnsiTheme="minorHAnsi"/>
          <w:spacing w:val="-2"/>
          <w:sz w:val="22"/>
          <w:szCs w:val="22"/>
        </w:rPr>
        <w:t xml:space="preserve">means to close gaps in equitable access. </w:t>
      </w:r>
    </w:p>
    <w:p w:rsidR="00055941" w:rsidRDefault="00055941" w:rsidP="00055941">
      <w:pPr>
        <w:pStyle w:val="CommentText"/>
        <w:rPr>
          <w:rFonts w:asciiTheme="minorHAnsi" w:hAnsiTheme="minorHAnsi"/>
          <w:spacing w:val="-2"/>
          <w:sz w:val="22"/>
          <w:szCs w:val="22"/>
        </w:rPr>
      </w:pPr>
    </w:p>
    <w:p w:rsidR="00055941" w:rsidRPr="00055941" w:rsidRDefault="00055941" w:rsidP="00055941">
      <w:pPr>
        <w:pStyle w:val="CommentText"/>
        <w:rPr>
          <w:rFonts w:asciiTheme="minorHAnsi" w:hAnsiTheme="minorHAnsi"/>
          <w:b/>
          <w:spacing w:val="-2"/>
          <w:sz w:val="22"/>
          <w:szCs w:val="22"/>
        </w:rPr>
      </w:pPr>
      <w:r>
        <w:rPr>
          <w:rFonts w:asciiTheme="minorHAnsi" w:hAnsiTheme="minorHAnsi"/>
          <w:spacing w:val="-2"/>
          <w:sz w:val="22"/>
          <w:szCs w:val="22"/>
        </w:rPr>
        <w:t>Table 3 includes</w:t>
      </w:r>
      <w:r w:rsidRPr="005A225D">
        <w:rPr>
          <w:rFonts w:asciiTheme="minorHAnsi" w:hAnsiTheme="minorHAnsi"/>
          <w:spacing w:val="-2"/>
          <w:sz w:val="22"/>
          <w:szCs w:val="22"/>
        </w:rPr>
        <w:t xml:space="preserve"> aggregated educator evaluation data for the 201</w:t>
      </w:r>
      <w:r>
        <w:rPr>
          <w:rFonts w:asciiTheme="minorHAnsi" w:hAnsiTheme="minorHAnsi"/>
          <w:spacing w:val="-2"/>
          <w:sz w:val="22"/>
          <w:szCs w:val="22"/>
        </w:rPr>
        <w:t>6</w:t>
      </w:r>
      <w:r w:rsidRPr="005A225D">
        <w:rPr>
          <w:rFonts w:ascii="Helvetica" w:eastAsia="Helvetica" w:hAnsi="Helvetica" w:cs="Helvetica"/>
        </w:rPr>
        <w:t>–</w:t>
      </w:r>
      <w:r>
        <w:rPr>
          <w:rFonts w:asciiTheme="minorHAnsi" w:hAnsiTheme="minorHAnsi"/>
          <w:spacing w:val="-2"/>
          <w:sz w:val="22"/>
          <w:szCs w:val="22"/>
        </w:rPr>
        <w:t>17</w:t>
      </w:r>
      <w:r w:rsidRPr="005A225D">
        <w:rPr>
          <w:rFonts w:asciiTheme="minorHAnsi" w:hAnsiTheme="minorHAnsi"/>
          <w:spacing w:val="-2"/>
          <w:sz w:val="22"/>
          <w:szCs w:val="22"/>
        </w:rPr>
        <w:t xml:space="preserve"> school year. This data should not be considered as comparative across districts</w:t>
      </w:r>
      <w:r w:rsidR="00C23120">
        <w:rPr>
          <w:rFonts w:asciiTheme="minorHAnsi" w:hAnsiTheme="minorHAnsi"/>
          <w:spacing w:val="-2"/>
          <w:sz w:val="22"/>
          <w:szCs w:val="22"/>
        </w:rPr>
        <w:t>,</w:t>
      </w:r>
      <w:r w:rsidRPr="005A225D">
        <w:rPr>
          <w:rFonts w:asciiTheme="minorHAnsi" w:hAnsiTheme="minorHAnsi"/>
          <w:spacing w:val="-2"/>
          <w:sz w:val="22"/>
          <w:szCs w:val="22"/>
        </w:rPr>
        <w:t xml:space="preserve"> but rather as evidence of robust educator effectiveness systems functioning in districts. While viewing local educator evaluation data, districts should consider how to use the data to inform strategies to address local equity gaps, and to pursue other district priorities.</w:t>
      </w:r>
    </w:p>
    <w:p w:rsidR="008E7398" w:rsidRDefault="008E7398" w:rsidP="008E7398">
      <w:pPr>
        <w:rPr>
          <w:rFonts w:asciiTheme="minorHAnsi" w:hAnsiTheme="minorHAnsi"/>
          <w:b/>
          <w:sz w:val="22"/>
          <w:szCs w:val="22"/>
        </w:rPr>
      </w:pPr>
    </w:p>
    <w:p w:rsidR="004A4FF9" w:rsidRPr="008E7398" w:rsidRDefault="008E7398" w:rsidP="005A225D">
      <w:pPr>
        <w:rPr>
          <w:rFonts w:asciiTheme="minorHAnsi" w:hAnsiTheme="minorHAnsi"/>
          <w:b/>
          <w:sz w:val="22"/>
          <w:szCs w:val="22"/>
        </w:rPr>
      </w:pPr>
      <w:r w:rsidRPr="00084C83">
        <w:rPr>
          <w:rFonts w:asciiTheme="minorHAnsi" w:hAnsiTheme="minorHAnsi"/>
          <w:b/>
          <w:sz w:val="22"/>
          <w:szCs w:val="22"/>
        </w:rPr>
        <w:t xml:space="preserve">Table </w:t>
      </w:r>
      <w:r>
        <w:rPr>
          <w:rFonts w:asciiTheme="minorHAnsi" w:hAnsiTheme="minorHAnsi"/>
          <w:b/>
          <w:sz w:val="22"/>
          <w:szCs w:val="22"/>
        </w:rPr>
        <w:t>3: Rates of educator evaluation and summative ratings</w:t>
      </w:r>
    </w:p>
    <w:tbl>
      <w:tblPr>
        <w:tblStyle w:val="TableGrid"/>
        <w:tblW w:w="13068" w:type="dxa"/>
        <w:tblLook w:val="04A0" w:firstRow="1" w:lastRow="0" w:firstColumn="1" w:lastColumn="0" w:noHBand="0" w:noVBand="1"/>
        <w:tblDescription w:val="Rates of educator evaluation and summative ratings"/>
      </w:tblPr>
      <w:tblGrid>
        <w:gridCol w:w="1721"/>
        <w:gridCol w:w="1621"/>
        <w:gridCol w:w="1621"/>
        <w:gridCol w:w="1621"/>
        <w:gridCol w:w="1621"/>
        <w:gridCol w:w="1621"/>
        <w:gridCol w:w="1621"/>
        <w:gridCol w:w="1621"/>
      </w:tblGrid>
      <w:tr w:rsidR="004A4FF9" w:rsidTr="00CE049F">
        <w:trPr>
          <w:tblHeader/>
        </w:trPr>
        <w:tc>
          <w:tcPr>
            <w:tcW w:w="1721" w:type="dxa"/>
            <w:vMerge w:val="restart"/>
            <w:shd w:val="clear" w:color="auto" w:fill="B8CCE4" w:themeFill="accent1" w:themeFillTint="66"/>
            <w:vAlign w:val="center"/>
          </w:tcPr>
          <w:p w:rsidR="004A4FF9" w:rsidRPr="00B93D31" w:rsidRDefault="004A4FF9" w:rsidP="00B155CD">
            <w:pPr>
              <w:jc w:val="center"/>
              <w:rPr>
                <w:rFonts w:asciiTheme="minorHAnsi" w:hAnsiTheme="minorHAnsi"/>
                <w:sz w:val="22"/>
                <w:szCs w:val="22"/>
              </w:rPr>
            </w:pPr>
          </w:p>
        </w:tc>
        <w:tc>
          <w:tcPr>
            <w:tcW w:w="1621" w:type="dxa"/>
            <w:vMerge w:val="restart"/>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 of educators</w:t>
            </w:r>
          </w:p>
        </w:tc>
        <w:tc>
          <w:tcPr>
            <w:tcW w:w="1621" w:type="dxa"/>
            <w:vMerge w:val="restart"/>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 of educators evaluated</w:t>
            </w:r>
          </w:p>
        </w:tc>
        <w:tc>
          <w:tcPr>
            <w:tcW w:w="1621" w:type="dxa"/>
            <w:vMerge w:val="restart"/>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 of educators evaluated</w:t>
            </w:r>
          </w:p>
        </w:tc>
        <w:tc>
          <w:tcPr>
            <w:tcW w:w="6484" w:type="dxa"/>
            <w:gridSpan w:val="4"/>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Summative Rating</w:t>
            </w:r>
          </w:p>
        </w:tc>
      </w:tr>
      <w:tr w:rsidR="004A4FF9" w:rsidTr="00B93D31">
        <w:tc>
          <w:tcPr>
            <w:tcW w:w="1721" w:type="dxa"/>
            <w:vMerge/>
            <w:shd w:val="clear" w:color="auto" w:fill="B8CCE4" w:themeFill="accent1" w:themeFillTint="66"/>
            <w:vAlign w:val="center"/>
          </w:tcPr>
          <w:p w:rsidR="004A4FF9" w:rsidRPr="00B93D31" w:rsidRDefault="004A4FF9" w:rsidP="00B155CD">
            <w:pPr>
              <w:jc w:val="center"/>
              <w:rPr>
                <w:rFonts w:asciiTheme="minorHAnsi" w:hAnsiTheme="minorHAnsi"/>
                <w:sz w:val="22"/>
                <w:szCs w:val="22"/>
              </w:rPr>
            </w:pPr>
          </w:p>
        </w:tc>
        <w:tc>
          <w:tcPr>
            <w:tcW w:w="1621" w:type="dxa"/>
            <w:vMerge/>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p>
        </w:tc>
        <w:tc>
          <w:tcPr>
            <w:tcW w:w="1621" w:type="dxa"/>
            <w:vMerge/>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p>
        </w:tc>
        <w:tc>
          <w:tcPr>
            <w:tcW w:w="1621" w:type="dxa"/>
            <w:vMerge/>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p>
        </w:tc>
        <w:tc>
          <w:tcPr>
            <w:tcW w:w="1621" w:type="dxa"/>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Exemplary</w:t>
            </w:r>
          </w:p>
        </w:tc>
        <w:tc>
          <w:tcPr>
            <w:tcW w:w="1621" w:type="dxa"/>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Proficient</w:t>
            </w:r>
          </w:p>
        </w:tc>
        <w:tc>
          <w:tcPr>
            <w:tcW w:w="1621" w:type="dxa"/>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Needs Improvement</w:t>
            </w:r>
          </w:p>
        </w:tc>
        <w:tc>
          <w:tcPr>
            <w:tcW w:w="1621" w:type="dxa"/>
            <w:shd w:val="clear" w:color="auto" w:fill="B8CCE4" w:themeFill="accent1" w:themeFillTint="66"/>
            <w:vAlign w:val="center"/>
          </w:tcPr>
          <w:p w:rsidR="004A4FF9" w:rsidRPr="00B93D31" w:rsidRDefault="004A4FF9" w:rsidP="00B155CD">
            <w:pPr>
              <w:jc w:val="center"/>
              <w:rPr>
                <w:rFonts w:asciiTheme="minorHAnsi" w:hAnsiTheme="minorHAnsi"/>
                <w:b/>
                <w:sz w:val="22"/>
                <w:szCs w:val="22"/>
              </w:rPr>
            </w:pPr>
            <w:r w:rsidRPr="00B93D31">
              <w:rPr>
                <w:rFonts w:asciiTheme="minorHAnsi" w:hAnsiTheme="minorHAnsi"/>
                <w:b/>
                <w:sz w:val="22"/>
                <w:szCs w:val="22"/>
              </w:rPr>
              <w:t>Unsatisfactory</w:t>
            </w:r>
          </w:p>
        </w:tc>
      </w:tr>
      <w:tr w:rsidR="004A4FF9" w:rsidTr="000D5F4D">
        <w:tc>
          <w:tcPr>
            <w:tcW w:w="1721" w:type="dxa"/>
            <w:shd w:val="clear" w:color="auto" w:fill="B8CCE4" w:themeFill="accent1" w:themeFillTint="66"/>
            <w:vAlign w:val="center"/>
          </w:tcPr>
          <w:p w:rsidR="004A4FF9" w:rsidRPr="00F61B4F" w:rsidRDefault="004A4FF9" w:rsidP="00B155CD">
            <w:pPr>
              <w:jc w:val="center"/>
              <w:rPr>
                <w:rFonts w:asciiTheme="minorHAnsi" w:hAnsiTheme="minorHAnsi"/>
                <w:b/>
                <w:sz w:val="22"/>
                <w:szCs w:val="22"/>
              </w:rPr>
            </w:pPr>
            <w:r w:rsidRPr="00F61B4F">
              <w:rPr>
                <w:rFonts w:asciiTheme="minorHAnsi" w:hAnsiTheme="minorHAnsi"/>
                <w:b/>
                <w:sz w:val="22"/>
                <w:szCs w:val="22"/>
              </w:rPr>
              <w:t>All teachers &amp; administrators</w:t>
            </w: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86,629</w:t>
            </w:r>
          </w:p>
        </w:tc>
        <w:tc>
          <w:tcPr>
            <w:tcW w:w="1621" w:type="dxa"/>
            <w:vAlign w:val="center"/>
          </w:tcPr>
          <w:p w:rsidR="004A4FF9" w:rsidRPr="007A144F" w:rsidRDefault="00201E66" w:rsidP="000D5F4D">
            <w:pPr>
              <w:jc w:val="center"/>
            </w:pPr>
            <w:r>
              <w:rPr>
                <w:rFonts w:ascii="Calibri" w:hAnsi="Calibri"/>
                <w:color w:val="000000"/>
                <w:sz w:val="22"/>
                <w:szCs w:val="22"/>
              </w:rPr>
              <w:t>81,639</w:t>
            </w:r>
          </w:p>
        </w:tc>
        <w:tc>
          <w:tcPr>
            <w:tcW w:w="1621" w:type="dxa"/>
            <w:vAlign w:val="center"/>
          </w:tcPr>
          <w:p w:rsidR="004A4FF9" w:rsidRPr="007A144F" w:rsidRDefault="00201E66" w:rsidP="000D5F4D">
            <w:pPr>
              <w:jc w:val="center"/>
            </w:pPr>
            <w:r>
              <w:rPr>
                <w:rFonts w:ascii="Calibri" w:hAnsi="Calibri"/>
                <w:color w:val="000000"/>
                <w:sz w:val="22"/>
                <w:szCs w:val="22"/>
              </w:rPr>
              <w:t>94.2</w:t>
            </w:r>
            <w:r w:rsidR="00097C71">
              <w:rPr>
                <w:rFonts w:ascii="Calibri" w:hAnsi="Calibri"/>
                <w:color w:val="000000"/>
                <w:sz w:val="22"/>
                <w:szCs w:val="22"/>
              </w:rPr>
              <w:t>%</w:t>
            </w:r>
          </w:p>
        </w:tc>
        <w:tc>
          <w:tcPr>
            <w:tcW w:w="1621" w:type="dxa"/>
            <w:vAlign w:val="center"/>
          </w:tcPr>
          <w:p w:rsidR="006F5BE4" w:rsidRPr="006F5BE4" w:rsidRDefault="00201E66" w:rsidP="000D5F4D">
            <w:pPr>
              <w:jc w:val="center"/>
              <w:rPr>
                <w:rFonts w:ascii="Calibri" w:eastAsiaTheme="minorHAnsi" w:hAnsi="Calibri"/>
                <w:sz w:val="22"/>
                <w:szCs w:val="22"/>
              </w:rPr>
            </w:pPr>
            <w:r>
              <w:rPr>
                <w:rFonts w:ascii="Calibri" w:eastAsiaTheme="minorHAnsi" w:hAnsi="Calibri"/>
                <w:color w:val="000000"/>
                <w:sz w:val="22"/>
                <w:szCs w:val="22"/>
              </w:rPr>
              <w:br/>
              <w:t>12.7</w:t>
            </w:r>
            <w:r w:rsidR="00097C71">
              <w:rPr>
                <w:rFonts w:ascii="Calibri" w:eastAsiaTheme="minorHAns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4A4FF9" w:rsidRPr="007A144F" w:rsidRDefault="006F5BE4" w:rsidP="000D5F4D">
            <w:pPr>
              <w:jc w:val="center"/>
            </w:pPr>
            <w:r w:rsidRPr="006F5BE4">
              <w:rPr>
                <w:rFonts w:ascii="Calibri" w:hAnsi="Calibri"/>
                <w:color w:val="000000"/>
                <w:sz w:val="22"/>
                <w:szCs w:val="22"/>
              </w:rPr>
              <w:t>83.6</w:t>
            </w:r>
            <w:r w:rsidR="00097C71">
              <w:rPr>
                <w:rFonts w:ascii="Calibri" w:hAnsi="Calibri"/>
                <w:color w:val="000000"/>
                <w:sz w:val="22"/>
                <w:szCs w:val="22"/>
              </w:rPr>
              <w:t>%</w:t>
            </w:r>
          </w:p>
        </w:tc>
        <w:tc>
          <w:tcPr>
            <w:tcW w:w="1621" w:type="dxa"/>
            <w:vAlign w:val="center"/>
          </w:tcPr>
          <w:p w:rsidR="004A4FF9" w:rsidRPr="007A144F" w:rsidRDefault="006F5BE4" w:rsidP="000D5F4D">
            <w:pPr>
              <w:jc w:val="center"/>
            </w:pPr>
            <w:r w:rsidRPr="006F5BE4">
              <w:rPr>
                <w:rFonts w:ascii="Calibri" w:hAnsi="Calibri"/>
                <w:color w:val="000000"/>
                <w:sz w:val="22"/>
                <w:szCs w:val="22"/>
              </w:rPr>
              <w:t>3.4</w:t>
            </w:r>
            <w:r w:rsidR="00097C71">
              <w:rPr>
                <w:rFonts w:ascii="Calibri" w:hAnsi="Calibri"/>
                <w:color w:val="000000"/>
                <w:sz w:val="22"/>
                <w:szCs w:val="22"/>
              </w:rPr>
              <w:t>%</w:t>
            </w:r>
          </w:p>
        </w:tc>
        <w:tc>
          <w:tcPr>
            <w:tcW w:w="1621" w:type="dxa"/>
            <w:vAlign w:val="center"/>
          </w:tcPr>
          <w:p w:rsidR="004A4FF9" w:rsidRPr="007A144F" w:rsidRDefault="006F5BE4" w:rsidP="000D5F4D">
            <w:pPr>
              <w:jc w:val="center"/>
            </w:pPr>
            <w:r w:rsidRPr="006F5BE4">
              <w:rPr>
                <w:rFonts w:ascii="Calibri" w:hAnsi="Calibri"/>
                <w:color w:val="000000"/>
                <w:sz w:val="22"/>
                <w:szCs w:val="22"/>
              </w:rPr>
              <w:t>0.3</w:t>
            </w:r>
            <w:r w:rsidR="00097C71">
              <w:rPr>
                <w:rFonts w:ascii="Calibri" w:hAnsi="Calibri"/>
                <w:color w:val="000000"/>
                <w:sz w:val="22"/>
                <w:szCs w:val="22"/>
              </w:rPr>
              <w:t>%</w:t>
            </w:r>
          </w:p>
        </w:tc>
      </w:tr>
      <w:tr w:rsidR="004A4FF9" w:rsidTr="000D5F4D">
        <w:tc>
          <w:tcPr>
            <w:tcW w:w="1721" w:type="dxa"/>
            <w:shd w:val="clear" w:color="auto" w:fill="B8CCE4" w:themeFill="accent1" w:themeFillTint="66"/>
            <w:vAlign w:val="center"/>
          </w:tcPr>
          <w:p w:rsidR="004A4FF9" w:rsidRPr="00F61B4F" w:rsidRDefault="004A4FF9" w:rsidP="00B155CD">
            <w:pPr>
              <w:jc w:val="center"/>
              <w:rPr>
                <w:rFonts w:asciiTheme="minorHAnsi" w:hAnsiTheme="minorHAnsi"/>
                <w:b/>
                <w:sz w:val="22"/>
                <w:szCs w:val="22"/>
              </w:rPr>
            </w:pPr>
            <w:r w:rsidRPr="00F61B4F">
              <w:rPr>
                <w:rFonts w:asciiTheme="minorHAnsi" w:hAnsiTheme="minorHAnsi"/>
                <w:b/>
                <w:sz w:val="22"/>
                <w:szCs w:val="22"/>
              </w:rPr>
              <w:t>All administrators</w:t>
            </w:r>
          </w:p>
        </w:tc>
        <w:tc>
          <w:tcPr>
            <w:tcW w:w="1621" w:type="dxa"/>
            <w:vAlign w:val="center"/>
          </w:tcPr>
          <w:p w:rsidR="004A4FF9" w:rsidRPr="000D5F4D" w:rsidRDefault="006F5BE4" w:rsidP="000D5F4D">
            <w:pPr>
              <w:jc w:val="center"/>
            </w:pPr>
            <w:r w:rsidRPr="006F5BE4">
              <w:rPr>
                <w:rFonts w:ascii="Calibri" w:hAnsi="Calibri"/>
                <w:color w:val="000000"/>
                <w:sz w:val="22"/>
                <w:szCs w:val="22"/>
              </w:rPr>
              <w:t>6,579</w:t>
            </w:r>
          </w:p>
        </w:tc>
        <w:tc>
          <w:tcPr>
            <w:tcW w:w="1621" w:type="dxa"/>
            <w:vAlign w:val="center"/>
          </w:tcPr>
          <w:p w:rsidR="004A4FF9" w:rsidRPr="000D5F4D" w:rsidRDefault="00201E66" w:rsidP="000D5F4D">
            <w:pPr>
              <w:jc w:val="center"/>
            </w:pPr>
            <w:r>
              <w:rPr>
                <w:rFonts w:ascii="Calibri" w:hAnsi="Calibri"/>
                <w:color w:val="000000"/>
                <w:sz w:val="22"/>
                <w:szCs w:val="22"/>
              </w:rPr>
              <w:t>5,736</w:t>
            </w:r>
          </w:p>
        </w:tc>
        <w:tc>
          <w:tcPr>
            <w:tcW w:w="1621" w:type="dxa"/>
            <w:vAlign w:val="center"/>
          </w:tcPr>
          <w:p w:rsidR="004A4FF9" w:rsidRPr="000D5F4D" w:rsidRDefault="00201E66" w:rsidP="000D5F4D">
            <w:pPr>
              <w:jc w:val="center"/>
            </w:pPr>
            <w:r>
              <w:rPr>
                <w:rFonts w:ascii="Calibri" w:hAnsi="Calibri"/>
                <w:color w:val="000000"/>
                <w:sz w:val="22"/>
                <w:szCs w:val="22"/>
              </w:rPr>
              <w:t>87.2%</w:t>
            </w:r>
          </w:p>
        </w:tc>
        <w:tc>
          <w:tcPr>
            <w:tcW w:w="1621" w:type="dxa"/>
            <w:vAlign w:val="center"/>
          </w:tcPr>
          <w:p w:rsidR="004A4FF9" w:rsidRPr="000D5F4D" w:rsidRDefault="00201E66" w:rsidP="000D5F4D">
            <w:pPr>
              <w:jc w:val="center"/>
            </w:pPr>
            <w:r>
              <w:rPr>
                <w:rFonts w:ascii="Calibri" w:hAnsi="Calibri"/>
                <w:color w:val="000000"/>
                <w:sz w:val="22"/>
                <w:szCs w:val="22"/>
              </w:rPr>
              <w:t>18.6%</w:t>
            </w:r>
          </w:p>
        </w:tc>
        <w:tc>
          <w:tcPr>
            <w:tcW w:w="1621" w:type="dxa"/>
            <w:vAlign w:val="center"/>
          </w:tcPr>
          <w:p w:rsidR="004A4FF9" w:rsidRDefault="00201E66" w:rsidP="000D5F4D">
            <w:pPr>
              <w:jc w:val="center"/>
              <w:rPr>
                <w:rFonts w:ascii="Calibri" w:hAnsi="Calibri"/>
                <w:color w:val="000000"/>
                <w:sz w:val="22"/>
                <w:szCs w:val="22"/>
              </w:rPr>
            </w:pPr>
            <w:r>
              <w:rPr>
                <w:rFonts w:ascii="Calibri" w:hAnsi="Calibri"/>
                <w:color w:val="000000"/>
                <w:sz w:val="22"/>
                <w:szCs w:val="22"/>
              </w:rPr>
              <w:t>78.6%</w:t>
            </w:r>
          </w:p>
        </w:tc>
        <w:tc>
          <w:tcPr>
            <w:tcW w:w="1621" w:type="dxa"/>
            <w:vAlign w:val="center"/>
          </w:tcPr>
          <w:p w:rsidR="004A4FF9" w:rsidRDefault="00201E66" w:rsidP="000D5F4D">
            <w:pPr>
              <w:jc w:val="center"/>
              <w:rPr>
                <w:rFonts w:ascii="Calibri" w:hAnsi="Calibri"/>
                <w:color w:val="000000"/>
                <w:sz w:val="22"/>
                <w:szCs w:val="22"/>
              </w:rPr>
            </w:pPr>
            <w:r>
              <w:rPr>
                <w:rFonts w:ascii="Calibri" w:hAnsi="Calibri"/>
                <w:color w:val="000000"/>
                <w:sz w:val="22"/>
                <w:szCs w:val="22"/>
              </w:rPr>
              <w:t>2.6%</w:t>
            </w:r>
          </w:p>
        </w:tc>
        <w:tc>
          <w:tcPr>
            <w:tcW w:w="1621" w:type="dxa"/>
            <w:vAlign w:val="center"/>
          </w:tcPr>
          <w:p w:rsidR="004A4FF9" w:rsidRDefault="00201E66" w:rsidP="000D5F4D">
            <w:pPr>
              <w:jc w:val="center"/>
              <w:rPr>
                <w:rFonts w:ascii="Calibri" w:hAnsi="Calibri"/>
                <w:color w:val="000000"/>
                <w:sz w:val="22"/>
                <w:szCs w:val="22"/>
              </w:rPr>
            </w:pPr>
            <w:r>
              <w:rPr>
                <w:rFonts w:ascii="Calibri" w:hAnsi="Calibri"/>
                <w:color w:val="000000"/>
                <w:sz w:val="22"/>
                <w:szCs w:val="22"/>
              </w:rPr>
              <w:t>0.2%</w:t>
            </w:r>
          </w:p>
        </w:tc>
      </w:tr>
      <w:tr w:rsidR="004A4FF9" w:rsidTr="000D5F4D">
        <w:trPr>
          <w:trHeight w:val="476"/>
        </w:trPr>
        <w:tc>
          <w:tcPr>
            <w:tcW w:w="1721" w:type="dxa"/>
            <w:shd w:val="clear" w:color="auto" w:fill="B8CCE4" w:themeFill="accent1" w:themeFillTint="66"/>
            <w:vAlign w:val="center"/>
          </w:tcPr>
          <w:p w:rsidR="004A4FF9" w:rsidRPr="00F61B4F" w:rsidRDefault="004A4FF9" w:rsidP="00B155CD">
            <w:pPr>
              <w:jc w:val="center"/>
              <w:rPr>
                <w:rFonts w:asciiTheme="minorHAnsi" w:hAnsiTheme="minorHAnsi"/>
                <w:b/>
                <w:sz w:val="22"/>
                <w:szCs w:val="22"/>
              </w:rPr>
            </w:pPr>
            <w:r w:rsidRPr="00F61B4F">
              <w:rPr>
                <w:rFonts w:asciiTheme="minorHAnsi" w:hAnsiTheme="minorHAnsi"/>
                <w:b/>
                <w:sz w:val="22"/>
                <w:szCs w:val="22"/>
              </w:rPr>
              <w:t>All teachers</w:t>
            </w:r>
          </w:p>
        </w:tc>
        <w:tc>
          <w:tcPr>
            <w:tcW w:w="1621" w:type="dxa"/>
            <w:vAlign w:val="center"/>
          </w:tcPr>
          <w:p w:rsidR="004A4FF9" w:rsidRPr="000D5F4D" w:rsidRDefault="006F5BE4" w:rsidP="000D5F4D">
            <w:pPr>
              <w:jc w:val="center"/>
            </w:pPr>
            <w:r w:rsidRPr="006F5BE4">
              <w:rPr>
                <w:rFonts w:ascii="Calibri" w:hAnsi="Calibri"/>
                <w:color w:val="000000"/>
                <w:sz w:val="22"/>
                <w:szCs w:val="22"/>
              </w:rPr>
              <w:t>71,375</w:t>
            </w:r>
          </w:p>
        </w:tc>
        <w:tc>
          <w:tcPr>
            <w:tcW w:w="1621" w:type="dxa"/>
            <w:vAlign w:val="center"/>
          </w:tcPr>
          <w:p w:rsidR="004A4FF9" w:rsidRPr="000D5F4D" w:rsidRDefault="006F5BE4" w:rsidP="000D5F4D">
            <w:pPr>
              <w:jc w:val="center"/>
            </w:pPr>
            <w:r w:rsidRPr="006F5BE4">
              <w:rPr>
                <w:rFonts w:ascii="Calibri" w:hAnsi="Calibri"/>
                <w:color w:val="000000"/>
                <w:sz w:val="22"/>
                <w:szCs w:val="22"/>
              </w:rPr>
              <w:t>68,178</w:t>
            </w:r>
          </w:p>
        </w:tc>
        <w:tc>
          <w:tcPr>
            <w:tcW w:w="1621" w:type="dxa"/>
            <w:vAlign w:val="center"/>
          </w:tcPr>
          <w:p w:rsidR="004A4FF9" w:rsidRPr="000D5F4D" w:rsidRDefault="006F5BE4" w:rsidP="000D5F4D">
            <w:pPr>
              <w:jc w:val="center"/>
            </w:pPr>
            <w:r w:rsidRPr="006F5BE4">
              <w:rPr>
                <w:rFonts w:ascii="Calibri" w:hAnsi="Calibri"/>
                <w:color w:val="000000"/>
                <w:sz w:val="22"/>
                <w:szCs w:val="22"/>
              </w:rPr>
              <w:t>95.5</w:t>
            </w:r>
            <w:r w:rsidR="00097C71">
              <w:rPr>
                <w:rFonts w:ascii="Calibri" w:hAnsi="Calibri"/>
                <w:color w:val="000000"/>
                <w:sz w:val="22"/>
                <w:szCs w:val="22"/>
              </w:rPr>
              <w:t>%</w:t>
            </w: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11.8</w:t>
            </w:r>
            <w:r w:rsidR="00097C71">
              <w:rPr>
                <w:rFonts w:ascii="Calibri" w:hAnsi="Calibri"/>
                <w:color w:val="000000"/>
                <w:sz w:val="22"/>
                <w:szCs w:val="22"/>
              </w:rPr>
              <w:t>%</w:t>
            </w: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84.2</w:t>
            </w:r>
            <w:r w:rsidR="00097C71">
              <w:rPr>
                <w:rFonts w:ascii="Calibri" w:hAnsi="Calibri"/>
                <w:color w:val="000000"/>
                <w:sz w:val="22"/>
                <w:szCs w:val="22"/>
              </w:rPr>
              <w:t>%</w:t>
            </w: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3.6</w:t>
            </w:r>
            <w:r w:rsidR="00097C71">
              <w:rPr>
                <w:rFonts w:ascii="Calibri" w:hAnsi="Calibri"/>
                <w:color w:val="000000"/>
                <w:sz w:val="22"/>
                <w:szCs w:val="22"/>
              </w:rPr>
              <w:t>%</w:t>
            </w: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0.3</w:t>
            </w:r>
            <w:r w:rsidR="00097C71">
              <w:rPr>
                <w:rFonts w:ascii="Calibri" w:hAnsi="Calibri"/>
                <w:color w:val="000000"/>
                <w:sz w:val="22"/>
                <w:szCs w:val="22"/>
              </w:rPr>
              <w:t>%</w:t>
            </w:r>
          </w:p>
        </w:tc>
      </w:tr>
      <w:tr w:rsidR="004A4FF9" w:rsidTr="000D5F4D">
        <w:tc>
          <w:tcPr>
            <w:tcW w:w="1721" w:type="dxa"/>
            <w:shd w:val="clear" w:color="auto" w:fill="B8CCE4" w:themeFill="accent1" w:themeFillTint="66"/>
            <w:vAlign w:val="center"/>
          </w:tcPr>
          <w:p w:rsidR="004A4FF9" w:rsidRPr="00F61B4F" w:rsidRDefault="004A4FF9" w:rsidP="00B155CD">
            <w:pPr>
              <w:jc w:val="center"/>
              <w:rPr>
                <w:rFonts w:asciiTheme="minorHAnsi" w:hAnsiTheme="minorHAnsi"/>
                <w:b/>
                <w:sz w:val="22"/>
                <w:szCs w:val="22"/>
              </w:rPr>
            </w:pPr>
            <w:r w:rsidRPr="00F61B4F">
              <w:rPr>
                <w:rFonts w:asciiTheme="minorHAnsi" w:hAnsiTheme="minorHAnsi"/>
                <w:b/>
                <w:sz w:val="22"/>
                <w:szCs w:val="22"/>
              </w:rPr>
              <w:t>Teachers without Professional Teacher Status</w:t>
            </w:r>
          </w:p>
        </w:tc>
        <w:tc>
          <w:tcPr>
            <w:tcW w:w="1621" w:type="dxa"/>
            <w:vAlign w:val="center"/>
          </w:tcPr>
          <w:p w:rsidR="006F5BE4" w:rsidRPr="006F5BE4" w:rsidRDefault="006F5BE4" w:rsidP="000D5F4D">
            <w:pPr>
              <w:jc w:val="center"/>
            </w:pPr>
            <w:r w:rsidRPr="006F5BE4">
              <w:rPr>
                <w:rFonts w:ascii="Calibri" w:hAnsi="Calibri"/>
                <w:color w:val="000000"/>
                <w:sz w:val="22"/>
                <w:szCs w:val="22"/>
              </w:rPr>
              <w:t>18,036</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16,555</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91.8</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4.8</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85.3</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9.5</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0.5</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r>
      <w:tr w:rsidR="004A4FF9" w:rsidTr="000D5F4D">
        <w:tc>
          <w:tcPr>
            <w:tcW w:w="1721" w:type="dxa"/>
            <w:shd w:val="clear" w:color="auto" w:fill="B8CCE4" w:themeFill="accent1" w:themeFillTint="66"/>
            <w:vAlign w:val="center"/>
          </w:tcPr>
          <w:p w:rsidR="004A4FF9" w:rsidRPr="00F61B4F" w:rsidRDefault="004A4FF9" w:rsidP="00B155CD">
            <w:pPr>
              <w:jc w:val="center"/>
              <w:rPr>
                <w:rFonts w:asciiTheme="minorHAnsi" w:hAnsiTheme="minorHAnsi"/>
                <w:b/>
                <w:sz w:val="22"/>
                <w:szCs w:val="22"/>
              </w:rPr>
            </w:pPr>
            <w:r w:rsidRPr="00F61B4F">
              <w:rPr>
                <w:rFonts w:asciiTheme="minorHAnsi" w:hAnsiTheme="minorHAnsi"/>
                <w:b/>
                <w:sz w:val="22"/>
                <w:szCs w:val="22"/>
              </w:rPr>
              <w:t>Teachers with Professional Teacher Status</w:t>
            </w:r>
          </w:p>
        </w:tc>
        <w:tc>
          <w:tcPr>
            <w:tcW w:w="1621" w:type="dxa"/>
            <w:vAlign w:val="center"/>
          </w:tcPr>
          <w:p w:rsidR="006F5BE4" w:rsidRPr="006F5BE4" w:rsidRDefault="006F5BE4" w:rsidP="000D5F4D">
            <w:pPr>
              <w:jc w:val="center"/>
            </w:pPr>
            <w:r w:rsidRPr="006F5BE4">
              <w:rPr>
                <w:rFonts w:ascii="Calibri" w:hAnsi="Calibri"/>
                <w:color w:val="000000"/>
                <w:sz w:val="22"/>
                <w:szCs w:val="22"/>
              </w:rPr>
              <w:t>52,173</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50,499</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96.8</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4A4FF9" w:rsidRDefault="006F5BE4" w:rsidP="000D5F4D">
            <w:pPr>
              <w:jc w:val="center"/>
              <w:rPr>
                <w:rFonts w:ascii="Calibri" w:hAnsi="Calibri"/>
                <w:color w:val="000000"/>
                <w:sz w:val="22"/>
                <w:szCs w:val="22"/>
              </w:rPr>
            </w:pPr>
            <w:r>
              <w:rPr>
                <w:rFonts w:ascii="Calibri" w:hAnsi="Calibri"/>
                <w:color w:val="000000"/>
                <w:sz w:val="22"/>
                <w:szCs w:val="22"/>
              </w:rPr>
              <w:t>14.1</w:t>
            </w:r>
            <w:r w:rsidR="00097C71">
              <w:rPr>
                <w:rFonts w:ascii="Calibri" w:hAnsi="Calibri"/>
                <w:color w:val="000000"/>
                <w:sz w:val="22"/>
                <w:szCs w:val="22"/>
              </w:rPr>
              <w:t>%</w:t>
            </w:r>
          </w:p>
        </w:tc>
        <w:tc>
          <w:tcPr>
            <w:tcW w:w="1621" w:type="dxa"/>
            <w:vAlign w:val="center"/>
          </w:tcPr>
          <w:p w:rsidR="006F5BE4" w:rsidRPr="006F5BE4" w:rsidRDefault="006F5BE4" w:rsidP="000D5F4D">
            <w:pPr>
              <w:jc w:val="center"/>
            </w:pPr>
            <w:r w:rsidRPr="006F5BE4">
              <w:rPr>
                <w:rFonts w:ascii="Calibri" w:hAnsi="Calibri"/>
                <w:color w:val="000000"/>
                <w:sz w:val="22"/>
                <w:szCs w:val="22"/>
              </w:rPr>
              <w:t>84.1</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1.5</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c>
          <w:tcPr>
            <w:tcW w:w="1621" w:type="dxa"/>
            <w:vAlign w:val="center"/>
          </w:tcPr>
          <w:p w:rsidR="006F5BE4" w:rsidRPr="006F5BE4" w:rsidRDefault="006F5BE4" w:rsidP="000D5F4D">
            <w:pPr>
              <w:jc w:val="center"/>
            </w:pPr>
            <w:r w:rsidRPr="006F5BE4">
              <w:rPr>
                <w:rFonts w:ascii="Calibri" w:hAnsi="Calibri"/>
                <w:color w:val="000000"/>
                <w:sz w:val="22"/>
                <w:szCs w:val="22"/>
              </w:rPr>
              <w:t>0.2</w:t>
            </w:r>
            <w:r w:rsidR="00097C71">
              <w:rPr>
                <w:rFonts w:ascii="Calibri" w:hAnsi="Calibri"/>
                <w:color w:val="000000"/>
                <w:sz w:val="22"/>
                <w:szCs w:val="22"/>
              </w:rPr>
              <w:t>%</w:t>
            </w:r>
          </w:p>
          <w:p w:rsidR="004A4FF9" w:rsidRDefault="004A4FF9" w:rsidP="000D5F4D">
            <w:pPr>
              <w:jc w:val="center"/>
              <w:rPr>
                <w:rFonts w:ascii="Calibri" w:hAnsi="Calibri"/>
                <w:color w:val="000000"/>
                <w:sz w:val="22"/>
                <w:szCs w:val="22"/>
              </w:rPr>
            </w:pPr>
          </w:p>
        </w:tc>
      </w:tr>
    </w:tbl>
    <w:p w:rsidR="004A4FF9" w:rsidRDefault="004A4FF9" w:rsidP="005A225D">
      <w:pPr>
        <w:rPr>
          <w:rFonts w:asciiTheme="minorHAnsi" w:hAnsiTheme="minorHAnsi"/>
          <w:sz w:val="22"/>
          <w:szCs w:val="22"/>
        </w:rPr>
      </w:pPr>
    </w:p>
    <w:p w:rsidR="004A4FF9" w:rsidRDefault="004A4FF9" w:rsidP="005A225D">
      <w:pPr>
        <w:rPr>
          <w:rFonts w:asciiTheme="minorHAnsi" w:hAnsiTheme="minorHAnsi"/>
          <w:sz w:val="22"/>
          <w:szCs w:val="22"/>
        </w:rPr>
      </w:pPr>
    </w:p>
    <w:p w:rsidR="004A4FF9" w:rsidRDefault="004A4FF9" w:rsidP="00004C6C">
      <w:pPr>
        <w:pStyle w:val="Heading1"/>
        <w:rPr>
          <w:rFonts w:ascii="Calibri" w:hAnsi="Calibri"/>
          <w:sz w:val="36"/>
          <w:szCs w:val="36"/>
        </w:rPr>
        <w:sectPr w:rsidR="004A4FF9" w:rsidSect="00ED35C5">
          <w:footnotePr>
            <w:numFmt w:val="lowerRoman"/>
          </w:footnotePr>
          <w:endnotePr>
            <w:numFmt w:val="decimal"/>
          </w:endnotePr>
          <w:pgSz w:w="15840" w:h="12240" w:orient="landscape" w:code="1"/>
          <w:pgMar w:top="1440" w:right="1440" w:bottom="1440" w:left="1440" w:header="720" w:footer="720" w:gutter="0"/>
          <w:cols w:space="180"/>
          <w:docGrid w:linePitch="360"/>
        </w:sectPr>
      </w:pPr>
    </w:p>
    <w:p w:rsidR="004A4FF9" w:rsidRPr="009F7EE7" w:rsidRDefault="004A4FF9" w:rsidP="009F7EE7">
      <w:pPr>
        <w:pStyle w:val="Heading1"/>
        <w:rPr>
          <w:rFonts w:ascii="Calibri" w:hAnsi="Calibri"/>
          <w:sz w:val="36"/>
          <w:szCs w:val="36"/>
        </w:rPr>
      </w:pPr>
      <w:bookmarkStart w:id="41" w:name="_Toc509831833"/>
      <w:r>
        <w:rPr>
          <w:rFonts w:ascii="Calibri" w:hAnsi="Calibri"/>
          <w:sz w:val="36"/>
          <w:szCs w:val="36"/>
        </w:rPr>
        <w:lastRenderedPageBreak/>
        <w:t>Appendix C: Stakeholder engagement and communications</w:t>
      </w:r>
      <w:bookmarkEnd w:id="41"/>
    </w:p>
    <w:p w:rsidR="004A4FF9" w:rsidRPr="00F73B75" w:rsidRDefault="004A4FF9" w:rsidP="009F7EE7"/>
    <w:p w:rsidR="004A4FF9" w:rsidRDefault="004A4FF9" w:rsidP="009F7EE7">
      <w:pPr>
        <w:rPr>
          <w:rFonts w:asciiTheme="minorHAnsi" w:hAnsiTheme="minorHAnsi"/>
          <w:sz w:val="22"/>
          <w:szCs w:val="22"/>
        </w:rPr>
      </w:pPr>
      <w:r>
        <w:rPr>
          <w:rFonts w:asciiTheme="minorHAnsi" w:hAnsiTheme="minorHAnsi"/>
          <w:sz w:val="22"/>
          <w:szCs w:val="22"/>
        </w:rPr>
        <w:t>Engaging with stakeholders has aided the Department in the refinement and implementation of equity initiatives, as well as in planning ahead for future state</w:t>
      </w:r>
      <w:r w:rsidR="00441AF8">
        <w:rPr>
          <w:rFonts w:ascii="Helvetica" w:eastAsia="Helvetica" w:hAnsi="Helvetica" w:cs="Helvetica"/>
          <w:sz w:val="22"/>
          <w:szCs w:val="22"/>
        </w:rPr>
        <w:t>-</w:t>
      </w:r>
      <w:r>
        <w:rPr>
          <w:rFonts w:asciiTheme="minorHAnsi" w:hAnsiTheme="minorHAnsi"/>
          <w:sz w:val="22"/>
          <w:szCs w:val="22"/>
        </w:rPr>
        <w:t xml:space="preserve"> and district</w:t>
      </w:r>
      <w:r w:rsidR="00441AF8">
        <w:rPr>
          <w:rFonts w:ascii="Helvetica" w:eastAsia="Helvetica" w:hAnsi="Helvetica" w:cs="Helvetica"/>
          <w:sz w:val="22"/>
          <w:szCs w:val="22"/>
        </w:rPr>
        <w:t>-</w:t>
      </w:r>
      <w:r>
        <w:rPr>
          <w:rFonts w:asciiTheme="minorHAnsi" w:hAnsiTheme="minorHAnsi"/>
          <w:sz w:val="22"/>
          <w:szCs w:val="22"/>
        </w:rPr>
        <w:t>level equity work. The content and strategies described in the 2018 Equity Update reflect stakeholder engagement activities that include:</w:t>
      </w:r>
    </w:p>
    <w:p w:rsidR="004A4FF9" w:rsidRDefault="004A4FF9" w:rsidP="005A225D">
      <w:pPr>
        <w:rPr>
          <w:rFonts w:asciiTheme="minorHAnsi" w:hAnsiTheme="minorHAnsi"/>
          <w:sz w:val="22"/>
          <w:szCs w:val="22"/>
        </w:rPr>
      </w:pPr>
    </w:p>
    <w:p w:rsidR="004A4FF9" w:rsidRDefault="004A4FF9" w:rsidP="009F7EE7">
      <w:pPr>
        <w:pStyle w:val="ListParagraph"/>
        <w:numPr>
          <w:ilvl w:val="0"/>
          <w:numId w:val="12"/>
        </w:numPr>
        <w:rPr>
          <w:rFonts w:asciiTheme="minorHAnsi" w:hAnsiTheme="minorHAnsi"/>
          <w:sz w:val="22"/>
          <w:szCs w:val="22"/>
        </w:rPr>
      </w:pPr>
      <w:r>
        <w:rPr>
          <w:rFonts w:asciiTheme="minorHAnsi" w:hAnsiTheme="minorHAnsi"/>
          <w:sz w:val="22"/>
          <w:szCs w:val="22"/>
        </w:rPr>
        <w:t>Equity Labs for the 25 largest urban districts to access and interpret Student Learning Experience Report data; discuss questions of educational equity; and prepare for local</w:t>
      </w:r>
      <w:r w:rsidR="00441AF8">
        <w:rPr>
          <w:rFonts w:ascii="Helvetica" w:eastAsia="Helvetica" w:hAnsi="Helvetica" w:cs="Helvetica"/>
          <w:sz w:val="22"/>
          <w:szCs w:val="22"/>
        </w:rPr>
        <w:t>-</w:t>
      </w:r>
      <w:r>
        <w:rPr>
          <w:rFonts w:asciiTheme="minorHAnsi" w:hAnsiTheme="minorHAnsi"/>
          <w:sz w:val="22"/>
          <w:szCs w:val="22"/>
        </w:rPr>
        <w:t>level equity analysis and reporting</w:t>
      </w:r>
    </w:p>
    <w:p w:rsidR="004A4FF9" w:rsidRDefault="004A4FF9" w:rsidP="009F7EE7">
      <w:pPr>
        <w:pStyle w:val="ListParagraph"/>
        <w:numPr>
          <w:ilvl w:val="0"/>
          <w:numId w:val="12"/>
        </w:numPr>
        <w:rPr>
          <w:rFonts w:asciiTheme="minorHAnsi" w:hAnsiTheme="minorHAnsi"/>
          <w:sz w:val="22"/>
          <w:szCs w:val="22"/>
        </w:rPr>
      </w:pPr>
      <w:r>
        <w:rPr>
          <w:rFonts w:asciiTheme="minorHAnsi" w:hAnsiTheme="minorHAnsi"/>
          <w:sz w:val="22"/>
          <w:szCs w:val="22"/>
        </w:rPr>
        <w:t>Webinar on using, analyzing</w:t>
      </w:r>
      <w:r w:rsidR="000A5FE5">
        <w:rPr>
          <w:rFonts w:asciiTheme="minorHAnsi" w:hAnsiTheme="minorHAnsi"/>
          <w:sz w:val="22"/>
          <w:szCs w:val="22"/>
        </w:rPr>
        <w:t>,</w:t>
      </w:r>
      <w:r>
        <w:rPr>
          <w:rFonts w:asciiTheme="minorHAnsi" w:hAnsiTheme="minorHAnsi"/>
          <w:sz w:val="22"/>
          <w:szCs w:val="22"/>
        </w:rPr>
        <w:t xml:space="preserve"> and applying data from the Student Learning Experience Report</w:t>
      </w:r>
    </w:p>
    <w:p w:rsidR="004A4FF9" w:rsidRDefault="004A4FF9" w:rsidP="009F7EE7">
      <w:pPr>
        <w:pStyle w:val="ListParagraph"/>
        <w:numPr>
          <w:ilvl w:val="0"/>
          <w:numId w:val="12"/>
        </w:numPr>
        <w:rPr>
          <w:rFonts w:asciiTheme="minorHAnsi" w:hAnsiTheme="minorHAnsi"/>
          <w:sz w:val="22"/>
          <w:szCs w:val="22"/>
        </w:rPr>
      </w:pPr>
      <w:r>
        <w:rPr>
          <w:rFonts w:asciiTheme="minorHAnsi" w:hAnsiTheme="minorHAnsi"/>
          <w:sz w:val="22"/>
          <w:szCs w:val="22"/>
        </w:rPr>
        <w:t>Session</w:t>
      </w:r>
      <w:r w:rsidR="000A5FE5">
        <w:rPr>
          <w:rFonts w:asciiTheme="minorHAnsi" w:hAnsiTheme="minorHAnsi"/>
          <w:sz w:val="22"/>
          <w:szCs w:val="22"/>
        </w:rPr>
        <w:t>s</w:t>
      </w:r>
      <w:r>
        <w:rPr>
          <w:rFonts w:asciiTheme="minorHAnsi" w:hAnsiTheme="minorHAnsi"/>
          <w:sz w:val="22"/>
          <w:szCs w:val="22"/>
        </w:rPr>
        <w:t xml:space="preserve"> about the Student Learning Experience Report and about induction and mentoring programs in statewide conferences</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Interviews with about 30 administrators, teachers</w:t>
      </w:r>
      <w:r w:rsidR="000A5FE5">
        <w:rPr>
          <w:rFonts w:asciiTheme="minorHAnsi" w:hAnsiTheme="minorHAnsi"/>
          <w:sz w:val="22"/>
          <w:szCs w:val="22"/>
        </w:rPr>
        <w:t>,</w:t>
      </w:r>
      <w:r>
        <w:rPr>
          <w:rFonts w:asciiTheme="minorHAnsi" w:hAnsiTheme="minorHAnsi"/>
          <w:sz w:val="22"/>
          <w:szCs w:val="22"/>
        </w:rPr>
        <w:t xml:space="preserve"> and district leaders to learn about challenges to and strategies for retention of hard</w:t>
      </w:r>
      <w:r w:rsidR="00441AF8">
        <w:rPr>
          <w:rFonts w:ascii="Helvetica" w:eastAsia="Helvetica" w:hAnsi="Helvetica" w:cs="Helvetica"/>
          <w:sz w:val="22"/>
          <w:szCs w:val="22"/>
        </w:rPr>
        <w:t>-</w:t>
      </w:r>
      <w:r>
        <w:rPr>
          <w:rFonts w:asciiTheme="minorHAnsi" w:hAnsiTheme="minorHAnsi"/>
          <w:sz w:val="22"/>
          <w:szCs w:val="22"/>
        </w:rPr>
        <w:t>to</w:t>
      </w:r>
      <w:r w:rsidR="00441AF8">
        <w:rPr>
          <w:rFonts w:ascii="Helvetica" w:eastAsia="Helvetica" w:hAnsi="Helvetica" w:cs="Helvetica"/>
          <w:sz w:val="22"/>
          <w:szCs w:val="22"/>
        </w:rPr>
        <w:t>-</w:t>
      </w:r>
      <w:r>
        <w:rPr>
          <w:rFonts w:asciiTheme="minorHAnsi" w:hAnsiTheme="minorHAnsi"/>
          <w:sz w:val="22"/>
          <w:szCs w:val="22"/>
        </w:rPr>
        <w:t>staff educators and educators of color</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Discussions with the Teacher Advisory Council, Principal Advisory Council, and Racial Imbalance Advisory Council on strategies for retention of hard</w:t>
      </w:r>
      <w:r w:rsidR="00441AF8">
        <w:rPr>
          <w:rFonts w:ascii="Helvetica" w:eastAsia="Helvetica" w:hAnsi="Helvetica" w:cs="Helvetica"/>
          <w:sz w:val="22"/>
          <w:szCs w:val="22"/>
        </w:rPr>
        <w:t>-</w:t>
      </w:r>
      <w:r>
        <w:rPr>
          <w:rFonts w:asciiTheme="minorHAnsi" w:hAnsiTheme="minorHAnsi"/>
          <w:sz w:val="22"/>
          <w:szCs w:val="22"/>
        </w:rPr>
        <w:t>to</w:t>
      </w:r>
      <w:r w:rsidR="00441AF8">
        <w:rPr>
          <w:rFonts w:ascii="Helvetica" w:eastAsia="Helvetica" w:hAnsi="Helvetica" w:cs="Helvetica"/>
          <w:sz w:val="22"/>
          <w:szCs w:val="22"/>
        </w:rPr>
        <w:t>-</w:t>
      </w:r>
      <w:r>
        <w:rPr>
          <w:rFonts w:asciiTheme="minorHAnsi" w:hAnsiTheme="minorHAnsi"/>
          <w:sz w:val="22"/>
          <w:szCs w:val="22"/>
        </w:rPr>
        <w:t>staff educators and educators of color</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 xml:space="preserve">Pilot of the </w:t>
      </w:r>
      <w:r w:rsidRPr="005A225D">
        <w:rPr>
          <w:rFonts w:asciiTheme="minorHAnsi" w:hAnsiTheme="minorHAnsi"/>
          <w:sz w:val="22"/>
          <w:szCs w:val="22"/>
        </w:rPr>
        <w:t>Resource Allocation and District Action Reports</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Convening of Inclusive Practices Steering Committee, including diverse stakeholders; includes training a group of “Inclusion Mobilizers”</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Inclusive Practice Ambassadors’ visits with 940 principals and more than 1,200 other district leaders</w:t>
      </w:r>
    </w:p>
    <w:p w:rsidR="004A4FF9" w:rsidRDefault="004A4FF9" w:rsidP="005A225D">
      <w:pPr>
        <w:pStyle w:val="ListParagraph"/>
        <w:numPr>
          <w:ilvl w:val="0"/>
          <w:numId w:val="12"/>
        </w:numPr>
        <w:rPr>
          <w:rFonts w:asciiTheme="minorHAnsi" w:hAnsiTheme="minorHAnsi"/>
          <w:sz w:val="22"/>
          <w:szCs w:val="22"/>
        </w:rPr>
      </w:pPr>
      <w:r>
        <w:rPr>
          <w:rFonts w:asciiTheme="minorHAnsi" w:hAnsiTheme="minorHAnsi"/>
          <w:sz w:val="22"/>
          <w:szCs w:val="22"/>
        </w:rPr>
        <w:t xml:space="preserve">Sheltered English </w:t>
      </w:r>
      <w:r w:rsidR="002B6825">
        <w:rPr>
          <w:rFonts w:asciiTheme="minorHAnsi" w:hAnsiTheme="minorHAnsi"/>
          <w:sz w:val="22"/>
          <w:szCs w:val="22"/>
        </w:rPr>
        <w:t>Immersion</w:t>
      </w:r>
      <w:r>
        <w:rPr>
          <w:rFonts w:asciiTheme="minorHAnsi" w:hAnsiTheme="minorHAnsi"/>
          <w:sz w:val="22"/>
          <w:szCs w:val="22"/>
        </w:rPr>
        <w:t xml:space="preserve"> working group, with input from a student panel</w:t>
      </w: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AC143D" w:rsidRDefault="00AC143D"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9810FA">
      <w:pPr>
        <w:pStyle w:val="ListParagraph"/>
        <w:ind w:left="758"/>
        <w:rPr>
          <w:rFonts w:asciiTheme="minorHAnsi" w:hAnsiTheme="minorHAnsi"/>
          <w:sz w:val="22"/>
          <w:szCs w:val="22"/>
        </w:rPr>
      </w:pPr>
    </w:p>
    <w:p w:rsidR="004A4FF9" w:rsidRDefault="004A4FF9" w:rsidP="00F66DD8">
      <w:pPr>
        <w:pStyle w:val="Heading1"/>
        <w:rPr>
          <w:rFonts w:ascii="Calibri" w:hAnsi="Calibri"/>
          <w:sz w:val="36"/>
          <w:szCs w:val="36"/>
        </w:rPr>
      </w:pPr>
      <w:bookmarkStart w:id="42" w:name="_Appendix_D:_Longitudinal"/>
      <w:bookmarkStart w:id="43" w:name="_Toc509831834"/>
      <w:bookmarkEnd w:id="42"/>
      <w:r>
        <w:rPr>
          <w:rFonts w:ascii="Calibri" w:hAnsi="Calibri"/>
          <w:sz w:val="36"/>
          <w:szCs w:val="36"/>
        </w:rPr>
        <w:lastRenderedPageBreak/>
        <w:t xml:space="preserve">Appendix D: </w:t>
      </w:r>
      <w:r w:rsidR="004D17E6">
        <w:rPr>
          <w:rFonts w:ascii="Calibri" w:hAnsi="Calibri"/>
          <w:sz w:val="36"/>
          <w:szCs w:val="36"/>
        </w:rPr>
        <w:t>Longitudinal d</w:t>
      </w:r>
      <w:r>
        <w:rPr>
          <w:rFonts w:ascii="Calibri" w:hAnsi="Calibri"/>
          <w:sz w:val="36"/>
          <w:szCs w:val="36"/>
        </w:rPr>
        <w:t xml:space="preserve">ata on </w:t>
      </w:r>
      <w:r w:rsidR="00510013">
        <w:rPr>
          <w:rFonts w:ascii="Calibri" w:hAnsi="Calibri"/>
          <w:sz w:val="36"/>
          <w:szCs w:val="36"/>
        </w:rPr>
        <w:t>equitable access to educators</w:t>
      </w:r>
      <w:bookmarkEnd w:id="43"/>
    </w:p>
    <w:p w:rsidR="00510013" w:rsidRDefault="0069118B" w:rsidP="004C25B7">
      <w:pPr>
        <w:rPr>
          <w:rFonts w:asciiTheme="minorHAnsi" w:hAnsiTheme="minorHAnsi"/>
          <w:i/>
          <w:sz w:val="20"/>
          <w:szCs w:val="20"/>
        </w:rPr>
      </w:pPr>
      <w:r>
        <w:rPr>
          <w:rFonts w:asciiTheme="minorHAnsi" w:hAnsiTheme="minorHAnsi" w:cs="Courier New"/>
          <w:sz w:val="22"/>
          <w:szCs w:val="22"/>
        </w:rPr>
        <w:t xml:space="preserve">The tables below show the last two years of data for the state overall for each </w:t>
      </w:r>
      <w:r w:rsidR="004C25B7">
        <w:rPr>
          <w:rFonts w:asciiTheme="minorHAnsi" w:hAnsiTheme="minorHAnsi" w:cs="Courier New"/>
          <w:sz w:val="22"/>
          <w:szCs w:val="22"/>
        </w:rPr>
        <w:t>teacher category</w:t>
      </w:r>
      <w:r>
        <w:rPr>
          <w:rFonts w:asciiTheme="minorHAnsi" w:hAnsiTheme="minorHAnsi" w:cs="Courier New"/>
          <w:sz w:val="22"/>
          <w:szCs w:val="22"/>
        </w:rPr>
        <w:t>: inexperienced, out</w:t>
      </w:r>
      <w:r w:rsidR="002B6825">
        <w:rPr>
          <w:rFonts w:asciiTheme="minorHAnsi" w:hAnsiTheme="minorHAnsi" w:cs="Courier New"/>
          <w:sz w:val="22"/>
          <w:szCs w:val="22"/>
        </w:rPr>
        <w:t>-</w:t>
      </w:r>
      <w:r>
        <w:rPr>
          <w:rFonts w:asciiTheme="minorHAnsi" w:hAnsiTheme="minorHAnsi" w:cs="Courier New"/>
          <w:sz w:val="22"/>
          <w:szCs w:val="22"/>
        </w:rPr>
        <w:t>of</w:t>
      </w:r>
      <w:r w:rsidR="002B6825">
        <w:rPr>
          <w:rFonts w:asciiTheme="minorHAnsi" w:hAnsiTheme="minorHAnsi" w:cs="Courier New"/>
          <w:sz w:val="22"/>
          <w:szCs w:val="22"/>
        </w:rPr>
        <w:t>-</w:t>
      </w:r>
      <w:r>
        <w:rPr>
          <w:rFonts w:asciiTheme="minorHAnsi" w:hAnsiTheme="minorHAnsi" w:cs="Courier New"/>
          <w:sz w:val="22"/>
          <w:szCs w:val="22"/>
        </w:rPr>
        <w:t>field</w:t>
      </w:r>
      <w:r w:rsidR="004C25B7">
        <w:rPr>
          <w:rFonts w:asciiTheme="minorHAnsi" w:hAnsiTheme="minorHAnsi" w:cs="Courier New"/>
          <w:sz w:val="22"/>
          <w:szCs w:val="22"/>
        </w:rPr>
        <w:t>,</w:t>
      </w:r>
      <w:r>
        <w:rPr>
          <w:rFonts w:asciiTheme="minorHAnsi" w:hAnsiTheme="minorHAnsi" w:cs="Courier New"/>
          <w:sz w:val="22"/>
          <w:szCs w:val="22"/>
        </w:rPr>
        <w:t xml:space="preserve"> and lower rated. </w:t>
      </w:r>
    </w:p>
    <w:p w:rsidR="004C25B7" w:rsidRPr="004C25B7" w:rsidRDefault="004C25B7" w:rsidP="004C25B7">
      <w:pPr>
        <w:rPr>
          <w:rFonts w:asciiTheme="minorHAnsi" w:hAnsiTheme="minorHAnsi"/>
          <w:i/>
          <w:sz w:val="20"/>
          <w:szCs w:val="20"/>
        </w:rPr>
      </w:pPr>
    </w:p>
    <w:p w:rsidR="00E706C8" w:rsidRDefault="004C25B7" w:rsidP="00510013">
      <w:pPr>
        <w:tabs>
          <w:tab w:val="left" w:pos="0"/>
          <w:tab w:val="left" w:pos="540"/>
        </w:tabs>
        <w:rPr>
          <w:rFonts w:asciiTheme="minorHAnsi" w:hAnsiTheme="minorHAnsi"/>
          <w:b/>
          <w:color w:val="365F91" w:themeColor="accent1" w:themeShade="BF"/>
          <w:sz w:val="30"/>
          <w:szCs w:val="30"/>
        </w:rPr>
      </w:pPr>
      <w:r>
        <w:rPr>
          <w:rFonts w:asciiTheme="minorHAnsi" w:hAnsiTheme="minorHAnsi"/>
          <w:b/>
          <w:color w:val="365F91" w:themeColor="accent1" w:themeShade="BF"/>
          <w:sz w:val="30"/>
          <w:szCs w:val="30"/>
        </w:rPr>
        <w:t>Overall rates of student assignment</w:t>
      </w:r>
    </w:p>
    <w:p w:rsidR="004C25B7" w:rsidRPr="00A14BFA" w:rsidRDefault="004C25B7" w:rsidP="00510013">
      <w:pPr>
        <w:tabs>
          <w:tab w:val="left" w:pos="0"/>
          <w:tab w:val="left" w:pos="540"/>
        </w:tabs>
        <w:rPr>
          <w:rFonts w:asciiTheme="minorHAnsi" w:hAnsiTheme="minorHAnsi" w:cs="Courier New"/>
          <w:sz w:val="22"/>
          <w:szCs w:val="22"/>
        </w:rPr>
      </w:pPr>
    </w:p>
    <w:p w:rsidR="00C30DA5" w:rsidRPr="003B7214" w:rsidRDefault="003B7214" w:rsidP="003B7214">
      <w:pPr>
        <w:rPr>
          <w:rFonts w:asciiTheme="minorHAnsi" w:hAnsiTheme="minorHAnsi"/>
          <w:b/>
          <w:sz w:val="22"/>
          <w:szCs w:val="22"/>
        </w:rPr>
      </w:pPr>
      <w:r w:rsidRPr="00084C83">
        <w:rPr>
          <w:rFonts w:asciiTheme="minorHAnsi" w:hAnsiTheme="minorHAnsi"/>
          <w:b/>
          <w:sz w:val="22"/>
          <w:szCs w:val="22"/>
        </w:rPr>
        <w:t xml:space="preserve">Table </w:t>
      </w:r>
      <w:r>
        <w:rPr>
          <w:rFonts w:asciiTheme="minorHAnsi" w:hAnsiTheme="minorHAnsi"/>
          <w:b/>
          <w:sz w:val="22"/>
          <w:szCs w:val="22"/>
        </w:rPr>
        <w:t xml:space="preserve">4: </w:t>
      </w:r>
      <w:r w:rsidR="00510013" w:rsidRPr="003B7214">
        <w:rPr>
          <w:rFonts w:asciiTheme="minorHAnsi" w:hAnsiTheme="minorHAnsi"/>
          <w:b/>
          <w:sz w:val="22"/>
          <w:szCs w:val="22"/>
        </w:rPr>
        <w:t>Statewide student assignment data o</w:t>
      </w:r>
      <w:r w:rsidR="00017FEC">
        <w:rPr>
          <w:rFonts w:asciiTheme="minorHAnsi" w:hAnsiTheme="minorHAnsi"/>
          <w:b/>
          <w:sz w:val="22"/>
          <w:szCs w:val="22"/>
        </w:rPr>
        <w:t>f</w:t>
      </w:r>
      <w:r w:rsidR="00510013" w:rsidRPr="003B7214">
        <w:rPr>
          <w:rFonts w:asciiTheme="minorHAnsi" w:hAnsiTheme="minorHAnsi"/>
          <w:b/>
          <w:sz w:val="22"/>
          <w:szCs w:val="22"/>
        </w:rPr>
        <w:t xml:space="preserve"> subgroups: 2016</w:t>
      </w:r>
      <w:r w:rsidR="00D644BF" w:rsidRPr="003B7214">
        <w:rPr>
          <w:rFonts w:asciiTheme="minorHAnsi" w:hAnsiTheme="minorHAnsi"/>
          <w:b/>
          <w:sz w:val="22"/>
          <w:szCs w:val="22"/>
        </w:rPr>
        <w:t>–</w:t>
      </w:r>
      <w:r w:rsidR="00510013" w:rsidRPr="003B7214">
        <w:rPr>
          <w:rFonts w:asciiTheme="minorHAnsi" w:hAnsiTheme="minorHAnsi"/>
          <w:b/>
          <w:sz w:val="22"/>
          <w:szCs w:val="22"/>
        </w:rPr>
        <w:t>17</w:t>
      </w:r>
    </w:p>
    <w:tbl>
      <w:tblPr>
        <w:tblStyle w:val="TableGrid"/>
        <w:tblW w:w="0" w:type="auto"/>
        <w:tblLayout w:type="fixed"/>
        <w:tblLook w:val="04A0" w:firstRow="1" w:lastRow="0" w:firstColumn="1" w:lastColumn="0" w:noHBand="0" w:noVBand="1"/>
        <w:tblDescription w:val="Statewide student assignment data of subgroups: 2016-17"/>
      </w:tblPr>
      <w:tblGrid>
        <w:gridCol w:w="2448"/>
        <w:gridCol w:w="1710"/>
        <w:gridCol w:w="720"/>
        <w:gridCol w:w="1620"/>
        <w:gridCol w:w="720"/>
        <w:gridCol w:w="1440"/>
        <w:gridCol w:w="810"/>
      </w:tblGrid>
      <w:tr w:rsidR="00C30DA5" w:rsidTr="00EC2660">
        <w:trPr>
          <w:tblHeader/>
        </w:trPr>
        <w:tc>
          <w:tcPr>
            <w:tcW w:w="2448" w:type="dxa"/>
          </w:tcPr>
          <w:p w:rsidR="00C30DA5" w:rsidRPr="00C67635" w:rsidRDefault="00C30DA5" w:rsidP="00EC2660">
            <w:pPr>
              <w:rPr>
                <w:rFonts w:asciiTheme="minorHAnsi" w:hAnsiTheme="minorHAnsi"/>
                <w:sz w:val="22"/>
                <w:szCs w:val="22"/>
              </w:rPr>
            </w:pPr>
          </w:p>
        </w:tc>
        <w:tc>
          <w:tcPr>
            <w:tcW w:w="1710" w:type="dxa"/>
            <w:shd w:val="clear" w:color="auto" w:fill="4F81BD" w:themeFill="accent1"/>
          </w:tcPr>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teachers with &lt;3 years of experience</w:t>
            </w:r>
          </w:p>
        </w:tc>
        <w:tc>
          <w:tcPr>
            <w:tcW w:w="720" w:type="dxa"/>
            <w:shd w:val="clear" w:color="auto" w:fill="4F81BD" w:themeFill="accent1"/>
          </w:tcPr>
          <w:p w:rsidR="00C30DA5" w:rsidRDefault="00C30DA5" w:rsidP="00EC2660">
            <w:pPr>
              <w:rPr>
                <w:rFonts w:asciiTheme="minorHAnsi" w:hAnsiTheme="minorHAnsi"/>
                <w:b/>
                <w:color w:val="FFFFFF" w:themeColor="background1"/>
                <w:sz w:val="22"/>
                <w:szCs w:val="22"/>
              </w:rPr>
            </w:pPr>
          </w:p>
          <w:p w:rsidR="00C30DA5" w:rsidRDefault="00C30DA5" w:rsidP="00EC2660">
            <w:pPr>
              <w:rPr>
                <w:rFonts w:asciiTheme="minorHAnsi" w:hAnsiTheme="minorHAnsi"/>
                <w:b/>
                <w:color w:val="FFFFFF" w:themeColor="background1"/>
                <w:sz w:val="22"/>
                <w:szCs w:val="22"/>
              </w:rPr>
            </w:pPr>
          </w:p>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620" w:type="dxa"/>
            <w:shd w:val="clear" w:color="auto" w:fill="4F81BD" w:themeFill="accent1"/>
          </w:tcPr>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xml:space="preserve">% of experiences with </w:t>
            </w:r>
            <w:r>
              <w:rPr>
                <w:rFonts w:asciiTheme="minorHAnsi" w:hAnsiTheme="minorHAnsi"/>
                <w:b/>
                <w:color w:val="FFFFFF" w:themeColor="background1"/>
                <w:sz w:val="22"/>
                <w:szCs w:val="22"/>
              </w:rPr>
              <w:t>out</w:t>
            </w:r>
            <w:r>
              <w:rPr>
                <w:rFonts w:ascii="Helvetica" w:eastAsia="Helvetica" w:hAnsi="Helvetica" w:cs="Helvetica"/>
                <w:b/>
                <w:color w:val="FFFFFF" w:themeColor="background1"/>
                <w:sz w:val="22"/>
                <w:szCs w:val="22"/>
              </w:rPr>
              <w:t>-</w:t>
            </w:r>
            <w:r>
              <w:rPr>
                <w:rFonts w:asciiTheme="minorHAnsi" w:hAnsiTheme="minorHAnsi"/>
                <w:b/>
                <w:color w:val="FFFFFF" w:themeColor="background1"/>
                <w:sz w:val="22"/>
                <w:szCs w:val="22"/>
              </w:rPr>
              <w:t>of</w:t>
            </w:r>
            <w:r>
              <w:rPr>
                <w:rFonts w:ascii="Helvetica" w:eastAsia="Helvetica" w:hAnsi="Helvetica" w:cs="Helvetica"/>
                <w:b/>
                <w:color w:val="FFFFFF" w:themeColor="background1"/>
                <w:sz w:val="22"/>
                <w:szCs w:val="22"/>
              </w:rPr>
              <w:t>-</w:t>
            </w:r>
            <w:r>
              <w:rPr>
                <w:rFonts w:asciiTheme="minorHAnsi" w:hAnsiTheme="minorHAnsi"/>
                <w:b/>
                <w:color w:val="FFFFFF" w:themeColor="background1"/>
                <w:sz w:val="22"/>
                <w:szCs w:val="22"/>
              </w:rPr>
              <w:t>field teachers</w:t>
            </w:r>
          </w:p>
        </w:tc>
        <w:tc>
          <w:tcPr>
            <w:tcW w:w="720" w:type="dxa"/>
            <w:shd w:val="clear" w:color="auto" w:fill="4F81BD" w:themeFill="accent1"/>
          </w:tcPr>
          <w:p w:rsidR="00C30DA5" w:rsidRDefault="00C30DA5" w:rsidP="00EC2660">
            <w:pPr>
              <w:jc w:val="center"/>
              <w:rPr>
                <w:rFonts w:asciiTheme="minorHAnsi" w:hAnsiTheme="minorHAnsi"/>
                <w:b/>
                <w:color w:val="FFFFFF" w:themeColor="background1"/>
                <w:sz w:val="22"/>
                <w:szCs w:val="22"/>
              </w:rPr>
            </w:pPr>
          </w:p>
          <w:p w:rsidR="00C30DA5" w:rsidRDefault="00C30DA5" w:rsidP="00EC2660">
            <w:pPr>
              <w:jc w:val="center"/>
              <w:rPr>
                <w:rFonts w:asciiTheme="minorHAnsi" w:hAnsiTheme="minorHAnsi"/>
                <w:b/>
                <w:color w:val="FFFFFF" w:themeColor="background1"/>
                <w:sz w:val="22"/>
                <w:szCs w:val="22"/>
              </w:rPr>
            </w:pPr>
          </w:p>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440" w:type="dxa"/>
            <w:shd w:val="clear" w:color="auto" w:fill="4F81BD" w:themeFill="accent1"/>
          </w:tcPr>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lower</w:t>
            </w:r>
            <w:r>
              <w:rPr>
                <w:rFonts w:ascii="Helvetica" w:eastAsia="Helvetica" w:hAnsi="Helvetica" w:cs="Helvetica"/>
                <w:b/>
                <w:color w:val="FFFFFF" w:themeColor="background1"/>
                <w:sz w:val="22"/>
                <w:szCs w:val="22"/>
              </w:rPr>
              <w:t>-</w:t>
            </w:r>
            <w:r w:rsidRPr="00C67635">
              <w:rPr>
                <w:rFonts w:asciiTheme="minorHAnsi" w:hAnsiTheme="minorHAnsi"/>
                <w:b/>
                <w:color w:val="FFFFFF" w:themeColor="background1"/>
                <w:sz w:val="22"/>
                <w:szCs w:val="22"/>
              </w:rPr>
              <w:t>rated teachers</w:t>
            </w:r>
          </w:p>
        </w:tc>
        <w:tc>
          <w:tcPr>
            <w:tcW w:w="810" w:type="dxa"/>
            <w:shd w:val="clear" w:color="auto" w:fill="4F81BD" w:themeFill="accent1"/>
          </w:tcPr>
          <w:p w:rsidR="00C30DA5" w:rsidRDefault="00C30DA5" w:rsidP="00EC2660">
            <w:pPr>
              <w:jc w:val="center"/>
              <w:rPr>
                <w:rFonts w:asciiTheme="minorHAnsi" w:hAnsiTheme="minorHAnsi"/>
                <w:b/>
                <w:color w:val="FFFFFF" w:themeColor="background1"/>
                <w:sz w:val="22"/>
                <w:szCs w:val="22"/>
              </w:rPr>
            </w:pPr>
          </w:p>
          <w:p w:rsidR="00C30DA5" w:rsidRDefault="00C30DA5" w:rsidP="00EC2660">
            <w:pPr>
              <w:jc w:val="center"/>
              <w:rPr>
                <w:rFonts w:asciiTheme="minorHAnsi" w:hAnsiTheme="minorHAnsi"/>
                <w:b/>
                <w:color w:val="FFFFFF" w:themeColor="background1"/>
                <w:sz w:val="22"/>
                <w:szCs w:val="22"/>
              </w:rPr>
            </w:pPr>
          </w:p>
          <w:p w:rsidR="00C30DA5" w:rsidRPr="00C67635" w:rsidRDefault="00C30DA5" w:rsidP="00EC2660">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r>
      <w:tr w:rsidR="00C30DA5" w:rsidTr="00EC2660">
        <w:trPr>
          <w:tblHeader/>
        </w:trPr>
        <w:tc>
          <w:tcPr>
            <w:tcW w:w="2448" w:type="dxa"/>
          </w:tcPr>
          <w:p w:rsidR="00C30DA5" w:rsidRPr="00C67635" w:rsidRDefault="00C30DA5" w:rsidP="00EC2660">
            <w:pPr>
              <w:rPr>
                <w:rFonts w:asciiTheme="minorHAnsi" w:hAnsiTheme="minorHAnsi"/>
                <w:sz w:val="22"/>
                <w:szCs w:val="22"/>
              </w:rPr>
            </w:pPr>
            <w:r w:rsidRPr="00C67635">
              <w:rPr>
                <w:rFonts w:asciiTheme="minorHAnsi" w:hAnsiTheme="minorHAnsi"/>
                <w:sz w:val="22"/>
                <w:szCs w:val="22"/>
              </w:rPr>
              <w:t>Non</w:t>
            </w:r>
            <w:r>
              <w:rPr>
                <w:rFonts w:ascii="Helvetica" w:eastAsia="Helvetica" w:hAnsi="Helvetica" w:cs="Helvetica"/>
                <w:sz w:val="22"/>
                <w:szCs w:val="22"/>
              </w:rPr>
              <w:t>-</w:t>
            </w:r>
            <w:r w:rsidRPr="00C67635">
              <w:rPr>
                <w:rFonts w:asciiTheme="minorHAnsi" w:hAnsiTheme="minorHAnsi"/>
                <w:sz w:val="22"/>
                <w:szCs w:val="22"/>
              </w:rPr>
              <w:t>eco. dis</w:t>
            </w:r>
            <w:r>
              <w:rPr>
                <w:rFonts w:asciiTheme="minorHAnsi" w:hAnsiTheme="minorHAnsi"/>
                <w:sz w:val="22"/>
                <w:szCs w:val="22"/>
              </w:rPr>
              <w:t>advantaged</w:t>
            </w:r>
          </w:p>
        </w:tc>
        <w:tc>
          <w:tcPr>
            <w:tcW w:w="1710" w:type="dxa"/>
          </w:tcPr>
          <w:p w:rsidR="00C30DA5" w:rsidRPr="00C67635" w:rsidRDefault="00C30DA5" w:rsidP="00EC2660">
            <w:pPr>
              <w:jc w:val="center"/>
              <w:rPr>
                <w:rFonts w:asciiTheme="minorHAnsi" w:hAnsiTheme="minorHAnsi"/>
                <w:sz w:val="22"/>
                <w:szCs w:val="22"/>
              </w:rPr>
            </w:pPr>
            <w:r>
              <w:rPr>
                <w:rFonts w:asciiTheme="minorHAnsi" w:hAnsiTheme="minorHAnsi"/>
                <w:sz w:val="22"/>
                <w:szCs w:val="22"/>
              </w:rPr>
              <w:t>14.2%</w:t>
            </w:r>
          </w:p>
        </w:tc>
        <w:tc>
          <w:tcPr>
            <w:tcW w:w="720" w:type="dxa"/>
            <w:vMerge w:val="restart"/>
            <w:vAlign w:val="center"/>
          </w:tcPr>
          <w:p w:rsidR="00C30DA5" w:rsidRPr="00C67635" w:rsidRDefault="00C30DA5" w:rsidP="00EC2660">
            <w:pPr>
              <w:jc w:val="center"/>
              <w:rPr>
                <w:rFonts w:asciiTheme="minorHAnsi" w:hAnsiTheme="minorHAnsi"/>
                <w:b/>
                <w:sz w:val="22"/>
                <w:szCs w:val="22"/>
              </w:rPr>
            </w:pPr>
            <w:r>
              <w:rPr>
                <w:rFonts w:asciiTheme="minorHAnsi" w:hAnsiTheme="minorHAnsi"/>
                <w:b/>
                <w:sz w:val="22"/>
                <w:szCs w:val="22"/>
              </w:rPr>
              <w:t>1.29</w:t>
            </w:r>
          </w:p>
        </w:tc>
        <w:tc>
          <w:tcPr>
            <w:tcW w:w="1620" w:type="dxa"/>
          </w:tcPr>
          <w:p w:rsidR="00C30DA5" w:rsidRPr="00C67635"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restart"/>
            <w:vAlign w:val="center"/>
          </w:tcPr>
          <w:p w:rsidR="00C30DA5" w:rsidRPr="00351E0A" w:rsidRDefault="00C30DA5" w:rsidP="00EC2660">
            <w:pPr>
              <w:jc w:val="center"/>
              <w:rPr>
                <w:rFonts w:asciiTheme="minorHAnsi" w:hAnsiTheme="minorHAnsi"/>
                <w:sz w:val="22"/>
                <w:szCs w:val="22"/>
              </w:rPr>
            </w:pPr>
            <w:r w:rsidRPr="00351E0A">
              <w:rPr>
                <w:rFonts w:asciiTheme="minorHAnsi" w:hAnsiTheme="minorHAnsi"/>
                <w:sz w:val="22"/>
                <w:szCs w:val="22"/>
              </w:rPr>
              <w:t>*</w:t>
            </w:r>
          </w:p>
        </w:tc>
        <w:tc>
          <w:tcPr>
            <w:tcW w:w="1440" w:type="dxa"/>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3.3%</w:t>
            </w:r>
          </w:p>
        </w:tc>
        <w:tc>
          <w:tcPr>
            <w:tcW w:w="810" w:type="dxa"/>
            <w:vMerge w:val="restart"/>
            <w:vAlign w:val="center"/>
          </w:tcPr>
          <w:p w:rsidR="00C30DA5" w:rsidRPr="00C67635" w:rsidRDefault="00C30DA5" w:rsidP="00EC2660">
            <w:pPr>
              <w:jc w:val="center"/>
              <w:rPr>
                <w:rFonts w:asciiTheme="minorHAnsi" w:hAnsiTheme="minorHAnsi"/>
                <w:b/>
                <w:sz w:val="22"/>
                <w:szCs w:val="22"/>
              </w:rPr>
            </w:pPr>
            <w:r>
              <w:rPr>
                <w:rFonts w:asciiTheme="minorHAnsi" w:hAnsiTheme="minorHAnsi"/>
                <w:b/>
                <w:sz w:val="22"/>
                <w:szCs w:val="22"/>
              </w:rPr>
              <w:t>1.75</w:t>
            </w:r>
          </w:p>
        </w:tc>
      </w:tr>
      <w:tr w:rsidR="00C30DA5" w:rsidTr="00EC2660">
        <w:trPr>
          <w:tblHeader/>
        </w:trPr>
        <w:tc>
          <w:tcPr>
            <w:tcW w:w="2448" w:type="dxa"/>
            <w:shd w:val="clear" w:color="auto" w:fill="DBE5F1" w:themeFill="accent1" w:themeFillTint="33"/>
          </w:tcPr>
          <w:p w:rsidR="00C30DA5" w:rsidRPr="00C67635" w:rsidRDefault="002B6825" w:rsidP="00EC2660">
            <w:pPr>
              <w:rPr>
                <w:rFonts w:asciiTheme="minorHAnsi" w:hAnsiTheme="minorHAnsi"/>
                <w:sz w:val="22"/>
                <w:szCs w:val="22"/>
              </w:rPr>
            </w:pPr>
            <w:r>
              <w:rPr>
                <w:rFonts w:asciiTheme="minorHAnsi" w:hAnsiTheme="minorHAnsi"/>
                <w:sz w:val="22"/>
                <w:szCs w:val="22"/>
              </w:rPr>
              <w:t>Eco. d</w:t>
            </w:r>
            <w:r w:rsidR="00C30DA5" w:rsidRPr="00C67635">
              <w:rPr>
                <w:rFonts w:asciiTheme="minorHAnsi" w:hAnsiTheme="minorHAnsi"/>
                <w:sz w:val="22"/>
                <w:szCs w:val="22"/>
              </w:rPr>
              <w:t>is</w:t>
            </w:r>
            <w:r w:rsidR="00C30DA5">
              <w:rPr>
                <w:rFonts w:asciiTheme="minorHAnsi" w:hAnsiTheme="minorHAnsi"/>
                <w:sz w:val="22"/>
                <w:szCs w:val="22"/>
              </w:rPr>
              <w:t>advantaged</w:t>
            </w:r>
          </w:p>
        </w:tc>
        <w:tc>
          <w:tcPr>
            <w:tcW w:w="1710" w:type="dxa"/>
            <w:shd w:val="clear" w:color="auto" w:fill="DBE5F1" w:themeFill="accent1" w:themeFillTint="33"/>
          </w:tcPr>
          <w:p w:rsidR="00C30DA5" w:rsidRPr="00C67635" w:rsidRDefault="00C30DA5" w:rsidP="00EC2660">
            <w:pPr>
              <w:jc w:val="center"/>
              <w:rPr>
                <w:rFonts w:asciiTheme="minorHAnsi" w:hAnsiTheme="minorHAnsi"/>
                <w:sz w:val="22"/>
                <w:szCs w:val="22"/>
              </w:rPr>
            </w:pPr>
            <w:r>
              <w:rPr>
                <w:rFonts w:asciiTheme="minorHAnsi" w:hAnsiTheme="minorHAnsi"/>
                <w:sz w:val="22"/>
                <w:szCs w:val="22"/>
              </w:rPr>
              <w:t>18.4%</w:t>
            </w:r>
          </w:p>
        </w:tc>
        <w:tc>
          <w:tcPr>
            <w:tcW w:w="720" w:type="dxa"/>
            <w:vMerge/>
            <w:vAlign w:val="center"/>
          </w:tcPr>
          <w:p w:rsidR="00C30DA5" w:rsidRPr="00C67635" w:rsidRDefault="00C30DA5" w:rsidP="00EC2660">
            <w:pPr>
              <w:jc w:val="center"/>
              <w:rPr>
                <w:rFonts w:asciiTheme="minorHAnsi" w:hAnsiTheme="minorHAnsi"/>
                <w:b/>
                <w:sz w:val="22"/>
                <w:szCs w:val="22"/>
              </w:rPr>
            </w:pPr>
          </w:p>
        </w:tc>
        <w:tc>
          <w:tcPr>
            <w:tcW w:w="1620" w:type="dxa"/>
            <w:shd w:val="clear" w:color="auto" w:fill="DBE5F1" w:themeFill="accent1" w:themeFillTint="33"/>
          </w:tcPr>
          <w:p w:rsidR="00C30DA5" w:rsidRPr="00C67635"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ign w:val="center"/>
          </w:tcPr>
          <w:p w:rsidR="00C30DA5" w:rsidRPr="00351E0A" w:rsidRDefault="00C30DA5" w:rsidP="00EC2660">
            <w:pPr>
              <w:jc w:val="center"/>
              <w:rPr>
                <w:rFonts w:asciiTheme="minorHAnsi" w:hAnsiTheme="minorHAnsi"/>
                <w:sz w:val="22"/>
                <w:szCs w:val="22"/>
              </w:rPr>
            </w:pPr>
          </w:p>
        </w:tc>
        <w:tc>
          <w:tcPr>
            <w:tcW w:w="1440" w:type="dxa"/>
            <w:shd w:val="clear" w:color="auto" w:fill="DBE5F1" w:themeFill="accent1" w:themeFillTint="33"/>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5.8%</w:t>
            </w:r>
          </w:p>
        </w:tc>
        <w:tc>
          <w:tcPr>
            <w:tcW w:w="810" w:type="dxa"/>
            <w:vMerge/>
            <w:vAlign w:val="center"/>
          </w:tcPr>
          <w:p w:rsidR="00C30DA5" w:rsidRPr="00C67635" w:rsidRDefault="00C30DA5" w:rsidP="00EC2660">
            <w:pPr>
              <w:jc w:val="center"/>
              <w:rPr>
                <w:rFonts w:asciiTheme="minorHAnsi" w:hAnsiTheme="minorHAnsi"/>
                <w:b/>
                <w:sz w:val="22"/>
                <w:szCs w:val="22"/>
              </w:rPr>
            </w:pPr>
          </w:p>
        </w:tc>
      </w:tr>
      <w:tr w:rsidR="00C30DA5" w:rsidRPr="00A14BFA" w:rsidTr="00EC2660">
        <w:trPr>
          <w:tblHeader/>
        </w:trPr>
        <w:tc>
          <w:tcPr>
            <w:tcW w:w="2448" w:type="dxa"/>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White students</w:t>
            </w:r>
          </w:p>
        </w:tc>
        <w:tc>
          <w:tcPr>
            <w:tcW w:w="1710" w:type="dxa"/>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13.3%</w:t>
            </w:r>
          </w:p>
        </w:tc>
        <w:tc>
          <w:tcPr>
            <w:tcW w:w="72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1.43</w:t>
            </w:r>
          </w:p>
        </w:tc>
        <w:tc>
          <w:tcPr>
            <w:tcW w:w="1620" w:type="dxa"/>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restart"/>
            <w:vAlign w:val="center"/>
          </w:tcPr>
          <w:p w:rsidR="00C30DA5" w:rsidRPr="00351E0A" w:rsidRDefault="00C30DA5" w:rsidP="00EC2660">
            <w:pPr>
              <w:jc w:val="center"/>
              <w:rPr>
                <w:rFonts w:asciiTheme="minorHAnsi" w:hAnsiTheme="minorHAnsi"/>
                <w:sz w:val="22"/>
                <w:szCs w:val="22"/>
              </w:rPr>
            </w:pPr>
            <w:r w:rsidRPr="00351E0A">
              <w:rPr>
                <w:rFonts w:asciiTheme="minorHAnsi" w:hAnsiTheme="minorHAnsi"/>
                <w:sz w:val="22"/>
                <w:szCs w:val="22"/>
              </w:rPr>
              <w:t>*</w:t>
            </w:r>
          </w:p>
        </w:tc>
        <w:tc>
          <w:tcPr>
            <w:tcW w:w="1440" w:type="dxa"/>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3.1%</w:t>
            </w:r>
          </w:p>
        </w:tc>
        <w:tc>
          <w:tcPr>
            <w:tcW w:w="81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1.79</w:t>
            </w:r>
          </w:p>
        </w:tc>
      </w:tr>
      <w:tr w:rsidR="00C30DA5" w:rsidRPr="00A14BFA" w:rsidTr="00EC2660">
        <w:trPr>
          <w:tblHeader/>
        </w:trPr>
        <w:tc>
          <w:tcPr>
            <w:tcW w:w="2448" w:type="dxa"/>
            <w:shd w:val="clear" w:color="auto" w:fill="DBE5F1" w:themeFill="accent1" w:themeFillTint="33"/>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Students of color</w:t>
            </w:r>
          </w:p>
        </w:tc>
        <w:tc>
          <w:tcPr>
            <w:tcW w:w="1710" w:type="dxa"/>
            <w:shd w:val="clear" w:color="auto" w:fill="DBE5F1" w:themeFill="accent1" w:themeFillTint="33"/>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19.0%</w:t>
            </w:r>
          </w:p>
        </w:tc>
        <w:tc>
          <w:tcPr>
            <w:tcW w:w="720" w:type="dxa"/>
            <w:vMerge/>
            <w:vAlign w:val="center"/>
          </w:tcPr>
          <w:p w:rsidR="00C30DA5" w:rsidRPr="00A14BFA" w:rsidRDefault="00C30DA5" w:rsidP="00EC2660">
            <w:pPr>
              <w:jc w:val="center"/>
              <w:rPr>
                <w:rFonts w:asciiTheme="minorHAnsi" w:hAnsiTheme="minorHAnsi"/>
                <w:b/>
                <w:sz w:val="22"/>
                <w:szCs w:val="22"/>
              </w:rPr>
            </w:pPr>
          </w:p>
        </w:tc>
        <w:tc>
          <w:tcPr>
            <w:tcW w:w="1620" w:type="dxa"/>
            <w:shd w:val="clear" w:color="auto" w:fill="DBE5F1" w:themeFill="accent1" w:themeFillTint="33"/>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ign w:val="center"/>
          </w:tcPr>
          <w:p w:rsidR="00C30DA5" w:rsidRPr="00351E0A" w:rsidRDefault="00C30DA5" w:rsidP="00EC2660">
            <w:pPr>
              <w:jc w:val="center"/>
              <w:rPr>
                <w:rFonts w:asciiTheme="minorHAnsi" w:hAnsiTheme="minorHAnsi"/>
                <w:sz w:val="22"/>
                <w:szCs w:val="22"/>
              </w:rPr>
            </w:pPr>
          </w:p>
        </w:tc>
        <w:tc>
          <w:tcPr>
            <w:tcW w:w="1440" w:type="dxa"/>
            <w:shd w:val="clear" w:color="auto" w:fill="DBE5F1" w:themeFill="accent1" w:themeFillTint="33"/>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5.5%</w:t>
            </w:r>
          </w:p>
        </w:tc>
        <w:tc>
          <w:tcPr>
            <w:tcW w:w="810" w:type="dxa"/>
            <w:vMerge/>
            <w:vAlign w:val="center"/>
          </w:tcPr>
          <w:p w:rsidR="00C30DA5" w:rsidRPr="00A14BFA" w:rsidRDefault="00C30DA5" w:rsidP="00EC2660">
            <w:pPr>
              <w:jc w:val="center"/>
              <w:rPr>
                <w:rFonts w:asciiTheme="minorHAnsi" w:hAnsiTheme="minorHAnsi"/>
                <w:b/>
                <w:sz w:val="22"/>
                <w:szCs w:val="22"/>
              </w:rPr>
            </w:pPr>
          </w:p>
        </w:tc>
      </w:tr>
      <w:tr w:rsidR="00C30DA5" w:rsidRPr="00A14BFA" w:rsidTr="00EC2660">
        <w:trPr>
          <w:tblHeader/>
        </w:trPr>
        <w:tc>
          <w:tcPr>
            <w:tcW w:w="2448" w:type="dxa"/>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Non</w:t>
            </w:r>
            <w:r>
              <w:rPr>
                <w:rFonts w:ascii="Helvetica" w:eastAsia="Helvetica" w:hAnsi="Helvetica" w:cs="Helvetica"/>
                <w:sz w:val="22"/>
                <w:szCs w:val="22"/>
              </w:rPr>
              <w:t>-</w:t>
            </w:r>
            <w:r w:rsidRPr="00A14BFA">
              <w:rPr>
                <w:rFonts w:asciiTheme="minorHAnsi" w:hAnsiTheme="minorHAnsi"/>
                <w:sz w:val="22"/>
                <w:szCs w:val="22"/>
              </w:rPr>
              <w:t>English learners</w:t>
            </w:r>
          </w:p>
        </w:tc>
        <w:tc>
          <w:tcPr>
            <w:tcW w:w="1710" w:type="dxa"/>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14.9%</w:t>
            </w:r>
          </w:p>
        </w:tc>
        <w:tc>
          <w:tcPr>
            <w:tcW w:w="72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1.39</w:t>
            </w:r>
          </w:p>
        </w:tc>
        <w:tc>
          <w:tcPr>
            <w:tcW w:w="1620" w:type="dxa"/>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restart"/>
            <w:vAlign w:val="center"/>
          </w:tcPr>
          <w:p w:rsidR="00C30DA5" w:rsidRPr="00351E0A" w:rsidRDefault="00C30DA5" w:rsidP="00EC2660">
            <w:pPr>
              <w:jc w:val="center"/>
              <w:rPr>
                <w:rFonts w:asciiTheme="minorHAnsi" w:hAnsiTheme="minorHAnsi"/>
                <w:sz w:val="22"/>
                <w:szCs w:val="22"/>
              </w:rPr>
            </w:pPr>
            <w:r w:rsidRPr="00351E0A">
              <w:rPr>
                <w:rFonts w:asciiTheme="minorHAnsi" w:hAnsiTheme="minorHAnsi"/>
                <w:sz w:val="22"/>
                <w:szCs w:val="22"/>
              </w:rPr>
              <w:t>*</w:t>
            </w:r>
          </w:p>
        </w:tc>
        <w:tc>
          <w:tcPr>
            <w:tcW w:w="1440" w:type="dxa"/>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3.8%</w:t>
            </w:r>
          </w:p>
        </w:tc>
        <w:tc>
          <w:tcPr>
            <w:tcW w:w="81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1.73</w:t>
            </w:r>
          </w:p>
        </w:tc>
      </w:tr>
      <w:tr w:rsidR="00C30DA5" w:rsidRPr="00A14BFA" w:rsidTr="00EC2660">
        <w:trPr>
          <w:tblHeader/>
        </w:trPr>
        <w:tc>
          <w:tcPr>
            <w:tcW w:w="2448" w:type="dxa"/>
            <w:shd w:val="clear" w:color="auto" w:fill="DBE5F1" w:themeFill="accent1" w:themeFillTint="33"/>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English learners</w:t>
            </w:r>
          </w:p>
        </w:tc>
        <w:tc>
          <w:tcPr>
            <w:tcW w:w="1710" w:type="dxa"/>
            <w:shd w:val="clear" w:color="auto" w:fill="DBE5F1" w:themeFill="accent1" w:themeFillTint="33"/>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20.8%</w:t>
            </w:r>
          </w:p>
        </w:tc>
        <w:tc>
          <w:tcPr>
            <w:tcW w:w="720" w:type="dxa"/>
            <w:vMerge/>
            <w:vAlign w:val="center"/>
          </w:tcPr>
          <w:p w:rsidR="00C30DA5" w:rsidRPr="00A14BFA" w:rsidRDefault="00C30DA5" w:rsidP="00EC2660">
            <w:pPr>
              <w:jc w:val="center"/>
              <w:rPr>
                <w:rFonts w:asciiTheme="minorHAnsi" w:hAnsiTheme="minorHAnsi"/>
                <w:b/>
                <w:sz w:val="22"/>
                <w:szCs w:val="22"/>
              </w:rPr>
            </w:pPr>
          </w:p>
        </w:tc>
        <w:tc>
          <w:tcPr>
            <w:tcW w:w="1620" w:type="dxa"/>
            <w:shd w:val="clear" w:color="auto" w:fill="DBE5F1" w:themeFill="accent1" w:themeFillTint="33"/>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ign w:val="center"/>
          </w:tcPr>
          <w:p w:rsidR="00C30DA5" w:rsidRPr="00351E0A" w:rsidRDefault="00C30DA5" w:rsidP="00EC2660">
            <w:pPr>
              <w:jc w:val="center"/>
              <w:rPr>
                <w:rFonts w:asciiTheme="minorHAnsi" w:hAnsiTheme="minorHAnsi"/>
                <w:sz w:val="22"/>
                <w:szCs w:val="22"/>
              </w:rPr>
            </w:pPr>
          </w:p>
        </w:tc>
        <w:tc>
          <w:tcPr>
            <w:tcW w:w="1440" w:type="dxa"/>
            <w:shd w:val="clear" w:color="auto" w:fill="DBE5F1" w:themeFill="accent1" w:themeFillTint="33"/>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6.5%</w:t>
            </w:r>
          </w:p>
        </w:tc>
        <w:tc>
          <w:tcPr>
            <w:tcW w:w="810" w:type="dxa"/>
            <w:vMerge/>
            <w:vAlign w:val="center"/>
          </w:tcPr>
          <w:p w:rsidR="00C30DA5" w:rsidRPr="00A14BFA" w:rsidRDefault="00C30DA5" w:rsidP="00EC2660">
            <w:pPr>
              <w:jc w:val="center"/>
              <w:rPr>
                <w:rFonts w:asciiTheme="minorHAnsi" w:hAnsiTheme="minorHAnsi"/>
                <w:b/>
                <w:sz w:val="22"/>
                <w:szCs w:val="22"/>
              </w:rPr>
            </w:pPr>
          </w:p>
        </w:tc>
      </w:tr>
      <w:tr w:rsidR="00C30DA5" w:rsidRPr="00A14BFA" w:rsidTr="00EC2660">
        <w:trPr>
          <w:tblHeader/>
        </w:trPr>
        <w:tc>
          <w:tcPr>
            <w:tcW w:w="2448" w:type="dxa"/>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Students without disabilities</w:t>
            </w:r>
          </w:p>
        </w:tc>
        <w:tc>
          <w:tcPr>
            <w:tcW w:w="1710" w:type="dxa"/>
            <w:vAlign w:val="center"/>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15.4%</w:t>
            </w:r>
          </w:p>
        </w:tc>
        <w:tc>
          <w:tcPr>
            <w:tcW w:w="72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1.01</w:t>
            </w:r>
          </w:p>
        </w:tc>
        <w:tc>
          <w:tcPr>
            <w:tcW w:w="1620" w:type="dxa"/>
            <w:vAlign w:val="center"/>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val="restart"/>
            <w:vAlign w:val="center"/>
          </w:tcPr>
          <w:p w:rsidR="00C30DA5" w:rsidRPr="00351E0A" w:rsidRDefault="00C30DA5" w:rsidP="00EC2660">
            <w:pPr>
              <w:jc w:val="center"/>
              <w:rPr>
                <w:rFonts w:asciiTheme="minorHAnsi" w:hAnsiTheme="minorHAnsi"/>
                <w:sz w:val="22"/>
                <w:szCs w:val="22"/>
              </w:rPr>
            </w:pPr>
            <w:r w:rsidRPr="00351E0A">
              <w:rPr>
                <w:rFonts w:asciiTheme="minorHAnsi" w:hAnsiTheme="minorHAnsi"/>
                <w:sz w:val="22"/>
                <w:szCs w:val="22"/>
              </w:rPr>
              <w:t>*</w:t>
            </w:r>
          </w:p>
        </w:tc>
        <w:tc>
          <w:tcPr>
            <w:tcW w:w="1440" w:type="dxa"/>
            <w:vAlign w:val="center"/>
          </w:tcPr>
          <w:p w:rsidR="00C30DA5" w:rsidRPr="00351E0A" w:rsidRDefault="00C30DA5" w:rsidP="00EC2660">
            <w:pPr>
              <w:jc w:val="center"/>
              <w:rPr>
                <w:rFonts w:asciiTheme="minorHAnsi" w:hAnsiTheme="minorHAnsi"/>
                <w:sz w:val="22"/>
                <w:szCs w:val="22"/>
              </w:rPr>
            </w:pPr>
            <w:r>
              <w:rPr>
                <w:rFonts w:asciiTheme="minorHAnsi" w:hAnsiTheme="minorHAnsi"/>
                <w:sz w:val="22"/>
                <w:szCs w:val="22"/>
              </w:rPr>
              <w:t>3.9%</w:t>
            </w:r>
          </w:p>
        </w:tc>
        <w:tc>
          <w:tcPr>
            <w:tcW w:w="810" w:type="dxa"/>
            <w:vMerge w:val="restart"/>
            <w:vAlign w:val="center"/>
          </w:tcPr>
          <w:p w:rsidR="00C30DA5" w:rsidRPr="00A14BFA" w:rsidRDefault="00C30DA5" w:rsidP="00EC2660">
            <w:pPr>
              <w:jc w:val="center"/>
              <w:rPr>
                <w:rFonts w:asciiTheme="minorHAnsi" w:hAnsiTheme="minorHAnsi"/>
                <w:b/>
                <w:sz w:val="22"/>
                <w:szCs w:val="22"/>
              </w:rPr>
            </w:pPr>
            <w:r>
              <w:rPr>
                <w:rFonts w:asciiTheme="minorHAnsi" w:hAnsiTheme="minorHAnsi"/>
                <w:b/>
                <w:sz w:val="22"/>
                <w:szCs w:val="22"/>
              </w:rPr>
              <w:t>1.11</w:t>
            </w:r>
          </w:p>
        </w:tc>
      </w:tr>
      <w:tr w:rsidR="00C30DA5" w:rsidRPr="00A14BFA" w:rsidTr="00EC2660">
        <w:trPr>
          <w:tblHeader/>
        </w:trPr>
        <w:tc>
          <w:tcPr>
            <w:tcW w:w="2448" w:type="dxa"/>
            <w:shd w:val="clear" w:color="auto" w:fill="DBE5F1" w:themeFill="accent1" w:themeFillTint="33"/>
          </w:tcPr>
          <w:p w:rsidR="00C30DA5" w:rsidRPr="00A14BFA" w:rsidRDefault="00C30DA5" w:rsidP="00EC2660">
            <w:pPr>
              <w:rPr>
                <w:rFonts w:asciiTheme="minorHAnsi" w:hAnsiTheme="minorHAnsi"/>
                <w:sz w:val="22"/>
                <w:szCs w:val="22"/>
              </w:rPr>
            </w:pPr>
            <w:r w:rsidRPr="00A14BFA">
              <w:rPr>
                <w:rFonts w:asciiTheme="minorHAnsi" w:hAnsiTheme="minorHAnsi"/>
                <w:sz w:val="22"/>
                <w:szCs w:val="22"/>
              </w:rPr>
              <w:t>Students with disabilities</w:t>
            </w:r>
          </w:p>
        </w:tc>
        <w:tc>
          <w:tcPr>
            <w:tcW w:w="1710" w:type="dxa"/>
            <w:shd w:val="clear" w:color="auto" w:fill="DBE5F1" w:themeFill="accent1" w:themeFillTint="33"/>
            <w:vAlign w:val="center"/>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15.5%</w:t>
            </w:r>
          </w:p>
        </w:tc>
        <w:tc>
          <w:tcPr>
            <w:tcW w:w="720" w:type="dxa"/>
            <w:vMerge/>
          </w:tcPr>
          <w:p w:rsidR="00C30DA5" w:rsidRPr="00A14BFA" w:rsidRDefault="00C30DA5" w:rsidP="00EC2660">
            <w:pPr>
              <w:rPr>
                <w:rFonts w:asciiTheme="minorHAnsi" w:hAnsiTheme="minorHAnsi"/>
                <w:sz w:val="22"/>
                <w:szCs w:val="22"/>
              </w:rPr>
            </w:pPr>
          </w:p>
        </w:tc>
        <w:tc>
          <w:tcPr>
            <w:tcW w:w="1620" w:type="dxa"/>
            <w:shd w:val="clear" w:color="auto" w:fill="DBE5F1" w:themeFill="accent1" w:themeFillTint="33"/>
            <w:vAlign w:val="center"/>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w:t>
            </w:r>
          </w:p>
        </w:tc>
        <w:tc>
          <w:tcPr>
            <w:tcW w:w="720" w:type="dxa"/>
            <w:vMerge/>
          </w:tcPr>
          <w:p w:rsidR="00C30DA5" w:rsidRPr="00A14BFA" w:rsidRDefault="00C30DA5" w:rsidP="00EC2660">
            <w:pPr>
              <w:rPr>
                <w:rFonts w:asciiTheme="minorHAnsi" w:hAnsiTheme="minorHAnsi"/>
                <w:sz w:val="22"/>
                <w:szCs w:val="22"/>
              </w:rPr>
            </w:pPr>
          </w:p>
        </w:tc>
        <w:tc>
          <w:tcPr>
            <w:tcW w:w="1440" w:type="dxa"/>
            <w:shd w:val="clear" w:color="auto" w:fill="DBE5F1" w:themeFill="accent1" w:themeFillTint="33"/>
            <w:vAlign w:val="center"/>
          </w:tcPr>
          <w:p w:rsidR="00C30DA5" w:rsidRPr="00A14BFA" w:rsidRDefault="00C30DA5" w:rsidP="00EC2660">
            <w:pPr>
              <w:jc w:val="center"/>
              <w:rPr>
                <w:rFonts w:asciiTheme="minorHAnsi" w:hAnsiTheme="minorHAnsi"/>
                <w:sz w:val="22"/>
                <w:szCs w:val="22"/>
              </w:rPr>
            </w:pPr>
            <w:r>
              <w:rPr>
                <w:rFonts w:asciiTheme="minorHAnsi" w:hAnsiTheme="minorHAnsi"/>
                <w:sz w:val="22"/>
                <w:szCs w:val="22"/>
              </w:rPr>
              <w:t>4.3%</w:t>
            </w:r>
          </w:p>
        </w:tc>
        <w:tc>
          <w:tcPr>
            <w:tcW w:w="810" w:type="dxa"/>
            <w:vMerge/>
          </w:tcPr>
          <w:p w:rsidR="00C30DA5" w:rsidRPr="00A14BFA" w:rsidRDefault="00C30DA5" w:rsidP="00EC2660">
            <w:pPr>
              <w:rPr>
                <w:rFonts w:asciiTheme="minorHAnsi" w:hAnsiTheme="minorHAnsi"/>
              </w:rPr>
            </w:pPr>
          </w:p>
        </w:tc>
      </w:tr>
    </w:tbl>
    <w:p w:rsidR="00510013" w:rsidRPr="00404D1A" w:rsidRDefault="00510013" w:rsidP="00510013">
      <w:pPr>
        <w:pStyle w:val="Footer"/>
        <w:rPr>
          <w:rFonts w:asciiTheme="minorHAnsi" w:hAnsiTheme="minorHAnsi"/>
          <w:i/>
          <w:sz w:val="20"/>
          <w:szCs w:val="20"/>
        </w:rPr>
      </w:pPr>
      <w:r w:rsidRPr="00404D1A">
        <w:rPr>
          <w:rFonts w:asciiTheme="minorHAnsi" w:hAnsiTheme="minorHAnsi"/>
          <w:i/>
          <w:sz w:val="20"/>
          <w:szCs w:val="20"/>
        </w:rPr>
        <w:t xml:space="preserve">* Due to </w:t>
      </w:r>
      <w:r w:rsidR="000A5FE5">
        <w:rPr>
          <w:rFonts w:asciiTheme="minorHAnsi" w:hAnsiTheme="minorHAnsi"/>
          <w:i/>
          <w:sz w:val="20"/>
          <w:szCs w:val="20"/>
        </w:rPr>
        <w:t xml:space="preserve">a </w:t>
      </w:r>
      <w:r w:rsidRPr="00404D1A">
        <w:rPr>
          <w:rFonts w:asciiTheme="minorHAnsi" w:hAnsiTheme="minorHAnsi"/>
          <w:i/>
          <w:sz w:val="20"/>
          <w:szCs w:val="20"/>
        </w:rPr>
        <w:t xml:space="preserve">shift to </w:t>
      </w:r>
      <w:r w:rsidR="000A5FE5">
        <w:rPr>
          <w:rFonts w:asciiTheme="minorHAnsi" w:hAnsiTheme="minorHAnsi"/>
          <w:i/>
          <w:sz w:val="20"/>
          <w:szCs w:val="20"/>
        </w:rPr>
        <w:t xml:space="preserve">a </w:t>
      </w:r>
      <w:r w:rsidRPr="00404D1A">
        <w:rPr>
          <w:rFonts w:asciiTheme="minorHAnsi" w:hAnsiTheme="minorHAnsi"/>
          <w:i/>
          <w:sz w:val="20"/>
          <w:szCs w:val="20"/>
        </w:rPr>
        <w:t>new method of calculating rates of assignment to in</w:t>
      </w:r>
      <w:r w:rsidR="00441AF8">
        <w:rPr>
          <w:rFonts w:ascii="Helvetica" w:eastAsia="Helvetica" w:hAnsi="Helvetica" w:cs="Helvetica"/>
          <w:i/>
          <w:sz w:val="20"/>
          <w:szCs w:val="20"/>
        </w:rPr>
        <w:t>-</w:t>
      </w:r>
      <w:r w:rsidRPr="00404D1A">
        <w:rPr>
          <w:rFonts w:asciiTheme="minorHAnsi" w:hAnsiTheme="minorHAnsi"/>
          <w:i/>
          <w:sz w:val="20"/>
          <w:szCs w:val="20"/>
        </w:rPr>
        <w:t>field and out</w:t>
      </w:r>
      <w:r w:rsidR="00441AF8">
        <w:rPr>
          <w:rFonts w:ascii="Helvetica" w:eastAsia="Helvetica" w:hAnsi="Helvetica" w:cs="Helvetica"/>
          <w:i/>
          <w:sz w:val="20"/>
          <w:szCs w:val="20"/>
        </w:rPr>
        <w:t>-</w:t>
      </w:r>
      <w:r w:rsidRPr="00404D1A">
        <w:rPr>
          <w:rFonts w:asciiTheme="minorHAnsi" w:hAnsiTheme="minorHAnsi"/>
          <w:i/>
          <w:sz w:val="20"/>
          <w:szCs w:val="20"/>
        </w:rPr>
        <w:t>of</w:t>
      </w:r>
      <w:r w:rsidR="00441AF8">
        <w:rPr>
          <w:rFonts w:ascii="Helvetica" w:eastAsia="Helvetica" w:hAnsi="Helvetica" w:cs="Helvetica"/>
          <w:i/>
          <w:sz w:val="20"/>
          <w:szCs w:val="20"/>
        </w:rPr>
        <w:t>-</w:t>
      </w:r>
      <w:r w:rsidRPr="00404D1A">
        <w:rPr>
          <w:rFonts w:asciiTheme="minorHAnsi" w:hAnsiTheme="minorHAnsi"/>
          <w:i/>
          <w:sz w:val="20"/>
          <w:szCs w:val="20"/>
        </w:rPr>
        <w:t xml:space="preserve">field teachers, this data is not yet available statewide. See </w:t>
      </w:r>
      <w:hyperlink w:anchor="_Equity_Gap_3:" w:history="1">
        <w:r w:rsidRPr="00FC332E">
          <w:rPr>
            <w:rStyle w:val="Hyperlink"/>
            <w:rFonts w:asciiTheme="minorHAnsi" w:hAnsiTheme="minorHAnsi"/>
            <w:i/>
            <w:sz w:val="20"/>
            <w:szCs w:val="20"/>
          </w:rPr>
          <w:t>Educator Qualifications</w:t>
        </w:r>
      </w:hyperlink>
      <w:r w:rsidRPr="00404D1A">
        <w:rPr>
          <w:rFonts w:asciiTheme="minorHAnsi" w:hAnsiTheme="minorHAnsi"/>
          <w:i/>
          <w:sz w:val="20"/>
          <w:szCs w:val="20"/>
        </w:rPr>
        <w:t xml:space="preserve"> </w:t>
      </w:r>
      <w:r>
        <w:rPr>
          <w:rFonts w:asciiTheme="minorHAnsi" w:hAnsiTheme="minorHAnsi"/>
          <w:i/>
          <w:sz w:val="20"/>
          <w:szCs w:val="20"/>
        </w:rPr>
        <w:t xml:space="preserve">for </w:t>
      </w:r>
      <w:r w:rsidRPr="00404D1A">
        <w:rPr>
          <w:rFonts w:asciiTheme="minorHAnsi" w:hAnsiTheme="minorHAnsi"/>
          <w:i/>
          <w:sz w:val="20"/>
          <w:szCs w:val="20"/>
        </w:rPr>
        <w:t>details.</w:t>
      </w:r>
    </w:p>
    <w:p w:rsidR="0043202D" w:rsidRDefault="0043202D" w:rsidP="003B7214">
      <w:pPr>
        <w:rPr>
          <w:rFonts w:asciiTheme="minorHAnsi" w:hAnsiTheme="minorHAnsi"/>
          <w:b/>
          <w:sz w:val="22"/>
          <w:szCs w:val="22"/>
        </w:rPr>
      </w:pPr>
    </w:p>
    <w:p w:rsidR="00510013" w:rsidRPr="003B7214" w:rsidRDefault="003B7214" w:rsidP="003B7214">
      <w:pPr>
        <w:rPr>
          <w:rFonts w:asciiTheme="minorHAnsi" w:hAnsiTheme="minorHAnsi"/>
          <w:b/>
          <w:sz w:val="22"/>
          <w:szCs w:val="22"/>
        </w:rPr>
      </w:pPr>
      <w:r w:rsidRPr="00084C83">
        <w:rPr>
          <w:rFonts w:asciiTheme="minorHAnsi" w:hAnsiTheme="minorHAnsi"/>
          <w:b/>
          <w:sz w:val="22"/>
          <w:szCs w:val="22"/>
        </w:rPr>
        <w:t xml:space="preserve">Table </w:t>
      </w:r>
      <w:r>
        <w:rPr>
          <w:rFonts w:asciiTheme="minorHAnsi" w:hAnsiTheme="minorHAnsi"/>
          <w:b/>
          <w:sz w:val="22"/>
          <w:szCs w:val="22"/>
        </w:rPr>
        <w:t xml:space="preserve">5: </w:t>
      </w:r>
      <w:r w:rsidRPr="003B7214">
        <w:rPr>
          <w:rFonts w:asciiTheme="minorHAnsi" w:hAnsiTheme="minorHAnsi"/>
          <w:b/>
          <w:sz w:val="22"/>
          <w:szCs w:val="22"/>
        </w:rPr>
        <w:t>Statewide student assignment data o</w:t>
      </w:r>
      <w:r w:rsidR="00017FEC">
        <w:rPr>
          <w:rFonts w:asciiTheme="minorHAnsi" w:hAnsiTheme="minorHAnsi"/>
          <w:b/>
          <w:sz w:val="22"/>
          <w:szCs w:val="22"/>
        </w:rPr>
        <w:t>f</w:t>
      </w:r>
      <w:r w:rsidRPr="003B7214">
        <w:rPr>
          <w:rFonts w:asciiTheme="minorHAnsi" w:hAnsiTheme="minorHAnsi"/>
          <w:b/>
          <w:sz w:val="22"/>
          <w:szCs w:val="22"/>
        </w:rPr>
        <w:t xml:space="preserve"> subgroups: 201</w:t>
      </w:r>
      <w:r>
        <w:rPr>
          <w:rFonts w:asciiTheme="minorHAnsi" w:hAnsiTheme="minorHAnsi"/>
          <w:b/>
          <w:sz w:val="22"/>
          <w:szCs w:val="22"/>
        </w:rPr>
        <w:t>5</w:t>
      </w:r>
      <w:r w:rsidRPr="003B7214">
        <w:rPr>
          <w:rFonts w:asciiTheme="minorHAnsi" w:hAnsiTheme="minorHAnsi"/>
          <w:b/>
          <w:sz w:val="22"/>
          <w:szCs w:val="22"/>
        </w:rPr>
        <w:t>–</w:t>
      </w:r>
      <w:r>
        <w:rPr>
          <w:rFonts w:asciiTheme="minorHAnsi" w:hAnsiTheme="minorHAnsi"/>
          <w:b/>
          <w:sz w:val="22"/>
          <w:szCs w:val="22"/>
        </w:rPr>
        <w:t>16</w:t>
      </w:r>
    </w:p>
    <w:tbl>
      <w:tblPr>
        <w:tblStyle w:val="TableGrid"/>
        <w:tblW w:w="9378" w:type="dxa"/>
        <w:tblLayout w:type="fixed"/>
        <w:tblLook w:val="04A0" w:firstRow="1" w:lastRow="0" w:firstColumn="1" w:lastColumn="0" w:noHBand="0" w:noVBand="1"/>
        <w:tblDescription w:val="Statewide student assignment data of subgroups: 2015-16"/>
      </w:tblPr>
      <w:tblGrid>
        <w:gridCol w:w="2448"/>
        <w:gridCol w:w="1710"/>
        <w:gridCol w:w="720"/>
        <w:gridCol w:w="1710"/>
        <w:gridCol w:w="720"/>
        <w:gridCol w:w="1350"/>
        <w:gridCol w:w="720"/>
      </w:tblGrid>
      <w:tr w:rsidR="00510013" w:rsidTr="00CE049F">
        <w:trPr>
          <w:trHeight w:val="1133"/>
          <w:tblHeader/>
        </w:trPr>
        <w:tc>
          <w:tcPr>
            <w:tcW w:w="2448" w:type="dxa"/>
          </w:tcPr>
          <w:p w:rsidR="00510013" w:rsidRPr="00C67635" w:rsidRDefault="00510013" w:rsidP="00BF4DF6">
            <w:pPr>
              <w:rPr>
                <w:rFonts w:asciiTheme="minorHAnsi" w:hAnsiTheme="minorHAnsi"/>
                <w:sz w:val="22"/>
                <w:szCs w:val="22"/>
              </w:rPr>
            </w:pPr>
          </w:p>
        </w:tc>
        <w:tc>
          <w:tcPr>
            <w:tcW w:w="1710" w:type="dxa"/>
            <w:shd w:val="clear" w:color="auto" w:fill="4F81BD" w:themeFill="accent1"/>
          </w:tcPr>
          <w:p w:rsidR="00510013" w:rsidRPr="00C67635" w:rsidRDefault="00510013" w:rsidP="0014337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teachers with &lt;3 years of experience</w:t>
            </w:r>
          </w:p>
        </w:tc>
        <w:tc>
          <w:tcPr>
            <w:tcW w:w="720" w:type="dxa"/>
            <w:shd w:val="clear" w:color="auto" w:fill="4F81BD" w:themeFill="accent1"/>
          </w:tcPr>
          <w:p w:rsidR="00510013" w:rsidRPr="00C67635" w:rsidRDefault="00510013" w:rsidP="0014337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710" w:type="dxa"/>
            <w:shd w:val="clear" w:color="auto" w:fill="4F81BD" w:themeFill="accent1"/>
          </w:tcPr>
          <w:p w:rsidR="00510013" w:rsidRPr="00C67635" w:rsidRDefault="00510013" w:rsidP="0014337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non</w:t>
            </w:r>
            <w:r w:rsidR="00441AF8">
              <w:rPr>
                <w:rFonts w:ascii="Helvetica" w:eastAsia="Helvetica" w:hAnsi="Helvetica" w:cs="Helvetica"/>
                <w:b/>
                <w:color w:val="FFFFFF" w:themeColor="background1"/>
                <w:sz w:val="22"/>
                <w:szCs w:val="22"/>
              </w:rPr>
              <w:t>-</w:t>
            </w:r>
            <w:r w:rsidRPr="00C67635">
              <w:rPr>
                <w:rFonts w:asciiTheme="minorHAnsi" w:hAnsiTheme="minorHAnsi"/>
                <w:b/>
                <w:color w:val="FFFFFF" w:themeColor="background1"/>
                <w:sz w:val="22"/>
                <w:szCs w:val="22"/>
              </w:rPr>
              <w:t>Highly Qualified teachers</w:t>
            </w:r>
          </w:p>
        </w:tc>
        <w:tc>
          <w:tcPr>
            <w:tcW w:w="720" w:type="dxa"/>
            <w:shd w:val="clear" w:color="auto" w:fill="4F81BD" w:themeFill="accent1"/>
          </w:tcPr>
          <w:p w:rsidR="00510013" w:rsidRPr="00C67635" w:rsidRDefault="00510013" w:rsidP="0014337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c>
          <w:tcPr>
            <w:tcW w:w="1350" w:type="dxa"/>
            <w:shd w:val="clear" w:color="auto" w:fill="4F81BD" w:themeFill="accent1"/>
          </w:tcPr>
          <w:p w:rsidR="00510013" w:rsidRPr="00C67635" w:rsidRDefault="00510013" w:rsidP="00BD5CC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 of experiences with lower</w:t>
            </w:r>
            <w:r w:rsidR="00BD5CCE">
              <w:rPr>
                <w:rFonts w:ascii="Helvetica" w:eastAsia="Helvetica" w:hAnsi="Helvetica" w:cs="Helvetica"/>
                <w:b/>
                <w:color w:val="FFFFFF" w:themeColor="background1"/>
                <w:sz w:val="22"/>
                <w:szCs w:val="22"/>
              </w:rPr>
              <w:t xml:space="preserve"> </w:t>
            </w:r>
            <w:r w:rsidRPr="00C67635">
              <w:rPr>
                <w:rFonts w:asciiTheme="minorHAnsi" w:hAnsiTheme="minorHAnsi"/>
                <w:b/>
                <w:color w:val="FFFFFF" w:themeColor="background1"/>
                <w:sz w:val="22"/>
                <w:szCs w:val="22"/>
              </w:rPr>
              <w:t>rated teachers</w:t>
            </w:r>
          </w:p>
        </w:tc>
        <w:tc>
          <w:tcPr>
            <w:tcW w:w="720" w:type="dxa"/>
            <w:shd w:val="clear" w:color="auto" w:fill="4F81BD" w:themeFill="accent1"/>
          </w:tcPr>
          <w:p w:rsidR="00510013" w:rsidRPr="00C67635" w:rsidRDefault="00510013" w:rsidP="0014337E">
            <w:pPr>
              <w:jc w:val="center"/>
              <w:rPr>
                <w:rFonts w:asciiTheme="minorHAnsi" w:hAnsiTheme="minorHAnsi"/>
                <w:b/>
                <w:color w:val="FFFFFF" w:themeColor="background1"/>
                <w:sz w:val="22"/>
                <w:szCs w:val="22"/>
              </w:rPr>
            </w:pPr>
            <w:r w:rsidRPr="00C67635">
              <w:rPr>
                <w:rFonts w:asciiTheme="minorHAnsi" w:hAnsiTheme="minorHAnsi"/>
                <w:b/>
                <w:color w:val="FFFFFF" w:themeColor="background1"/>
                <w:sz w:val="22"/>
                <w:szCs w:val="22"/>
              </w:rPr>
              <w:t>Risk ratio</w:t>
            </w:r>
          </w:p>
        </w:tc>
      </w:tr>
      <w:tr w:rsidR="000A5FE5" w:rsidRPr="00893EA0" w:rsidTr="00A04CD7">
        <w:trPr>
          <w:trHeight w:val="296"/>
        </w:trPr>
        <w:tc>
          <w:tcPr>
            <w:tcW w:w="2448" w:type="dxa"/>
          </w:tcPr>
          <w:p w:rsidR="000A5FE5" w:rsidRPr="00893EA0" w:rsidRDefault="000A5FE5" w:rsidP="00BF4DF6">
            <w:pPr>
              <w:rPr>
                <w:rFonts w:asciiTheme="minorHAnsi" w:hAnsiTheme="minorHAnsi"/>
                <w:sz w:val="22"/>
                <w:szCs w:val="22"/>
              </w:rPr>
            </w:pPr>
            <w:r>
              <w:rPr>
                <w:rFonts w:asciiTheme="minorHAnsi" w:hAnsiTheme="minorHAnsi"/>
                <w:sz w:val="22"/>
                <w:szCs w:val="22"/>
              </w:rPr>
              <w:t>Non</w:t>
            </w:r>
            <w:r w:rsidR="00441AF8">
              <w:rPr>
                <w:rFonts w:ascii="Helvetica" w:eastAsia="Helvetica" w:hAnsi="Helvetica" w:cs="Helvetica"/>
                <w:sz w:val="22"/>
                <w:szCs w:val="22"/>
              </w:rPr>
              <w:t>-</w:t>
            </w:r>
            <w:r>
              <w:rPr>
                <w:rFonts w:asciiTheme="minorHAnsi" w:hAnsiTheme="minorHAnsi"/>
                <w:sz w:val="22"/>
                <w:szCs w:val="22"/>
              </w:rPr>
              <w:t>eco. disadvantaged</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14.7%</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1.28</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2.3%</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2.47</w:t>
            </w:r>
          </w:p>
        </w:tc>
        <w:tc>
          <w:tcPr>
            <w:tcW w:w="135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3.7%</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1.91</w:t>
            </w:r>
          </w:p>
        </w:tc>
      </w:tr>
      <w:tr w:rsidR="000A5FE5" w:rsidRPr="00893EA0" w:rsidTr="00A04CD7">
        <w:tc>
          <w:tcPr>
            <w:tcW w:w="2448" w:type="dxa"/>
            <w:shd w:val="clear" w:color="auto" w:fill="DBE5F1" w:themeFill="accent1" w:themeFillTint="33"/>
          </w:tcPr>
          <w:p w:rsidR="000A5FE5" w:rsidRPr="00893EA0" w:rsidRDefault="000A5FE5" w:rsidP="00BF4DF6">
            <w:pPr>
              <w:rPr>
                <w:rFonts w:asciiTheme="minorHAnsi" w:hAnsiTheme="minorHAnsi"/>
                <w:sz w:val="22"/>
                <w:szCs w:val="22"/>
              </w:rPr>
            </w:pPr>
            <w:r>
              <w:rPr>
                <w:rFonts w:asciiTheme="minorHAnsi" w:hAnsiTheme="minorHAnsi"/>
                <w:sz w:val="22"/>
                <w:szCs w:val="22"/>
              </w:rPr>
              <w:t>Eco. disadvantaged</w:t>
            </w: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18.8%</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5.6%</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35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7.1%</w:t>
            </w:r>
          </w:p>
        </w:tc>
        <w:tc>
          <w:tcPr>
            <w:tcW w:w="720" w:type="dxa"/>
            <w:vMerge/>
            <w:vAlign w:val="center"/>
          </w:tcPr>
          <w:p w:rsidR="000A5FE5" w:rsidRPr="00893EA0" w:rsidRDefault="000A5FE5" w:rsidP="00893EA0">
            <w:pPr>
              <w:jc w:val="center"/>
              <w:rPr>
                <w:rFonts w:asciiTheme="minorHAnsi" w:hAnsiTheme="minorHAnsi"/>
                <w:b/>
                <w:sz w:val="22"/>
                <w:szCs w:val="22"/>
              </w:rPr>
            </w:pPr>
          </w:p>
        </w:tc>
      </w:tr>
      <w:tr w:rsidR="000A5FE5" w:rsidRPr="00893EA0" w:rsidTr="00A04CD7">
        <w:tc>
          <w:tcPr>
            <w:tcW w:w="2448" w:type="dxa"/>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White students</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13.8%</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1.41</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1.6%</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3.61</w:t>
            </w:r>
          </w:p>
        </w:tc>
        <w:tc>
          <w:tcPr>
            <w:tcW w:w="135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3.4%</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1.98</w:t>
            </w:r>
          </w:p>
        </w:tc>
      </w:tr>
      <w:tr w:rsidR="000A5FE5" w:rsidRPr="00893EA0" w:rsidTr="00A04CD7">
        <w:tc>
          <w:tcPr>
            <w:tcW w:w="2448" w:type="dxa"/>
            <w:shd w:val="clear" w:color="auto" w:fill="DBE5F1" w:themeFill="accent1" w:themeFillTint="33"/>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Students of color</w:t>
            </w: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19.5%</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5.9%</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35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6.8%</w:t>
            </w:r>
          </w:p>
        </w:tc>
        <w:tc>
          <w:tcPr>
            <w:tcW w:w="720" w:type="dxa"/>
            <w:vMerge/>
            <w:vAlign w:val="center"/>
          </w:tcPr>
          <w:p w:rsidR="000A5FE5" w:rsidRPr="00893EA0" w:rsidRDefault="000A5FE5" w:rsidP="00893EA0">
            <w:pPr>
              <w:jc w:val="center"/>
              <w:rPr>
                <w:rFonts w:asciiTheme="minorHAnsi" w:hAnsiTheme="minorHAnsi"/>
                <w:b/>
                <w:sz w:val="22"/>
                <w:szCs w:val="22"/>
              </w:rPr>
            </w:pPr>
          </w:p>
        </w:tc>
      </w:tr>
      <w:tr w:rsidR="000A5FE5" w:rsidRPr="00893EA0" w:rsidTr="00A04CD7">
        <w:tc>
          <w:tcPr>
            <w:tcW w:w="2448" w:type="dxa"/>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Non</w:t>
            </w:r>
            <w:r w:rsidR="00441AF8">
              <w:rPr>
                <w:rFonts w:ascii="Helvetica" w:eastAsia="Helvetica" w:hAnsi="Helvetica" w:cs="Helvetica"/>
                <w:sz w:val="22"/>
                <w:szCs w:val="22"/>
              </w:rPr>
              <w:t>-</w:t>
            </w:r>
            <w:r w:rsidRPr="00A14BFA">
              <w:rPr>
                <w:rFonts w:asciiTheme="minorHAnsi" w:hAnsiTheme="minorHAnsi"/>
                <w:sz w:val="22"/>
                <w:szCs w:val="22"/>
              </w:rPr>
              <w:t>English learners</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15.5%</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1.34</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2.9%</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2.56</w:t>
            </w:r>
          </w:p>
        </w:tc>
        <w:tc>
          <w:tcPr>
            <w:tcW w:w="135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4.4%</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1.77</w:t>
            </w:r>
          </w:p>
        </w:tc>
      </w:tr>
      <w:tr w:rsidR="000A5FE5" w:rsidRPr="00893EA0" w:rsidTr="00A04CD7">
        <w:tc>
          <w:tcPr>
            <w:tcW w:w="2448" w:type="dxa"/>
            <w:shd w:val="clear" w:color="auto" w:fill="DBE5F1" w:themeFill="accent1" w:themeFillTint="33"/>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English learners</w:t>
            </w: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20.8%</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7.3%</w:t>
            </w:r>
          </w:p>
        </w:tc>
        <w:tc>
          <w:tcPr>
            <w:tcW w:w="720" w:type="dxa"/>
            <w:vMerge/>
            <w:vAlign w:val="center"/>
          </w:tcPr>
          <w:p w:rsidR="000A5FE5" w:rsidRPr="00893EA0" w:rsidRDefault="000A5FE5" w:rsidP="00893EA0">
            <w:pPr>
              <w:jc w:val="center"/>
              <w:rPr>
                <w:rFonts w:asciiTheme="minorHAnsi" w:hAnsiTheme="minorHAnsi"/>
                <w:b/>
                <w:sz w:val="22"/>
                <w:szCs w:val="22"/>
              </w:rPr>
            </w:pPr>
          </w:p>
        </w:tc>
        <w:tc>
          <w:tcPr>
            <w:tcW w:w="135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7.8%</w:t>
            </w:r>
          </w:p>
        </w:tc>
        <w:tc>
          <w:tcPr>
            <w:tcW w:w="720" w:type="dxa"/>
            <w:vMerge/>
            <w:vAlign w:val="center"/>
          </w:tcPr>
          <w:p w:rsidR="000A5FE5" w:rsidRPr="00893EA0" w:rsidRDefault="000A5FE5" w:rsidP="00893EA0">
            <w:pPr>
              <w:jc w:val="center"/>
              <w:rPr>
                <w:rFonts w:asciiTheme="minorHAnsi" w:hAnsiTheme="minorHAnsi"/>
                <w:b/>
                <w:sz w:val="22"/>
                <w:szCs w:val="22"/>
              </w:rPr>
            </w:pPr>
          </w:p>
        </w:tc>
      </w:tr>
      <w:tr w:rsidR="000A5FE5" w:rsidRPr="00893EA0" w:rsidTr="00A04CD7">
        <w:tc>
          <w:tcPr>
            <w:tcW w:w="2448" w:type="dxa"/>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Students without disabilities</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15.8%</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1.01</w:t>
            </w:r>
          </w:p>
        </w:tc>
        <w:tc>
          <w:tcPr>
            <w:tcW w:w="171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2.9%</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1.55</w:t>
            </w:r>
          </w:p>
        </w:tc>
        <w:tc>
          <w:tcPr>
            <w:tcW w:w="1350" w:type="dxa"/>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4.5%</w:t>
            </w:r>
          </w:p>
        </w:tc>
        <w:tc>
          <w:tcPr>
            <w:tcW w:w="720" w:type="dxa"/>
            <w:vMerge w:val="restart"/>
            <w:vAlign w:val="center"/>
          </w:tcPr>
          <w:p w:rsidR="000A5FE5" w:rsidRPr="00893EA0" w:rsidRDefault="000A5FE5" w:rsidP="00893EA0">
            <w:pPr>
              <w:jc w:val="center"/>
              <w:rPr>
                <w:rFonts w:asciiTheme="minorHAnsi" w:hAnsiTheme="minorHAnsi"/>
                <w:b/>
                <w:sz w:val="22"/>
                <w:szCs w:val="22"/>
              </w:rPr>
            </w:pPr>
            <w:r w:rsidRPr="00893EA0">
              <w:rPr>
                <w:rFonts w:asciiTheme="minorHAnsi" w:hAnsiTheme="minorHAnsi"/>
                <w:b/>
                <w:sz w:val="22"/>
                <w:szCs w:val="22"/>
              </w:rPr>
              <w:t>1.14</w:t>
            </w:r>
          </w:p>
        </w:tc>
      </w:tr>
      <w:tr w:rsidR="000A5FE5" w:rsidRPr="00893EA0" w:rsidTr="00A04CD7">
        <w:tc>
          <w:tcPr>
            <w:tcW w:w="2448" w:type="dxa"/>
            <w:shd w:val="clear" w:color="auto" w:fill="DBE5F1" w:themeFill="accent1" w:themeFillTint="33"/>
          </w:tcPr>
          <w:p w:rsidR="000A5FE5" w:rsidRPr="00893EA0" w:rsidRDefault="000A5FE5" w:rsidP="00BF4DF6">
            <w:pPr>
              <w:rPr>
                <w:rFonts w:asciiTheme="minorHAnsi" w:hAnsiTheme="minorHAnsi"/>
                <w:sz w:val="22"/>
                <w:szCs w:val="22"/>
              </w:rPr>
            </w:pPr>
            <w:r w:rsidRPr="00A14BFA">
              <w:rPr>
                <w:rFonts w:asciiTheme="minorHAnsi" w:hAnsiTheme="minorHAnsi"/>
                <w:sz w:val="22"/>
                <w:szCs w:val="22"/>
              </w:rPr>
              <w:t>Students with disabilities</w:t>
            </w: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16.0%</w:t>
            </w:r>
          </w:p>
        </w:tc>
        <w:tc>
          <w:tcPr>
            <w:tcW w:w="720" w:type="dxa"/>
            <w:vMerge/>
          </w:tcPr>
          <w:p w:rsidR="000A5FE5" w:rsidRPr="00893EA0" w:rsidRDefault="000A5FE5" w:rsidP="00893EA0">
            <w:pPr>
              <w:jc w:val="center"/>
              <w:rPr>
                <w:rFonts w:asciiTheme="minorHAnsi" w:hAnsiTheme="minorHAnsi"/>
                <w:sz w:val="22"/>
                <w:szCs w:val="22"/>
              </w:rPr>
            </w:pPr>
          </w:p>
        </w:tc>
        <w:tc>
          <w:tcPr>
            <w:tcW w:w="171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4.6%</w:t>
            </w:r>
          </w:p>
        </w:tc>
        <w:tc>
          <w:tcPr>
            <w:tcW w:w="720" w:type="dxa"/>
            <w:vMerge/>
          </w:tcPr>
          <w:p w:rsidR="000A5FE5" w:rsidRPr="00893EA0" w:rsidRDefault="000A5FE5" w:rsidP="00893EA0">
            <w:pPr>
              <w:jc w:val="center"/>
              <w:rPr>
                <w:rFonts w:asciiTheme="minorHAnsi" w:hAnsiTheme="minorHAnsi"/>
                <w:sz w:val="22"/>
                <w:szCs w:val="22"/>
              </w:rPr>
            </w:pPr>
          </w:p>
        </w:tc>
        <w:tc>
          <w:tcPr>
            <w:tcW w:w="1350" w:type="dxa"/>
            <w:shd w:val="clear" w:color="auto" w:fill="DBE5F1" w:themeFill="accent1" w:themeFillTint="33"/>
            <w:vAlign w:val="bottom"/>
          </w:tcPr>
          <w:p w:rsidR="000A5FE5" w:rsidRPr="00893EA0" w:rsidRDefault="000A5FE5" w:rsidP="00893EA0">
            <w:pPr>
              <w:jc w:val="center"/>
              <w:rPr>
                <w:rFonts w:asciiTheme="minorHAnsi" w:hAnsiTheme="minorHAnsi"/>
                <w:sz w:val="22"/>
                <w:szCs w:val="22"/>
              </w:rPr>
            </w:pPr>
            <w:r w:rsidRPr="00893EA0">
              <w:rPr>
                <w:rFonts w:asciiTheme="minorHAnsi" w:hAnsiTheme="minorHAnsi"/>
                <w:sz w:val="22"/>
                <w:szCs w:val="22"/>
              </w:rPr>
              <w:t>5.1%</w:t>
            </w:r>
          </w:p>
        </w:tc>
        <w:tc>
          <w:tcPr>
            <w:tcW w:w="720" w:type="dxa"/>
            <w:vMerge/>
          </w:tcPr>
          <w:p w:rsidR="000A5FE5" w:rsidRPr="00893EA0" w:rsidRDefault="000A5FE5" w:rsidP="00BF4DF6">
            <w:pPr>
              <w:rPr>
                <w:rFonts w:asciiTheme="minorHAnsi" w:hAnsiTheme="minorHAnsi"/>
              </w:rPr>
            </w:pPr>
          </w:p>
        </w:tc>
      </w:tr>
    </w:tbl>
    <w:p w:rsidR="001459B7" w:rsidRDefault="001459B7" w:rsidP="00510013">
      <w:pPr>
        <w:rPr>
          <w:rFonts w:asciiTheme="minorHAnsi" w:hAnsiTheme="minorHAnsi"/>
          <w:sz w:val="22"/>
          <w:szCs w:val="22"/>
        </w:rPr>
      </w:pPr>
    </w:p>
    <w:p w:rsidR="00745662" w:rsidRDefault="00745662" w:rsidP="00510013">
      <w:pPr>
        <w:rPr>
          <w:rFonts w:asciiTheme="minorHAnsi" w:hAnsiTheme="minorHAnsi"/>
          <w:sz w:val="22"/>
          <w:szCs w:val="22"/>
        </w:rPr>
      </w:pPr>
    </w:p>
    <w:p w:rsidR="00FB0BAB" w:rsidRPr="00A26836" w:rsidRDefault="00A26836" w:rsidP="00A26836">
      <w:pPr>
        <w:pStyle w:val="Heading2"/>
        <w:rPr>
          <w:rFonts w:asciiTheme="minorHAnsi" w:hAnsiTheme="minorHAnsi"/>
          <w:sz w:val="30"/>
          <w:szCs w:val="30"/>
        </w:rPr>
      </w:pPr>
      <w:bookmarkStart w:id="44" w:name="_Toc509831835"/>
      <w:r w:rsidRPr="00A26836">
        <w:rPr>
          <w:rFonts w:asciiTheme="minorHAnsi" w:hAnsiTheme="minorHAnsi"/>
          <w:sz w:val="30"/>
          <w:szCs w:val="30"/>
        </w:rPr>
        <w:lastRenderedPageBreak/>
        <w:t xml:space="preserve">Appendix D.1: </w:t>
      </w:r>
      <w:r w:rsidR="00FB0BAB" w:rsidRPr="00A26836">
        <w:rPr>
          <w:rFonts w:asciiTheme="minorHAnsi" w:hAnsiTheme="minorHAnsi"/>
          <w:sz w:val="30"/>
          <w:szCs w:val="30"/>
        </w:rPr>
        <w:t>Teachers with low ratings</w:t>
      </w:r>
      <w:bookmarkEnd w:id="44"/>
    </w:p>
    <w:p w:rsidR="00FB0BAB" w:rsidRDefault="00126C9E" w:rsidP="00FB0BAB">
      <w:pPr>
        <w:rPr>
          <w:rFonts w:asciiTheme="minorHAnsi" w:hAnsiTheme="minorHAnsi"/>
          <w:sz w:val="22"/>
          <w:szCs w:val="22"/>
        </w:rPr>
      </w:pPr>
      <w:r>
        <w:rPr>
          <w:rFonts w:asciiTheme="minorHAnsi" w:hAnsiTheme="minorHAnsi"/>
          <w:sz w:val="22"/>
          <w:szCs w:val="22"/>
        </w:rPr>
        <w:t>Graphs 5 and 6 show</w:t>
      </w:r>
      <w:r w:rsidR="00A26836" w:rsidRPr="006425EF">
        <w:rPr>
          <w:rFonts w:asciiTheme="minorHAnsi" w:hAnsiTheme="minorHAnsi"/>
          <w:sz w:val="22"/>
          <w:szCs w:val="22"/>
        </w:rPr>
        <w:t xml:space="preserve"> </w:t>
      </w:r>
      <w:r w:rsidR="00A26836">
        <w:rPr>
          <w:rFonts w:asciiTheme="minorHAnsi" w:hAnsiTheme="minorHAnsi"/>
          <w:sz w:val="22"/>
          <w:szCs w:val="22"/>
        </w:rPr>
        <w:t xml:space="preserve">the proportion of students assigned to at least one teacher rated Needs Improvement/Unsatisfactory in a given year. Unlike the data on </w:t>
      </w:r>
      <w:hyperlink w:anchor="_Appendix_D:_Longitudinal" w:history="1">
        <w:r w:rsidR="00A26836" w:rsidRPr="00A26836">
          <w:rPr>
            <w:rStyle w:val="Hyperlink"/>
            <w:rFonts w:asciiTheme="minorHAnsi" w:hAnsiTheme="minorHAnsi"/>
            <w:sz w:val="22"/>
            <w:szCs w:val="22"/>
          </w:rPr>
          <w:t xml:space="preserve">page </w:t>
        </w:r>
        <w:r w:rsidR="00983216">
          <w:rPr>
            <w:rStyle w:val="Hyperlink"/>
            <w:rFonts w:asciiTheme="minorHAnsi" w:hAnsiTheme="minorHAnsi"/>
            <w:sz w:val="22"/>
            <w:szCs w:val="22"/>
          </w:rPr>
          <w:t>20</w:t>
        </w:r>
      </w:hyperlink>
      <w:r w:rsidR="00A26836">
        <w:rPr>
          <w:rFonts w:asciiTheme="minorHAnsi" w:hAnsiTheme="minorHAnsi"/>
          <w:sz w:val="22"/>
          <w:szCs w:val="22"/>
        </w:rPr>
        <w:t>, t</w:t>
      </w:r>
      <w:r>
        <w:rPr>
          <w:rFonts w:asciiTheme="minorHAnsi" w:hAnsiTheme="minorHAnsi"/>
          <w:sz w:val="22"/>
          <w:szCs w:val="22"/>
        </w:rPr>
        <w:t>hese graphs show</w:t>
      </w:r>
      <w:r w:rsidR="00A26836">
        <w:rPr>
          <w:rFonts w:asciiTheme="minorHAnsi" w:hAnsiTheme="minorHAnsi"/>
          <w:sz w:val="22"/>
          <w:szCs w:val="22"/>
        </w:rPr>
        <w:t xml:space="preserve"> the </w:t>
      </w:r>
      <w:r>
        <w:rPr>
          <w:rFonts w:asciiTheme="minorHAnsi" w:hAnsiTheme="minorHAnsi"/>
          <w:sz w:val="22"/>
          <w:szCs w:val="22"/>
        </w:rPr>
        <w:t>percent</w:t>
      </w:r>
      <w:r w:rsidR="00A26836">
        <w:rPr>
          <w:rFonts w:asciiTheme="minorHAnsi" w:hAnsiTheme="minorHAnsi"/>
          <w:sz w:val="22"/>
          <w:szCs w:val="22"/>
        </w:rPr>
        <w:t xml:space="preserve"> of </w:t>
      </w:r>
      <w:r w:rsidR="00A26836">
        <w:rPr>
          <w:rFonts w:asciiTheme="minorHAnsi" w:hAnsiTheme="minorHAnsi"/>
          <w:i/>
          <w:sz w:val="22"/>
          <w:szCs w:val="22"/>
        </w:rPr>
        <w:t>student</w:t>
      </w:r>
      <w:r w:rsidR="00A26836">
        <w:rPr>
          <w:rFonts w:asciiTheme="minorHAnsi" w:hAnsiTheme="minorHAnsi"/>
          <w:sz w:val="22"/>
          <w:szCs w:val="22"/>
        </w:rPr>
        <w:t>s</w:t>
      </w:r>
      <w:r>
        <w:rPr>
          <w:rFonts w:asciiTheme="minorHAnsi" w:hAnsiTheme="minorHAnsi"/>
          <w:sz w:val="22"/>
          <w:szCs w:val="22"/>
        </w:rPr>
        <w:t xml:space="preserve"> with lower rated teachers, not</w:t>
      </w:r>
      <w:r w:rsidR="00A26836">
        <w:rPr>
          <w:rFonts w:asciiTheme="minorHAnsi" w:hAnsiTheme="minorHAnsi"/>
          <w:sz w:val="22"/>
          <w:szCs w:val="22"/>
        </w:rPr>
        <w:t xml:space="preserve"> of </w:t>
      </w:r>
      <w:r w:rsidR="00A26836">
        <w:rPr>
          <w:rFonts w:asciiTheme="minorHAnsi" w:hAnsiTheme="minorHAnsi"/>
          <w:i/>
          <w:sz w:val="22"/>
          <w:szCs w:val="22"/>
        </w:rPr>
        <w:t>course assignments</w:t>
      </w:r>
      <w:r w:rsidR="00A26836">
        <w:t xml:space="preserve"> </w:t>
      </w:r>
      <w:r w:rsidR="00A26836" w:rsidRPr="006425EF">
        <w:rPr>
          <w:rFonts w:asciiTheme="minorHAnsi" w:hAnsiTheme="minorHAnsi"/>
          <w:sz w:val="22"/>
          <w:szCs w:val="22"/>
        </w:rPr>
        <w:t xml:space="preserve">with </w:t>
      </w:r>
      <w:r w:rsidR="00A26836">
        <w:rPr>
          <w:rFonts w:asciiTheme="minorHAnsi" w:hAnsiTheme="minorHAnsi"/>
          <w:sz w:val="22"/>
          <w:szCs w:val="22"/>
        </w:rPr>
        <w:t xml:space="preserve">lower rated </w:t>
      </w:r>
      <w:r w:rsidR="00A26836" w:rsidRPr="006425EF">
        <w:rPr>
          <w:rFonts w:asciiTheme="minorHAnsi" w:hAnsiTheme="minorHAnsi"/>
          <w:sz w:val="22"/>
          <w:szCs w:val="22"/>
        </w:rPr>
        <w:t>teachers.</w:t>
      </w:r>
      <w:r w:rsidR="00A26836">
        <w:rPr>
          <w:rFonts w:asciiTheme="minorHAnsi" w:hAnsiTheme="minorHAnsi"/>
          <w:sz w:val="22"/>
          <w:szCs w:val="22"/>
        </w:rPr>
        <w:t xml:space="preserve"> </w:t>
      </w:r>
      <w:r>
        <w:rPr>
          <w:rFonts w:asciiTheme="minorHAnsi" w:hAnsiTheme="minorHAnsi"/>
          <w:sz w:val="22"/>
          <w:szCs w:val="22"/>
        </w:rPr>
        <w:t>As an example, the first bar indicates that among</w:t>
      </w:r>
      <w:r w:rsidR="00A26836">
        <w:rPr>
          <w:rFonts w:asciiTheme="minorHAnsi" w:hAnsiTheme="minorHAnsi"/>
          <w:sz w:val="22"/>
          <w:szCs w:val="22"/>
        </w:rPr>
        <w:t xml:space="preserve"> all non-economically disadvantaged students, </w:t>
      </w:r>
      <w:r w:rsidR="00B51CA1">
        <w:rPr>
          <w:rFonts w:asciiTheme="minorHAnsi" w:hAnsiTheme="minorHAnsi"/>
          <w:sz w:val="22"/>
          <w:szCs w:val="22"/>
        </w:rPr>
        <w:t>11.2</w:t>
      </w:r>
      <w:r w:rsidR="00A26836">
        <w:rPr>
          <w:rFonts w:asciiTheme="minorHAnsi" w:hAnsiTheme="minorHAnsi"/>
          <w:sz w:val="22"/>
          <w:szCs w:val="22"/>
        </w:rPr>
        <w:t xml:space="preserve"> percent of the students had one or more teachers </w:t>
      </w:r>
      <w:r w:rsidR="00B51CA1">
        <w:rPr>
          <w:rFonts w:asciiTheme="minorHAnsi" w:hAnsiTheme="minorHAnsi"/>
          <w:sz w:val="22"/>
          <w:szCs w:val="22"/>
        </w:rPr>
        <w:t xml:space="preserve">rated Needs Improvement/Unsatisfactory </w:t>
      </w:r>
      <w:r>
        <w:rPr>
          <w:rFonts w:asciiTheme="minorHAnsi" w:hAnsiTheme="minorHAnsi"/>
          <w:sz w:val="22"/>
          <w:szCs w:val="22"/>
        </w:rPr>
        <w:t>in</w:t>
      </w:r>
      <w:r w:rsidR="00A26836">
        <w:rPr>
          <w:rFonts w:asciiTheme="minorHAnsi" w:hAnsiTheme="minorHAnsi"/>
          <w:sz w:val="22"/>
          <w:szCs w:val="22"/>
        </w:rPr>
        <w:t xml:space="preserve"> 2016–17.</w:t>
      </w:r>
    </w:p>
    <w:p w:rsidR="002C6BA7" w:rsidRPr="00A26836" w:rsidRDefault="002C6BA7" w:rsidP="00FB0BAB">
      <w:pPr>
        <w:rPr>
          <w:rFonts w:asciiTheme="minorHAnsi" w:hAnsiTheme="minorHAnsi"/>
          <w:sz w:val="22"/>
          <w:szCs w:val="22"/>
        </w:rPr>
      </w:pPr>
    </w:p>
    <w:tbl>
      <w:tblPr>
        <w:tblStyle w:val="TableGrid"/>
        <w:tblW w:w="0" w:type="auto"/>
        <w:tblLook w:val="04A0" w:firstRow="1" w:lastRow="0" w:firstColumn="1" w:lastColumn="0" w:noHBand="0" w:noVBand="1"/>
        <w:tblDescription w:val="Percent of students assigned to one or more teachers rated Needs Improvement/Unsatisfactory, 2016-17 and 2015-16"/>
      </w:tblPr>
      <w:tblGrid>
        <w:gridCol w:w="9350"/>
      </w:tblGrid>
      <w:tr w:rsidR="00FB0BAB" w:rsidTr="008C4916">
        <w:trPr>
          <w:trHeight w:val="4760"/>
          <w:tblHeader/>
        </w:trPr>
        <w:tc>
          <w:tcPr>
            <w:tcW w:w="9576" w:type="dxa"/>
          </w:tcPr>
          <w:p w:rsidR="003B38F8" w:rsidRDefault="000D62C8" w:rsidP="00C11550">
            <w:pPr>
              <w:jc w:val="center"/>
            </w:pPr>
            <w:r>
              <w:rPr>
                <w:noProof/>
                <w:lang w:eastAsia="zh-CN"/>
              </w:rPr>
              <w:drawing>
                <wp:anchor distT="0" distB="0" distL="114300" distR="114300" simplePos="0" relativeHeight="251675648" behindDoc="0" locked="0" layoutInCell="1" allowOverlap="1" wp14:anchorId="45154D77" wp14:editId="5D49B2EF">
                  <wp:simplePos x="0" y="0"/>
                  <wp:positionH relativeFrom="column">
                    <wp:posOffset>476250</wp:posOffset>
                  </wp:positionH>
                  <wp:positionV relativeFrom="paragraph">
                    <wp:posOffset>128270</wp:posOffset>
                  </wp:positionV>
                  <wp:extent cx="5013198" cy="2487168"/>
                  <wp:effectExtent l="19050" t="0" r="0" b="0"/>
                  <wp:wrapNone/>
                  <wp:docPr id="7" name="Picture 7" descr="Graph 5: Percent of students assigned to one or more teachers rated Needs Improvement/Unsatisfactory, 2016-17&#10;Non-economically disadvantaged: 11.2%&#10;Economically disadvantaged: 17.0&#10;White students: 10.9%&#10;Students of color: 16.2%&#10;Non-EL: 12.6%&#10;EL: 16.0%&#10;Students without disabilities: 13.0%&#10;Students with disabilities: 1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cstate="print"/>
                          <a:stretch>
                            <a:fillRect/>
                          </a:stretch>
                        </pic:blipFill>
                        <pic:spPr bwMode="auto">
                          <a:xfrm>
                            <a:off x="0" y="0"/>
                            <a:ext cx="5013198" cy="2487168"/>
                          </a:xfrm>
                          <a:prstGeom prst="rect">
                            <a:avLst/>
                          </a:prstGeom>
                          <a:noFill/>
                          <a:ln w="9525">
                            <a:noFill/>
                            <a:miter lim="800000"/>
                            <a:headEnd/>
                            <a:tailEnd/>
                          </a:ln>
                        </pic:spPr>
                      </pic:pic>
                    </a:graphicData>
                  </a:graphic>
                </wp:anchor>
              </w:drawing>
            </w:r>
          </w:p>
          <w:p w:rsidR="00FB0BAB" w:rsidRDefault="005F100A" w:rsidP="00C11550">
            <w:pPr>
              <w:jc w:val="center"/>
            </w:pPr>
            <w:r>
              <w:rPr>
                <w:noProof/>
                <w:lang w:eastAsia="zh-CN"/>
              </w:rPr>
              <mc:AlternateContent>
                <mc:Choice Requires="wps">
                  <w:drawing>
                    <wp:anchor distT="0" distB="0" distL="114300" distR="114300" simplePos="0" relativeHeight="251667456" behindDoc="0" locked="0" layoutInCell="1" allowOverlap="1" wp14:anchorId="6F625975" wp14:editId="309BE47F">
                      <wp:simplePos x="0" y="0"/>
                      <wp:positionH relativeFrom="column">
                        <wp:posOffset>914400</wp:posOffset>
                      </wp:positionH>
                      <wp:positionV relativeFrom="paragraph">
                        <wp:posOffset>2554605</wp:posOffset>
                      </wp:positionV>
                      <wp:extent cx="4796155" cy="259715"/>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FB0BAB">
                                  <w:pPr>
                                    <w:jc w:val="center"/>
                                    <w:rPr>
                                      <w:rFonts w:asciiTheme="minorHAnsi" w:hAnsiTheme="minorHAnsi"/>
                                      <w:i/>
                                      <w:sz w:val="20"/>
                                      <w:szCs w:val="20"/>
                                    </w:rPr>
                                  </w:pPr>
                                  <w:r w:rsidRPr="00996470">
                                    <w:rPr>
                                      <w:rFonts w:asciiTheme="minorHAnsi" w:hAnsiTheme="minorHAnsi"/>
                                      <w:i/>
                                      <w:sz w:val="20"/>
                                      <w:szCs w:val="20"/>
                                    </w:rPr>
                                    <w:t>N size =953,748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625975" id="Text Box 12" o:spid="_x0000_s1029" type="#_x0000_t202" style="position:absolute;left:0;text-align:left;margin-left:1in;margin-top:201.15pt;width:377.6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" stroked="f">
                      <v:textbox>
                        <w:txbxContent>
                          <w:p w:rsidR="002E3D26" w:rsidRPr="00996470" w:rsidRDefault="002E3D26" w:rsidP="00FB0BAB">
                            <w:pPr>
                              <w:jc w:val="center"/>
                              <w:rPr>
                                <w:rFonts w:asciiTheme="minorHAnsi" w:hAnsiTheme="minorHAnsi"/>
                                <w:i/>
                                <w:sz w:val="20"/>
                                <w:szCs w:val="20"/>
                              </w:rPr>
                            </w:pPr>
                            <w:r w:rsidRPr="00996470">
                              <w:rPr>
                                <w:rFonts w:asciiTheme="minorHAnsi" w:hAnsiTheme="minorHAnsi"/>
                                <w:i/>
                                <w:sz w:val="20"/>
                                <w:szCs w:val="20"/>
                              </w:rPr>
                              <w:t>N size =953,748 total students</w:t>
                            </w:r>
                          </w:p>
                        </w:txbxContent>
                      </v:textbox>
                    </v:shape>
                  </w:pict>
                </mc:Fallback>
              </mc:AlternateContent>
            </w:r>
          </w:p>
        </w:tc>
      </w:tr>
      <w:tr w:rsidR="00FB0BAB" w:rsidTr="008C4916">
        <w:trPr>
          <w:trHeight w:val="4670"/>
          <w:tblHeader/>
        </w:trPr>
        <w:tc>
          <w:tcPr>
            <w:tcW w:w="9576" w:type="dxa"/>
          </w:tcPr>
          <w:p w:rsidR="00FB0BAB" w:rsidRDefault="000D62C8" w:rsidP="003A7BC6">
            <w:r>
              <w:rPr>
                <w:noProof/>
                <w:lang w:eastAsia="zh-CN"/>
              </w:rPr>
              <w:drawing>
                <wp:anchor distT="0" distB="0" distL="114300" distR="114300" simplePos="0" relativeHeight="251676672" behindDoc="0" locked="0" layoutInCell="1" allowOverlap="1" wp14:anchorId="2B0EC728" wp14:editId="70FB0180">
                  <wp:simplePos x="0" y="0"/>
                  <wp:positionH relativeFrom="column">
                    <wp:posOffset>285750</wp:posOffset>
                  </wp:positionH>
                  <wp:positionV relativeFrom="paragraph">
                    <wp:posOffset>128270</wp:posOffset>
                  </wp:positionV>
                  <wp:extent cx="5063163" cy="2487168"/>
                  <wp:effectExtent l="19050" t="0" r="4137" b="0"/>
                  <wp:wrapNone/>
                  <wp:docPr id="3" name="Picture 10" descr="Graph 6: Percent of students assigned to one or more teachers rated NI/U, 2015-16&#10;Non-economically disadvantaged: 11.7%&#10;Economically disadvantaged: 16.0&#10;White students: 11.5%&#10;Students of color: 15.3%&#10;Non-EL: 12.9%&#10;EL: 14.0%&#10;Students without disabilities: 12.7%&#10;Students with disabilities: 12.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srcRect/>
                          <a:stretch>
                            <a:fillRect/>
                          </a:stretch>
                        </pic:blipFill>
                        <pic:spPr bwMode="auto">
                          <a:xfrm>
                            <a:off x="0" y="0"/>
                            <a:ext cx="5063163" cy="2487168"/>
                          </a:xfrm>
                          <a:prstGeom prst="rect">
                            <a:avLst/>
                          </a:prstGeom>
                          <a:noFill/>
                          <a:ln w="9525">
                            <a:noFill/>
                            <a:miter lim="800000"/>
                            <a:headEnd/>
                            <a:tailEnd/>
                          </a:ln>
                        </pic:spPr>
                      </pic:pic>
                    </a:graphicData>
                  </a:graphic>
                </wp:anchor>
              </w:drawing>
            </w:r>
            <w:r>
              <w:t xml:space="preserve"> </w:t>
            </w:r>
          </w:p>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0D62C8" w:rsidP="003A7BC6"/>
          <w:p w:rsidR="000D62C8" w:rsidRDefault="005F100A" w:rsidP="003A7BC6">
            <w:r>
              <w:rPr>
                <w:noProof/>
                <w:lang w:eastAsia="zh-CN"/>
              </w:rPr>
              <mc:AlternateContent>
                <mc:Choice Requires="wps">
                  <w:drawing>
                    <wp:anchor distT="0" distB="0" distL="114300" distR="114300" simplePos="0" relativeHeight="251668480" behindDoc="0" locked="0" layoutInCell="1" allowOverlap="1" wp14:anchorId="68757FA3" wp14:editId="78C59E90">
                      <wp:simplePos x="0" y="0"/>
                      <wp:positionH relativeFrom="column">
                        <wp:posOffset>817880</wp:posOffset>
                      </wp:positionH>
                      <wp:positionV relativeFrom="paragraph">
                        <wp:posOffset>-11430</wp:posOffset>
                      </wp:positionV>
                      <wp:extent cx="4796155" cy="259715"/>
                      <wp:effectExtent l="0" t="0" r="0" b="0"/>
                      <wp:wrapNone/>
                      <wp:docPr id="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FB0BAB">
                                  <w:pPr>
                                    <w:jc w:val="center"/>
                                    <w:rPr>
                                      <w:rFonts w:asciiTheme="minorHAnsi" w:hAnsiTheme="minorHAnsi"/>
                                      <w:i/>
                                      <w:sz w:val="20"/>
                                      <w:szCs w:val="20"/>
                                    </w:rPr>
                                  </w:pPr>
                                  <w:r w:rsidRPr="00996470">
                                    <w:rPr>
                                      <w:rFonts w:asciiTheme="minorHAnsi" w:hAnsiTheme="minorHAnsi"/>
                                      <w:i/>
                                      <w:sz w:val="20"/>
                                      <w:szCs w:val="20"/>
                                    </w:rPr>
                                    <w:t>N size =953,428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57FA3" id="Text Box 18" o:spid="_x0000_s1030" type="#_x0000_t202" style="position:absolute;margin-left:64.4pt;margin-top:-.9pt;width:377.65pt;height:20.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" stroked="f">
                      <v:textbox>
                        <w:txbxContent>
                          <w:p w:rsidR="002E3D26" w:rsidRPr="00996470" w:rsidRDefault="002E3D26" w:rsidP="00FB0BAB">
                            <w:pPr>
                              <w:jc w:val="center"/>
                              <w:rPr>
                                <w:rFonts w:asciiTheme="minorHAnsi" w:hAnsiTheme="minorHAnsi"/>
                                <w:i/>
                                <w:sz w:val="20"/>
                                <w:szCs w:val="20"/>
                              </w:rPr>
                            </w:pPr>
                            <w:r w:rsidRPr="00996470">
                              <w:rPr>
                                <w:rFonts w:asciiTheme="minorHAnsi" w:hAnsiTheme="minorHAnsi"/>
                                <w:i/>
                                <w:sz w:val="20"/>
                                <w:szCs w:val="20"/>
                              </w:rPr>
                              <w:t>N size =953,428 total students</w:t>
                            </w:r>
                          </w:p>
                        </w:txbxContent>
                      </v:textbox>
                    </v:shape>
                  </w:pict>
                </mc:Fallback>
              </mc:AlternateContent>
            </w:r>
          </w:p>
          <w:p w:rsidR="000D62C8" w:rsidRDefault="000D62C8" w:rsidP="003A7BC6"/>
        </w:tc>
      </w:tr>
    </w:tbl>
    <w:p w:rsidR="00126C9E" w:rsidRDefault="00126C9E" w:rsidP="00FB0BAB">
      <w:pPr>
        <w:rPr>
          <w:rFonts w:asciiTheme="minorHAnsi" w:hAnsiTheme="minorHAnsi"/>
          <w:sz w:val="22"/>
          <w:szCs w:val="22"/>
        </w:rPr>
      </w:pPr>
    </w:p>
    <w:p w:rsidR="00126C9E" w:rsidRDefault="00126C9E" w:rsidP="00FB0BAB">
      <w:pPr>
        <w:rPr>
          <w:rFonts w:asciiTheme="minorHAnsi" w:hAnsiTheme="minorHAnsi"/>
          <w:sz w:val="22"/>
          <w:szCs w:val="22"/>
        </w:rPr>
      </w:pPr>
    </w:p>
    <w:p w:rsidR="00126C9E" w:rsidRDefault="00126C9E" w:rsidP="00FB0BAB">
      <w:pPr>
        <w:rPr>
          <w:rFonts w:asciiTheme="minorHAnsi" w:hAnsiTheme="minorHAnsi"/>
          <w:sz w:val="22"/>
          <w:szCs w:val="22"/>
        </w:rPr>
      </w:pPr>
    </w:p>
    <w:p w:rsidR="00126C9E" w:rsidRDefault="00126C9E" w:rsidP="00FB0BAB">
      <w:pPr>
        <w:rPr>
          <w:rFonts w:asciiTheme="minorHAnsi" w:hAnsiTheme="minorHAnsi"/>
          <w:sz w:val="22"/>
          <w:szCs w:val="22"/>
        </w:rPr>
      </w:pPr>
    </w:p>
    <w:p w:rsidR="00126C9E" w:rsidRDefault="00126C9E" w:rsidP="00FB0BAB">
      <w:pPr>
        <w:rPr>
          <w:rFonts w:asciiTheme="minorHAnsi" w:hAnsiTheme="minorHAnsi"/>
          <w:sz w:val="22"/>
          <w:szCs w:val="22"/>
        </w:rPr>
      </w:pPr>
    </w:p>
    <w:p w:rsidR="00126C9E" w:rsidRPr="00A26836" w:rsidRDefault="00126C9E" w:rsidP="00126C9E">
      <w:pPr>
        <w:pStyle w:val="Heading2"/>
        <w:rPr>
          <w:rFonts w:asciiTheme="minorHAnsi" w:hAnsiTheme="minorHAnsi"/>
          <w:sz w:val="30"/>
          <w:szCs w:val="30"/>
        </w:rPr>
      </w:pPr>
      <w:bookmarkStart w:id="45" w:name="_Appendix_D.1,_cont’d.:"/>
      <w:bookmarkStart w:id="46" w:name="_Toc509240747"/>
      <w:bookmarkStart w:id="47" w:name="_Toc509241539"/>
      <w:bookmarkStart w:id="48" w:name="_Toc509831836"/>
      <w:bookmarkEnd w:id="45"/>
      <w:r w:rsidRPr="00A26836">
        <w:rPr>
          <w:rFonts w:asciiTheme="minorHAnsi" w:hAnsiTheme="minorHAnsi"/>
          <w:sz w:val="30"/>
          <w:szCs w:val="30"/>
        </w:rPr>
        <w:t>Appendix D.1</w:t>
      </w:r>
      <w:r w:rsidR="002C6BA7">
        <w:rPr>
          <w:rFonts w:asciiTheme="minorHAnsi" w:hAnsiTheme="minorHAnsi"/>
          <w:sz w:val="30"/>
          <w:szCs w:val="30"/>
        </w:rPr>
        <w:t xml:space="preserve">, </w:t>
      </w:r>
      <w:r w:rsidR="002C6BA7">
        <w:rPr>
          <w:rFonts w:asciiTheme="minorHAnsi" w:hAnsiTheme="minorHAnsi"/>
          <w:i/>
          <w:sz w:val="30"/>
          <w:szCs w:val="30"/>
        </w:rPr>
        <w:t>cont’d.</w:t>
      </w:r>
      <w:r w:rsidRPr="00A26836">
        <w:rPr>
          <w:rFonts w:asciiTheme="minorHAnsi" w:hAnsiTheme="minorHAnsi"/>
          <w:sz w:val="30"/>
          <w:szCs w:val="30"/>
        </w:rPr>
        <w:t>: Teachers with low ratings</w:t>
      </w:r>
      <w:bookmarkEnd w:id="46"/>
      <w:bookmarkEnd w:id="47"/>
      <w:bookmarkEnd w:id="48"/>
    </w:p>
    <w:p w:rsidR="00FB0BAB" w:rsidRPr="00126C9E" w:rsidRDefault="00126C9E" w:rsidP="00FB0BAB">
      <w:pPr>
        <w:rPr>
          <w:rFonts w:asciiTheme="minorHAnsi" w:hAnsiTheme="minorHAnsi"/>
          <w:sz w:val="22"/>
          <w:szCs w:val="22"/>
        </w:rPr>
      </w:pPr>
      <w:r>
        <w:rPr>
          <w:rFonts w:asciiTheme="minorHAnsi" w:hAnsiTheme="minorHAnsi"/>
          <w:sz w:val="22"/>
          <w:szCs w:val="22"/>
        </w:rPr>
        <w:t xml:space="preserve">Table 6 indicates differences across schools by demographics. “High poverty quartile” schools are in the 25 percent of schools with the </w:t>
      </w:r>
      <w:r>
        <w:rPr>
          <w:rFonts w:asciiTheme="minorHAnsi" w:hAnsiTheme="minorHAnsi"/>
          <w:i/>
          <w:sz w:val="22"/>
          <w:szCs w:val="22"/>
        </w:rPr>
        <w:t>highest</w:t>
      </w:r>
      <w:r>
        <w:rPr>
          <w:rFonts w:asciiTheme="minorHAnsi" w:hAnsiTheme="minorHAnsi"/>
          <w:sz w:val="22"/>
          <w:szCs w:val="22"/>
        </w:rPr>
        <w:t xml:space="preserve"> percentage of students in poverty, while “low poverty quartile” schools are in the 25 percent of schools with the </w:t>
      </w:r>
      <w:r>
        <w:rPr>
          <w:rFonts w:asciiTheme="minorHAnsi" w:hAnsiTheme="minorHAnsi"/>
          <w:i/>
          <w:sz w:val="22"/>
          <w:szCs w:val="22"/>
        </w:rPr>
        <w:t>lowest</w:t>
      </w:r>
      <w:r>
        <w:rPr>
          <w:rFonts w:asciiTheme="minorHAnsi" w:hAnsiTheme="minorHAnsi"/>
          <w:sz w:val="22"/>
          <w:szCs w:val="22"/>
        </w:rPr>
        <w:t xml:space="preserve"> percentage of students in poverty.</w:t>
      </w:r>
    </w:p>
    <w:p w:rsidR="00126C9E" w:rsidRDefault="00126C9E" w:rsidP="00FB0BAB">
      <w:pPr>
        <w:rPr>
          <w:rFonts w:asciiTheme="minorHAnsi" w:hAnsiTheme="minorHAnsi"/>
          <w:b/>
          <w:sz w:val="22"/>
          <w:szCs w:val="22"/>
        </w:rPr>
      </w:pPr>
    </w:p>
    <w:p w:rsidR="00FB0BAB" w:rsidRPr="00120EF0" w:rsidRDefault="00FB0BAB" w:rsidP="00FB0BAB">
      <w:r>
        <w:rPr>
          <w:rFonts w:asciiTheme="minorHAnsi" w:hAnsiTheme="minorHAnsi"/>
          <w:b/>
          <w:sz w:val="22"/>
          <w:szCs w:val="22"/>
        </w:rPr>
        <w:t>T</w:t>
      </w:r>
      <w:r w:rsidRPr="00084C83">
        <w:rPr>
          <w:rFonts w:asciiTheme="minorHAnsi" w:hAnsiTheme="minorHAnsi"/>
          <w:b/>
          <w:sz w:val="22"/>
          <w:szCs w:val="22"/>
        </w:rPr>
        <w:t xml:space="preserve">able </w:t>
      </w:r>
      <w:r w:rsidR="00126C9E">
        <w:rPr>
          <w:rFonts w:asciiTheme="minorHAnsi" w:hAnsiTheme="minorHAnsi"/>
          <w:b/>
          <w:sz w:val="22"/>
          <w:szCs w:val="22"/>
        </w:rPr>
        <w:t>6: Percent</w:t>
      </w:r>
      <w:r>
        <w:rPr>
          <w:rFonts w:asciiTheme="minorHAnsi" w:hAnsiTheme="minorHAnsi"/>
          <w:b/>
          <w:sz w:val="22"/>
          <w:szCs w:val="22"/>
        </w:rPr>
        <w:t xml:space="preserve"> teachers rated Needs Improvement/Unsatisfactory, by school demographic quartile</w:t>
      </w:r>
    </w:p>
    <w:tbl>
      <w:tblPr>
        <w:tblpPr w:leftFromText="180" w:rightFromText="180" w:vertAnchor="text" w:horzAnchor="margin" w:tblpY="119"/>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97"/>
        <w:gridCol w:w="1678"/>
        <w:gridCol w:w="1677"/>
        <w:gridCol w:w="1678"/>
        <w:gridCol w:w="1678"/>
      </w:tblGrid>
      <w:tr w:rsidR="00126C9E" w:rsidRPr="009C1EE6" w:rsidTr="00126C9E">
        <w:tc>
          <w:tcPr>
            <w:tcW w:w="1368"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rsidR="00126C9E" w:rsidRPr="009C1EE6" w:rsidRDefault="00126C9E" w:rsidP="00126C9E">
            <w:pPr>
              <w:contextualSpacing/>
              <w:jc w:val="center"/>
              <w:rPr>
                <w:rFonts w:ascii="Calibri" w:hAnsi="Calibri"/>
              </w:rPr>
            </w:pPr>
          </w:p>
        </w:tc>
        <w:tc>
          <w:tcPr>
            <w:tcW w:w="1497" w:type="dxa"/>
            <w:tcBorders>
              <w:left w:val="single" w:sz="8" w:space="0" w:color="auto"/>
            </w:tcBorders>
          </w:tcPr>
          <w:p w:rsidR="00126C9E" w:rsidRPr="00A04C5B" w:rsidRDefault="00126C9E" w:rsidP="00126C9E">
            <w:pPr>
              <w:contextualSpacing/>
              <w:jc w:val="center"/>
              <w:rPr>
                <w:rFonts w:ascii="Calibri" w:hAnsi="Calibri"/>
                <w:b/>
              </w:rPr>
            </w:pPr>
            <w:r w:rsidRPr="00A04C5B">
              <w:rPr>
                <w:rFonts w:ascii="Calibri" w:hAnsi="Calibri"/>
                <w:b/>
              </w:rPr>
              <w:t>MA All</w:t>
            </w:r>
          </w:p>
        </w:tc>
        <w:tc>
          <w:tcPr>
            <w:tcW w:w="1678" w:type="dxa"/>
          </w:tcPr>
          <w:p w:rsidR="00126C9E" w:rsidRPr="00A04C5B" w:rsidRDefault="00126C9E" w:rsidP="00126C9E">
            <w:pPr>
              <w:contextualSpacing/>
              <w:jc w:val="center"/>
              <w:rPr>
                <w:rFonts w:ascii="Calibri" w:hAnsi="Calibri"/>
                <w:b/>
              </w:rPr>
            </w:pPr>
            <w:r w:rsidRPr="00A04C5B">
              <w:rPr>
                <w:rFonts w:ascii="Calibri" w:hAnsi="Calibri"/>
                <w:b/>
              </w:rPr>
              <w:t>High poverty quartile</w:t>
            </w:r>
          </w:p>
        </w:tc>
        <w:tc>
          <w:tcPr>
            <w:tcW w:w="1677" w:type="dxa"/>
          </w:tcPr>
          <w:p w:rsidR="00126C9E" w:rsidRPr="00A04C5B" w:rsidRDefault="00126C9E" w:rsidP="00126C9E">
            <w:pPr>
              <w:contextualSpacing/>
              <w:jc w:val="center"/>
              <w:rPr>
                <w:rFonts w:ascii="Calibri" w:hAnsi="Calibri"/>
                <w:b/>
              </w:rPr>
            </w:pPr>
            <w:r w:rsidRPr="00A04C5B">
              <w:rPr>
                <w:rFonts w:ascii="Calibri" w:hAnsi="Calibri"/>
                <w:b/>
              </w:rPr>
              <w:t>Low poverty quartile</w:t>
            </w:r>
          </w:p>
        </w:tc>
        <w:tc>
          <w:tcPr>
            <w:tcW w:w="1678" w:type="dxa"/>
          </w:tcPr>
          <w:p w:rsidR="00126C9E" w:rsidRPr="00A04C5B" w:rsidRDefault="00126C9E" w:rsidP="00126C9E">
            <w:pPr>
              <w:contextualSpacing/>
              <w:jc w:val="center"/>
              <w:rPr>
                <w:rFonts w:ascii="Calibri" w:hAnsi="Calibri"/>
                <w:b/>
              </w:rPr>
            </w:pPr>
            <w:r w:rsidRPr="00A04C5B">
              <w:rPr>
                <w:rFonts w:ascii="Calibri" w:hAnsi="Calibri"/>
                <w:b/>
              </w:rPr>
              <w:t>High minority quartile</w:t>
            </w:r>
          </w:p>
        </w:tc>
        <w:tc>
          <w:tcPr>
            <w:tcW w:w="1678" w:type="dxa"/>
          </w:tcPr>
          <w:p w:rsidR="00126C9E" w:rsidRPr="00A04C5B" w:rsidRDefault="00126C9E" w:rsidP="00126C9E">
            <w:pPr>
              <w:contextualSpacing/>
              <w:jc w:val="center"/>
              <w:rPr>
                <w:rFonts w:ascii="Calibri" w:hAnsi="Calibri"/>
                <w:b/>
              </w:rPr>
            </w:pPr>
            <w:r w:rsidRPr="00A04C5B">
              <w:rPr>
                <w:rFonts w:ascii="Calibri" w:hAnsi="Calibri"/>
                <w:b/>
              </w:rPr>
              <w:t>Low minority quartile</w:t>
            </w:r>
          </w:p>
        </w:tc>
      </w:tr>
      <w:tr w:rsidR="00126C9E" w:rsidRPr="009C1EE6" w:rsidTr="00126C9E">
        <w:tc>
          <w:tcPr>
            <w:tcW w:w="1368" w:type="dxa"/>
            <w:tcBorders>
              <w:top w:val="single" w:sz="8" w:space="0" w:color="auto"/>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2016</w:t>
            </w:r>
            <w:r>
              <w:rPr>
                <w:rFonts w:ascii="Helvetica" w:eastAsia="Helvetica" w:hAnsi="Helvetica" w:cs="Helvetica"/>
                <w:b/>
              </w:rPr>
              <w:t>–</w:t>
            </w:r>
            <w:r w:rsidRPr="00A04C5B">
              <w:rPr>
                <w:rFonts w:ascii="Calibri" w:hAnsi="Calibri"/>
                <w:b/>
              </w:rPr>
              <w:t>17</w:t>
            </w:r>
          </w:p>
        </w:tc>
        <w:tc>
          <w:tcPr>
            <w:tcW w:w="1497" w:type="dxa"/>
            <w:tcBorders>
              <w:bottom w:val="single" w:sz="4" w:space="0" w:color="auto"/>
            </w:tcBorders>
          </w:tcPr>
          <w:p w:rsidR="00126C9E" w:rsidRDefault="00126C9E" w:rsidP="00126C9E">
            <w:pPr>
              <w:contextualSpacing/>
              <w:jc w:val="center"/>
              <w:rPr>
                <w:rFonts w:ascii="Calibri" w:hAnsi="Calibri"/>
              </w:rPr>
            </w:pPr>
            <w:r>
              <w:rPr>
                <w:rFonts w:ascii="Calibri" w:hAnsi="Calibri"/>
              </w:rPr>
              <w:t>4.0</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6.8</w:t>
            </w:r>
          </w:p>
        </w:tc>
        <w:tc>
          <w:tcPr>
            <w:tcW w:w="1677" w:type="dxa"/>
            <w:tcBorders>
              <w:bottom w:val="single" w:sz="4" w:space="0" w:color="auto"/>
            </w:tcBorders>
          </w:tcPr>
          <w:p w:rsidR="00126C9E" w:rsidRDefault="00126C9E" w:rsidP="00126C9E">
            <w:pPr>
              <w:contextualSpacing/>
              <w:jc w:val="center"/>
              <w:rPr>
                <w:rFonts w:ascii="Calibri" w:hAnsi="Calibri"/>
              </w:rPr>
            </w:pPr>
            <w:r>
              <w:rPr>
                <w:rFonts w:ascii="Calibri" w:hAnsi="Calibri"/>
              </w:rPr>
              <w:t>2.6</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7.5</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2.2</w:t>
            </w:r>
          </w:p>
        </w:tc>
      </w:tr>
      <w:tr w:rsidR="00126C9E" w:rsidRPr="009C1EE6" w:rsidTr="00126C9E">
        <w:tc>
          <w:tcPr>
            <w:tcW w:w="1368" w:type="dxa"/>
            <w:tcBorders>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2015</w:t>
            </w:r>
            <w:r>
              <w:rPr>
                <w:rFonts w:ascii="Helvetica" w:eastAsia="Helvetica" w:hAnsi="Helvetica" w:cs="Helvetica"/>
                <w:b/>
              </w:rPr>
              <w:t>–</w:t>
            </w:r>
            <w:r w:rsidRPr="00A04C5B">
              <w:rPr>
                <w:rFonts w:ascii="Calibri" w:hAnsi="Calibri"/>
                <w:b/>
              </w:rPr>
              <w:t>16</w:t>
            </w:r>
          </w:p>
        </w:tc>
        <w:tc>
          <w:tcPr>
            <w:tcW w:w="1497" w:type="dxa"/>
            <w:tcBorders>
              <w:bottom w:val="single" w:sz="4" w:space="0" w:color="auto"/>
            </w:tcBorders>
          </w:tcPr>
          <w:p w:rsidR="00126C9E" w:rsidRPr="009C1EE6" w:rsidRDefault="00126C9E" w:rsidP="00126C9E">
            <w:pPr>
              <w:ind w:left="-2619" w:firstLine="2619"/>
              <w:contextualSpacing/>
              <w:jc w:val="center"/>
              <w:rPr>
                <w:rFonts w:ascii="Calibri" w:hAnsi="Calibri"/>
              </w:rPr>
            </w:pPr>
            <w:r>
              <w:rPr>
                <w:rFonts w:ascii="Calibri" w:hAnsi="Calibri"/>
              </w:rPr>
              <w:t>3.8</w:t>
            </w:r>
          </w:p>
        </w:tc>
        <w:tc>
          <w:tcPr>
            <w:tcW w:w="1678" w:type="dxa"/>
            <w:tcBorders>
              <w:bottom w:val="single" w:sz="4" w:space="0" w:color="auto"/>
            </w:tcBorders>
          </w:tcPr>
          <w:p w:rsidR="00126C9E" w:rsidRPr="009C1EE6" w:rsidRDefault="00126C9E" w:rsidP="00126C9E">
            <w:pPr>
              <w:ind w:left="-2619" w:firstLine="2619"/>
              <w:contextualSpacing/>
              <w:jc w:val="center"/>
              <w:rPr>
                <w:rFonts w:ascii="Calibri" w:hAnsi="Calibri"/>
              </w:rPr>
            </w:pPr>
            <w:r>
              <w:rPr>
                <w:rFonts w:ascii="Calibri" w:hAnsi="Calibri"/>
              </w:rPr>
              <w:t>6.6</w:t>
            </w:r>
          </w:p>
        </w:tc>
        <w:tc>
          <w:tcPr>
            <w:tcW w:w="1677" w:type="dxa"/>
            <w:tcBorders>
              <w:bottom w:val="single" w:sz="4" w:space="0" w:color="auto"/>
            </w:tcBorders>
          </w:tcPr>
          <w:p w:rsidR="00126C9E" w:rsidRPr="009C1EE6" w:rsidRDefault="00126C9E" w:rsidP="00126C9E">
            <w:pPr>
              <w:ind w:left="-2619" w:firstLine="2619"/>
              <w:contextualSpacing/>
              <w:jc w:val="center"/>
              <w:rPr>
                <w:rFonts w:ascii="Calibri" w:hAnsi="Calibri"/>
              </w:rPr>
            </w:pPr>
            <w:r>
              <w:rPr>
                <w:rFonts w:ascii="Calibri" w:hAnsi="Calibri"/>
              </w:rPr>
              <w:t>2.1</w:t>
            </w:r>
          </w:p>
        </w:tc>
        <w:tc>
          <w:tcPr>
            <w:tcW w:w="1678" w:type="dxa"/>
            <w:tcBorders>
              <w:bottom w:val="single" w:sz="4" w:space="0" w:color="auto"/>
            </w:tcBorders>
          </w:tcPr>
          <w:p w:rsidR="00126C9E" w:rsidRPr="009C1EE6" w:rsidRDefault="00126C9E" w:rsidP="00126C9E">
            <w:pPr>
              <w:ind w:left="-2619" w:firstLine="2619"/>
              <w:contextualSpacing/>
              <w:jc w:val="center"/>
              <w:rPr>
                <w:rFonts w:ascii="Calibri" w:hAnsi="Calibri"/>
              </w:rPr>
            </w:pPr>
            <w:r>
              <w:rPr>
                <w:rFonts w:ascii="Calibri" w:hAnsi="Calibri"/>
              </w:rPr>
              <w:t>5.9</w:t>
            </w:r>
          </w:p>
        </w:tc>
        <w:tc>
          <w:tcPr>
            <w:tcW w:w="1678" w:type="dxa"/>
            <w:tcBorders>
              <w:bottom w:val="single" w:sz="4" w:space="0" w:color="auto"/>
            </w:tcBorders>
          </w:tcPr>
          <w:p w:rsidR="00126C9E" w:rsidRPr="009C1EE6" w:rsidRDefault="00126C9E" w:rsidP="00126C9E">
            <w:pPr>
              <w:ind w:left="-2619" w:firstLine="2619"/>
              <w:contextualSpacing/>
              <w:jc w:val="center"/>
              <w:rPr>
                <w:rFonts w:ascii="Calibri" w:hAnsi="Calibri"/>
              </w:rPr>
            </w:pPr>
            <w:r>
              <w:rPr>
                <w:rFonts w:ascii="Calibri" w:hAnsi="Calibri"/>
              </w:rPr>
              <w:t>3.1</w:t>
            </w:r>
          </w:p>
        </w:tc>
      </w:tr>
      <w:tr w:rsidR="00126C9E" w:rsidRPr="009C1EE6" w:rsidTr="00126C9E">
        <w:tc>
          <w:tcPr>
            <w:tcW w:w="1368" w:type="dxa"/>
            <w:tcBorders>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2014</w:t>
            </w:r>
            <w:r>
              <w:rPr>
                <w:rFonts w:ascii="Helvetica" w:eastAsia="Helvetica" w:hAnsi="Helvetica" w:cs="Helvetica"/>
                <w:b/>
              </w:rPr>
              <w:t>–</w:t>
            </w:r>
            <w:r w:rsidRPr="00A04C5B">
              <w:rPr>
                <w:rFonts w:ascii="Calibri" w:hAnsi="Calibri"/>
                <w:b/>
              </w:rPr>
              <w:t>15</w:t>
            </w:r>
            <w:r>
              <w:rPr>
                <w:rStyle w:val="FootnoteReference"/>
                <w:rFonts w:ascii="Calibri" w:hAnsi="Calibri"/>
                <w:b/>
              </w:rPr>
              <w:footnoteReference w:id="6"/>
            </w:r>
          </w:p>
        </w:tc>
        <w:tc>
          <w:tcPr>
            <w:tcW w:w="1497" w:type="dxa"/>
            <w:tcBorders>
              <w:bottom w:val="single" w:sz="4" w:space="0" w:color="auto"/>
            </w:tcBorders>
          </w:tcPr>
          <w:p w:rsidR="00126C9E" w:rsidRDefault="00126C9E" w:rsidP="00126C9E">
            <w:pPr>
              <w:contextualSpacing/>
              <w:jc w:val="center"/>
              <w:rPr>
                <w:rFonts w:ascii="Calibri" w:hAnsi="Calibri"/>
              </w:rPr>
            </w:pPr>
            <w:r>
              <w:rPr>
                <w:rFonts w:ascii="Calibri" w:hAnsi="Calibri"/>
              </w:rPr>
              <w:t>5.3</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9.7</w:t>
            </w:r>
          </w:p>
        </w:tc>
        <w:tc>
          <w:tcPr>
            <w:tcW w:w="1677" w:type="dxa"/>
            <w:tcBorders>
              <w:bottom w:val="single" w:sz="4" w:space="0" w:color="auto"/>
            </w:tcBorders>
          </w:tcPr>
          <w:p w:rsidR="00126C9E" w:rsidRDefault="00126C9E" w:rsidP="00126C9E">
            <w:pPr>
              <w:contextualSpacing/>
              <w:jc w:val="center"/>
              <w:rPr>
                <w:rFonts w:ascii="Calibri" w:hAnsi="Calibri"/>
              </w:rPr>
            </w:pPr>
            <w:r>
              <w:rPr>
                <w:rFonts w:ascii="Calibri" w:hAnsi="Calibri"/>
              </w:rPr>
              <w:t>2.9</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9.1</w:t>
            </w:r>
          </w:p>
        </w:tc>
        <w:tc>
          <w:tcPr>
            <w:tcW w:w="1678" w:type="dxa"/>
            <w:tcBorders>
              <w:bottom w:val="single" w:sz="4" w:space="0" w:color="auto"/>
            </w:tcBorders>
          </w:tcPr>
          <w:p w:rsidR="00126C9E" w:rsidRDefault="00126C9E" w:rsidP="00126C9E">
            <w:pPr>
              <w:contextualSpacing/>
              <w:jc w:val="center"/>
              <w:rPr>
                <w:rFonts w:ascii="Calibri" w:hAnsi="Calibri"/>
              </w:rPr>
            </w:pPr>
            <w:r>
              <w:rPr>
                <w:rFonts w:ascii="Calibri" w:hAnsi="Calibri"/>
              </w:rPr>
              <w:t>3.4</w:t>
            </w:r>
          </w:p>
        </w:tc>
      </w:tr>
    </w:tbl>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902D2C" w:rsidRDefault="00902D2C"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126C9E" w:rsidRDefault="00126C9E" w:rsidP="00A26836">
      <w:pPr>
        <w:rPr>
          <w:rFonts w:asciiTheme="minorHAnsi" w:hAnsiTheme="minorHAnsi"/>
          <w:b/>
          <w:color w:val="365F91" w:themeColor="accent1" w:themeShade="BF"/>
          <w:sz w:val="30"/>
          <w:szCs w:val="30"/>
        </w:rPr>
      </w:pPr>
    </w:p>
    <w:p w:rsidR="00FB0BAB" w:rsidRPr="006F320E" w:rsidRDefault="00A26836" w:rsidP="00126C9E">
      <w:pPr>
        <w:pStyle w:val="Heading2"/>
        <w:rPr>
          <w:rFonts w:asciiTheme="minorHAnsi" w:hAnsiTheme="minorHAnsi"/>
          <w:sz w:val="30"/>
          <w:szCs w:val="30"/>
        </w:rPr>
      </w:pPr>
      <w:bookmarkStart w:id="49" w:name="_Appendix_D.2:_Principals"/>
      <w:bookmarkStart w:id="50" w:name="_Toc509831837"/>
      <w:bookmarkEnd w:id="49"/>
      <w:r w:rsidRPr="006F320E">
        <w:rPr>
          <w:rFonts w:asciiTheme="minorHAnsi" w:hAnsiTheme="minorHAnsi"/>
          <w:sz w:val="30"/>
          <w:szCs w:val="30"/>
        </w:rPr>
        <w:lastRenderedPageBreak/>
        <w:t>Appendix D.2: Principals with low ratings</w:t>
      </w:r>
      <w:bookmarkEnd w:id="50"/>
    </w:p>
    <w:tbl>
      <w:tblPr>
        <w:tblStyle w:val="TableGrid"/>
        <w:tblpPr w:leftFromText="180" w:rightFromText="180" w:vertAnchor="page" w:horzAnchor="margin" w:tblpY="2026"/>
        <w:tblW w:w="9663" w:type="dxa"/>
        <w:tblLook w:val="04A0" w:firstRow="1" w:lastRow="0" w:firstColumn="1" w:lastColumn="0" w:noHBand="0" w:noVBand="1"/>
        <w:tblDescription w:val="Percent of students assigned to schools with principals rated Needs Improvement/Unsatisfactory, 2016-17 and 2015-16"/>
      </w:tblPr>
      <w:tblGrid>
        <w:gridCol w:w="9663"/>
      </w:tblGrid>
      <w:tr w:rsidR="00126C9E" w:rsidTr="00BE267F">
        <w:trPr>
          <w:trHeight w:val="4760"/>
          <w:tblHeader/>
        </w:trPr>
        <w:tc>
          <w:tcPr>
            <w:tcW w:w="9663" w:type="dxa"/>
          </w:tcPr>
          <w:p w:rsidR="00126C9E" w:rsidRDefault="00BE267F" w:rsidP="00126C9E">
            <w:pPr>
              <w:jc w:val="center"/>
            </w:pPr>
            <w:r>
              <w:rPr>
                <w:noProof/>
                <w:lang w:eastAsia="zh-CN"/>
              </w:rPr>
              <w:drawing>
                <wp:anchor distT="0" distB="0" distL="114300" distR="114300" simplePos="0" relativeHeight="251682816" behindDoc="0" locked="0" layoutInCell="1" allowOverlap="1" wp14:anchorId="1FE98B73" wp14:editId="29A407A5">
                  <wp:simplePos x="0" y="0"/>
                  <wp:positionH relativeFrom="column">
                    <wp:posOffset>688266</wp:posOffset>
                  </wp:positionH>
                  <wp:positionV relativeFrom="paragraph">
                    <wp:posOffset>85313</wp:posOffset>
                  </wp:positionV>
                  <wp:extent cx="4891990" cy="2600696"/>
                  <wp:effectExtent l="0" t="0" r="4445" b="9525"/>
                  <wp:wrapNone/>
                  <wp:docPr id="26" name="Picture 26" descr="Graph 7: Percent of students assigned to schools with principals rated NI/U, 2016–17&#10;Non-economically disadvantaged: 5.1%&#10;Economically disadvantaged: 8.1%&#10;White students: 4.7%&#10;Students of color: 8.0%&#10;Non-EL: 5.7%&#10;EL: 9.1%&#10;Students without disabilities: 5.9%&#10;Students with disabilities: 6.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4905554" cy="2607907"/>
                          </a:xfrm>
                          <a:prstGeom prst="rect">
                            <a:avLst/>
                          </a:prstGeom>
                        </pic:spPr>
                      </pic:pic>
                    </a:graphicData>
                  </a:graphic>
                  <wp14:sizeRelH relativeFrom="page">
                    <wp14:pctWidth>0</wp14:pctWidth>
                  </wp14:sizeRelH>
                  <wp14:sizeRelV relativeFrom="page">
                    <wp14:pctHeight>0</wp14:pctHeight>
                  </wp14:sizeRelV>
                </wp:anchor>
              </w:drawing>
            </w:r>
          </w:p>
          <w:p w:rsidR="00126C9E" w:rsidRDefault="00126C9E" w:rsidP="00126C9E">
            <w:pPr>
              <w:jc w:val="center"/>
            </w:pPr>
          </w:p>
          <w:p w:rsidR="00126C9E" w:rsidRDefault="00126C9E" w:rsidP="00126C9E">
            <w:pPr>
              <w:jc w:val="center"/>
            </w:pPr>
          </w:p>
          <w:p w:rsidR="00126C9E" w:rsidRDefault="00126C9E" w:rsidP="00126C9E">
            <w:pPr>
              <w:jc w:val="center"/>
            </w:pPr>
          </w:p>
          <w:p w:rsidR="00BE267F" w:rsidRDefault="00BE267F" w:rsidP="00126C9E">
            <w:pPr>
              <w:jc w:val="center"/>
            </w:pPr>
          </w:p>
          <w:p w:rsidR="00BE267F" w:rsidRDefault="00BE267F" w:rsidP="00126C9E">
            <w:pPr>
              <w:jc w:val="center"/>
            </w:pPr>
          </w:p>
          <w:p w:rsidR="00126C9E" w:rsidRDefault="005F100A" w:rsidP="00126C9E">
            <w:pPr>
              <w:jc w:val="center"/>
            </w:pPr>
            <w:r>
              <w:rPr>
                <w:noProof/>
                <w:lang w:eastAsia="zh-CN"/>
              </w:rPr>
              <mc:AlternateContent>
                <mc:Choice Requires="wps">
                  <w:drawing>
                    <wp:anchor distT="0" distB="0" distL="114300" distR="114300" simplePos="0" relativeHeight="251657216" behindDoc="0" locked="0" layoutInCell="1" allowOverlap="1" wp14:anchorId="1487F968" wp14:editId="1289467C">
                      <wp:simplePos x="0" y="0"/>
                      <wp:positionH relativeFrom="column">
                        <wp:posOffset>708091</wp:posOffset>
                      </wp:positionH>
                      <wp:positionV relativeFrom="paragraph">
                        <wp:posOffset>1671757</wp:posOffset>
                      </wp:positionV>
                      <wp:extent cx="4796155" cy="259715"/>
                      <wp:effectExtent l="0" t="0" r="0" b="0"/>
                      <wp:wrapNone/>
                      <wp:docPr id="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126C9E">
                                  <w:pPr>
                                    <w:jc w:val="center"/>
                                    <w:rPr>
                                      <w:rFonts w:asciiTheme="minorHAnsi" w:hAnsiTheme="minorHAnsi"/>
                                      <w:i/>
                                      <w:sz w:val="20"/>
                                      <w:szCs w:val="20"/>
                                    </w:rPr>
                                  </w:pPr>
                                  <w:r w:rsidRPr="00996470">
                                    <w:rPr>
                                      <w:rFonts w:asciiTheme="minorHAnsi" w:hAnsiTheme="minorHAnsi"/>
                                      <w:i/>
                                      <w:sz w:val="20"/>
                                      <w:szCs w:val="20"/>
                                    </w:rPr>
                                    <w:t>N size =953,748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7F968" id="Text Box 45" o:spid="_x0000_s1031" type="#_x0000_t202" style="position:absolute;left:0;text-align:left;margin-left:55.75pt;margin-top:131.65pt;width:377.65pt;height:20.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fT3hg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" stroked="f">
                      <v:textbox>
                        <w:txbxContent>
                          <w:p w:rsidR="002E3D26" w:rsidRPr="00996470" w:rsidRDefault="002E3D26" w:rsidP="00126C9E">
                            <w:pPr>
                              <w:jc w:val="center"/>
                              <w:rPr>
                                <w:rFonts w:asciiTheme="minorHAnsi" w:hAnsiTheme="minorHAnsi"/>
                                <w:i/>
                                <w:sz w:val="20"/>
                                <w:szCs w:val="20"/>
                              </w:rPr>
                            </w:pPr>
                            <w:r w:rsidRPr="00996470">
                              <w:rPr>
                                <w:rFonts w:asciiTheme="minorHAnsi" w:hAnsiTheme="minorHAnsi"/>
                                <w:i/>
                                <w:sz w:val="20"/>
                                <w:szCs w:val="20"/>
                              </w:rPr>
                              <w:t>N size =953,748 total students</w:t>
                            </w:r>
                          </w:p>
                        </w:txbxContent>
                      </v:textbox>
                    </v:shape>
                  </w:pict>
                </mc:Fallback>
              </mc:AlternateContent>
            </w:r>
          </w:p>
        </w:tc>
      </w:tr>
      <w:tr w:rsidR="00126C9E" w:rsidTr="008C4916">
        <w:trPr>
          <w:trHeight w:val="4400"/>
          <w:tblHeader/>
        </w:trPr>
        <w:tc>
          <w:tcPr>
            <w:tcW w:w="9663" w:type="dxa"/>
          </w:tcPr>
          <w:p w:rsidR="00126C9E" w:rsidRDefault="0044795A" w:rsidP="00126C9E">
            <w:r>
              <w:rPr>
                <w:noProof/>
                <w:lang w:eastAsia="zh-CN"/>
              </w:rPr>
              <w:drawing>
                <wp:anchor distT="0" distB="0" distL="114300" distR="114300" simplePos="0" relativeHeight="251678720" behindDoc="0" locked="0" layoutInCell="1" allowOverlap="1" wp14:anchorId="3F77B664" wp14:editId="6E9CE93A">
                  <wp:simplePos x="0" y="0"/>
                  <wp:positionH relativeFrom="column">
                    <wp:posOffset>657225</wp:posOffset>
                  </wp:positionH>
                  <wp:positionV relativeFrom="paragraph">
                    <wp:posOffset>60325</wp:posOffset>
                  </wp:positionV>
                  <wp:extent cx="4890463" cy="2468880"/>
                  <wp:effectExtent l="19050" t="0" r="5387" b="0"/>
                  <wp:wrapNone/>
                  <wp:docPr id="16" name="Picture 16" descr="Graph 8: Percent of students assigned to schools with principals rated NI/U, 2015–16&#10;Non-economically disadvantaged: 5.4%&#10;Economically disadvantaged: 8.7%&#10;White students: 5.3%&#10;Students of color: 8.0%&#10;Non-EL: 6.1%&#10;EL: 8.7%&#10;Students without disabilities: 6.3%&#10;Students with disabilities: 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srcRect/>
                          <a:stretch>
                            <a:fillRect/>
                          </a:stretch>
                        </pic:blipFill>
                        <pic:spPr bwMode="auto">
                          <a:xfrm>
                            <a:off x="0" y="0"/>
                            <a:ext cx="4890463" cy="2468880"/>
                          </a:xfrm>
                          <a:prstGeom prst="rect">
                            <a:avLst/>
                          </a:prstGeom>
                          <a:noFill/>
                          <a:ln w="9525">
                            <a:noFill/>
                            <a:miter lim="800000"/>
                            <a:headEnd/>
                            <a:tailEnd/>
                          </a:ln>
                        </pic:spPr>
                      </pic:pic>
                    </a:graphicData>
                  </a:graphic>
                </wp:anchor>
              </w:drawing>
            </w:r>
            <w:r w:rsidR="00126C9E">
              <w:t xml:space="preserve"> </w:t>
            </w:r>
          </w:p>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126C9E" w:rsidP="00126C9E"/>
          <w:p w:rsidR="00126C9E" w:rsidRDefault="005F100A" w:rsidP="00126C9E">
            <w:r>
              <w:rPr>
                <w:noProof/>
                <w:lang w:eastAsia="zh-CN"/>
              </w:rPr>
              <mc:AlternateContent>
                <mc:Choice Requires="wps">
                  <w:drawing>
                    <wp:anchor distT="0" distB="0" distL="114300" distR="114300" simplePos="0" relativeHeight="251658240" behindDoc="0" locked="0" layoutInCell="1" allowOverlap="1" wp14:anchorId="14AC3A2D" wp14:editId="75F5A7AD">
                      <wp:simplePos x="0" y="0"/>
                      <wp:positionH relativeFrom="column">
                        <wp:posOffset>536575</wp:posOffset>
                      </wp:positionH>
                      <wp:positionV relativeFrom="paragraph">
                        <wp:posOffset>52705</wp:posOffset>
                      </wp:positionV>
                      <wp:extent cx="5165725" cy="259715"/>
                      <wp:effectExtent l="0" t="0" r="0" b="0"/>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572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126C9E">
                                  <w:pPr>
                                    <w:jc w:val="center"/>
                                    <w:rPr>
                                      <w:rFonts w:asciiTheme="minorHAnsi" w:hAnsiTheme="minorHAnsi"/>
                                      <w:i/>
                                      <w:sz w:val="20"/>
                                      <w:szCs w:val="20"/>
                                    </w:rPr>
                                  </w:pPr>
                                  <w:r w:rsidRPr="00996470">
                                    <w:rPr>
                                      <w:rFonts w:asciiTheme="minorHAnsi" w:hAnsiTheme="minorHAnsi"/>
                                      <w:i/>
                                      <w:sz w:val="20"/>
                                      <w:szCs w:val="20"/>
                                    </w:rPr>
                                    <w:t>N size =953,428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AC3A2D" id="Text Box 46" o:spid="_x0000_s1032" type="#_x0000_t202" style="position:absolute;margin-left:42.25pt;margin-top:4.15pt;width:406.75pt;height:20.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" stroked="f">
                      <v:textbox>
                        <w:txbxContent>
                          <w:p w:rsidR="002E3D26" w:rsidRPr="00996470" w:rsidRDefault="002E3D26" w:rsidP="00126C9E">
                            <w:pPr>
                              <w:jc w:val="center"/>
                              <w:rPr>
                                <w:rFonts w:asciiTheme="minorHAnsi" w:hAnsiTheme="minorHAnsi"/>
                                <w:i/>
                                <w:sz w:val="20"/>
                                <w:szCs w:val="20"/>
                              </w:rPr>
                            </w:pPr>
                            <w:r w:rsidRPr="00996470">
                              <w:rPr>
                                <w:rFonts w:asciiTheme="minorHAnsi" w:hAnsiTheme="minorHAnsi"/>
                                <w:i/>
                                <w:sz w:val="20"/>
                                <w:szCs w:val="20"/>
                              </w:rPr>
                              <w:t>N size =953,428 total students</w:t>
                            </w:r>
                          </w:p>
                        </w:txbxContent>
                      </v:textbox>
                    </v:shape>
                  </w:pict>
                </mc:Fallback>
              </mc:AlternateContent>
            </w:r>
          </w:p>
        </w:tc>
      </w:tr>
    </w:tbl>
    <w:p w:rsidR="00FB0BAB" w:rsidRDefault="00FB0BAB" w:rsidP="00FB0BAB">
      <w:pPr>
        <w:spacing w:line="276" w:lineRule="auto"/>
        <w:contextualSpacing/>
        <w:rPr>
          <w:rFonts w:asciiTheme="minorHAnsi" w:hAnsiTheme="minorHAnsi"/>
          <w:b/>
          <w:sz w:val="22"/>
          <w:szCs w:val="22"/>
        </w:rPr>
      </w:pPr>
    </w:p>
    <w:p w:rsidR="00FB0BAB" w:rsidRDefault="00FB0BAB" w:rsidP="00FB0BAB">
      <w:pPr>
        <w:spacing w:line="276" w:lineRule="auto"/>
        <w:contextualSpacing/>
        <w:rPr>
          <w:rFonts w:asciiTheme="minorHAnsi" w:hAnsiTheme="minorHAnsi"/>
          <w:b/>
          <w:sz w:val="22"/>
          <w:szCs w:val="22"/>
        </w:rPr>
      </w:pPr>
      <w:r>
        <w:rPr>
          <w:rFonts w:asciiTheme="minorHAnsi" w:hAnsiTheme="minorHAnsi"/>
          <w:b/>
          <w:sz w:val="22"/>
          <w:szCs w:val="22"/>
        </w:rPr>
        <w:t>T</w:t>
      </w:r>
      <w:r w:rsidRPr="00084C83">
        <w:rPr>
          <w:rFonts w:asciiTheme="minorHAnsi" w:hAnsiTheme="minorHAnsi"/>
          <w:b/>
          <w:sz w:val="22"/>
          <w:szCs w:val="22"/>
        </w:rPr>
        <w:t xml:space="preserve">able </w:t>
      </w:r>
      <w:r w:rsidR="00DC145E">
        <w:rPr>
          <w:rFonts w:asciiTheme="minorHAnsi" w:hAnsiTheme="minorHAnsi"/>
          <w:b/>
          <w:sz w:val="22"/>
          <w:szCs w:val="22"/>
        </w:rPr>
        <w:t>7</w:t>
      </w:r>
      <w:r>
        <w:rPr>
          <w:rFonts w:asciiTheme="minorHAnsi" w:hAnsiTheme="minorHAnsi"/>
          <w:b/>
          <w:sz w:val="22"/>
          <w:szCs w:val="22"/>
        </w:rPr>
        <w:t>: Percent of principals rated Needs Improvement/Unsatisfactory, by school demographic quartile</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504"/>
        <w:gridCol w:w="1639"/>
        <w:gridCol w:w="1638"/>
        <w:gridCol w:w="1643"/>
        <w:gridCol w:w="1643"/>
      </w:tblGrid>
      <w:tr w:rsidR="00126C9E" w:rsidRPr="009C1EE6" w:rsidTr="00126C9E">
        <w:tc>
          <w:tcPr>
            <w:tcW w:w="1278"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rsidR="00126C9E" w:rsidRPr="009C1EE6" w:rsidRDefault="00126C9E" w:rsidP="00126C9E">
            <w:pPr>
              <w:contextualSpacing/>
              <w:jc w:val="center"/>
              <w:rPr>
                <w:rFonts w:ascii="Calibri" w:hAnsi="Calibri"/>
              </w:rPr>
            </w:pPr>
          </w:p>
        </w:tc>
        <w:tc>
          <w:tcPr>
            <w:tcW w:w="1505" w:type="dxa"/>
            <w:tcBorders>
              <w:left w:val="single" w:sz="8" w:space="0" w:color="auto"/>
            </w:tcBorders>
          </w:tcPr>
          <w:p w:rsidR="00126C9E" w:rsidRPr="00A04C5B" w:rsidRDefault="00126C9E" w:rsidP="00126C9E">
            <w:pPr>
              <w:contextualSpacing/>
              <w:jc w:val="center"/>
              <w:rPr>
                <w:rFonts w:ascii="Calibri" w:hAnsi="Calibri"/>
                <w:b/>
              </w:rPr>
            </w:pPr>
            <w:r w:rsidRPr="00A04C5B">
              <w:rPr>
                <w:rFonts w:ascii="Calibri" w:hAnsi="Calibri"/>
                <w:b/>
              </w:rPr>
              <w:t>MA All</w:t>
            </w:r>
          </w:p>
        </w:tc>
        <w:tc>
          <w:tcPr>
            <w:tcW w:w="1640" w:type="dxa"/>
          </w:tcPr>
          <w:p w:rsidR="00126C9E" w:rsidRPr="00A04C5B" w:rsidRDefault="00126C9E" w:rsidP="00126C9E">
            <w:pPr>
              <w:contextualSpacing/>
              <w:jc w:val="center"/>
              <w:rPr>
                <w:rFonts w:ascii="Calibri" w:hAnsi="Calibri"/>
                <w:b/>
              </w:rPr>
            </w:pPr>
            <w:r w:rsidRPr="00A04C5B">
              <w:rPr>
                <w:rFonts w:ascii="Calibri" w:hAnsi="Calibri"/>
                <w:b/>
              </w:rPr>
              <w:t>High poverty quartile</w:t>
            </w:r>
          </w:p>
        </w:tc>
        <w:tc>
          <w:tcPr>
            <w:tcW w:w="1639" w:type="dxa"/>
          </w:tcPr>
          <w:p w:rsidR="00126C9E" w:rsidRPr="00A04C5B" w:rsidRDefault="00126C9E" w:rsidP="00126C9E">
            <w:pPr>
              <w:contextualSpacing/>
              <w:jc w:val="center"/>
              <w:rPr>
                <w:rFonts w:ascii="Calibri" w:hAnsi="Calibri"/>
                <w:b/>
              </w:rPr>
            </w:pPr>
            <w:r w:rsidRPr="00A04C5B">
              <w:rPr>
                <w:rFonts w:ascii="Calibri" w:hAnsi="Calibri"/>
                <w:b/>
              </w:rPr>
              <w:t>Low poverty quartile</w:t>
            </w:r>
          </w:p>
        </w:tc>
        <w:tc>
          <w:tcPr>
            <w:tcW w:w="1644" w:type="dxa"/>
          </w:tcPr>
          <w:p w:rsidR="00126C9E" w:rsidRPr="00A04C5B" w:rsidRDefault="00126C9E" w:rsidP="00126C9E">
            <w:pPr>
              <w:contextualSpacing/>
              <w:jc w:val="center"/>
              <w:rPr>
                <w:rFonts w:ascii="Calibri" w:hAnsi="Calibri"/>
                <w:b/>
              </w:rPr>
            </w:pPr>
            <w:r w:rsidRPr="00A04C5B">
              <w:rPr>
                <w:rFonts w:ascii="Calibri" w:hAnsi="Calibri"/>
                <w:b/>
              </w:rPr>
              <w:t>High minority quartile</w:t>
            </w:r>
          </w:p>
        </w:tc>
        <w:tc>
          <w:tcPr>
            <w:tcW w:w="1644" w:type="dxa"/>
          </w:tcPr>
          <w:p w:rsidR="00126C9E" w:rsidRPr="00A04C5B" w:rsidRDefault="00126C9E" w:rsidP="00126C9E">
            <w:pPr>
              <w:contextualSpacing/>
              <w:jc w:val="center"/>
              <w:rPr>
                <w:rFonts w:ascii="Calibri" w:hAnsi="Calibri"/>
                <w:b/>
              </w:rPr>
            </w:pPr>
            <w:r w:rsidRPr="00A04C5B">
              <w:rPr>
                <w:rFonts w:ascii="Calibri" w:hAnsi="Calibri"/>
                <w:b/>
              </w:rPr>
              <w:t>Low minority quartile</w:t>
            </w:r>
          </w:p>
        </w:tc>
      </w:tr>
      <w:tr w:rsidR="00126C9E" w:rsidRPr="009C1EE6" w:rsidTr="00126C9E">
        <w:tc>
          <w:tcPr>
            <w:tcW w:w="1278" w:type="dxa"/>
            <w:tcBorders>
              <w:top w:val="single" w:sz="8" w:space="0" w:color="auto"/>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2016</w:t>
            </w:r>
            <w:r>
              <w:rPr>
                <w:rFonts w:ascii="Helvetica" w:eastAsia="Helvetica" w:hAnsi="Helvetica" w:cs="Helvetica"/>
                <w:b/>
              </w:rPr>
              <w:t>–</w:t>
            </w:r>
            <w:r w:rsidRPr="00A04C5B">
              <w:rPr>
                <w:rFonts w:ascii="Calibri" w:hAnsi="Calibri"/>
                <w:b/>
              </w:rPr>
              <w:t>17</w:t>
            </w:r>
          </w:p>
        </w:tc>
        <w:tc>
          <w:tcPr>
            <w:tcW w:w="1505" w:type="dxa"/>
            <w:tcBorders>
              <w:bottom w:val="single" w:sz="4" w:space="0" w:color="auto"/>
            </w:tcBorders>
          </w:tcPr>
          <w:p w:rsidR="00126C9E" w:rsidRPr="00201E66" w:rsidRDefault="00DC61D8" w:rsidP="00126C9E">
            <w:pPr>
              <w:contextualSpacing/>
              <w:jc w:val="center"/>
              <w:rPr>
                <w:rFonts w:ascii="Calibri" w:hAnsi="Calibri"/>
              </w:rPr>
            </w:pPr>
            <w:r w:rsidRPr="00201E66">
              <w:rPr>
                <w:rFonts w:ascii="Calibri" w:hAnsi="Calibri"/>
              </w:rPr>
              <w:t>3.5</w:t>
            </w:r>
          </w:p>
        </w:tc>
        <w:tc>
          <w:tcPr>
            <w:tcW w:w="1640" w:type="dxa"/>
            <w:tcBorders>
              <w:bottom w:val="single" w:sz="4" w:space="0" w:color="auto"/>
            </w:tcBorders>
          </w:tcPr>
          <w:p w:rsidR="00126C9E" w:rsidRPr="00201E66" w:rsidRDefault="00DC61D8" w:rsidP="00126C9E">
            <w:pPr>
              <w:contextualSpacing/>
              <w:jc w:val="center"/>
              <w:rPr>
                <w:rFonts w:ascii="Calibri" w:hAnsi="Calibri"/>
              </w:rPr>
            </w:pPr>
            <w:r w:rsidRPr="00201E66">
              <w:rPr>
                <w:rFonts w:ascii="Calibri" w:hAnsi="Calibri"/>
              </w:rPr>
              <w:t>6.5</w:t>
            </w:r>
          </w:p>
        </w:tc>
        <w:tc>
          <w:tcPr>
            <w:tcW w:w="1639" w:type="dxa"/>
            <w:tcBorders>
              <w:bottom w:val="single" w:sz="4" w:space="0" w:color="auto"/>
            </w:tcBorders>
          </w:tcPr>
          <w:p w:rsidR="00126C9E" w:rsidRPr="00201E66" w:rsidRDefault="00DC61D8" w:rsidP="00126C9E">
            <w:pPr>
              <w:contextualSpacing/>
              <w:jc w:val="center"/>
              <w:rPr>
                <w:rFonts w:ascii="Calibri" w:hAnsi="Calibri"/>
              </w:rPr>
            </w:pPr>
            <w:r w:rsidRPr="00201E66">
              <w:rPr>
                <w:rFonts w:ascii="Calibri" w:hAnsi="Calibri"/>
              </w:rPr>
              <w:t>2.1</w:t>
            </w:r>
          </w:p>
        </w:tc>
        <w:tc>
          <w:tcPr>
            <w:tcW w:w="1644" w:type="dxa"/>
            <w:tcBorders>
              <w:bottom w:val="single" w:sz="4" w:space="0" w:color="auto"/>
            </w:tcBorders>
          </w:tcPr>
          <w:p w:rsidR="00126C9E" w:rsidRPr="00201E66" w:rsidRDefault="00DC61D8" w:rsidP="00126C9E">
            <w:pPr>
              <w:contextualSpacing/>
              <w:jc w:val="center"/>
              <w:rPr>
                <w:rFonts w:ascii="Calibri" w:hAnsi="Calibri"/>
              </w:rPr>
            </w:pPr>
            <w:r w:rsidRPr="00201E66">
              <w:rPr>
                <w:rFonts w:ascii="Calibri" w:hAnsi="Calibri"/>
              </w:rPr>
              <w:t>5.9</w:t>
            </w:r>
          </w:p>
        </w:tc>
        <w:tc>
          <w:tcPr>
            <w:tcW w:w="1644" w:type="dxa"/>
            <w:tcBorders>
              <w:bottom w:val="single" w:sz="4" w:space="0" w:color="auto"/>
            </w:tcBorders>
          </w:tcPr>
          <w:p w:rsidR="00126C9E" w:rsidRPr="00201E66" w:rsidRDefault="00DC61D8" w:rsidP="00126C9E">
            <w:pPr>
              <w:contextualSpacing/>
              <w:jc w:val="center"/>
              <w:rPr>
                <w:rFonts w:ascii="Calibri" w:hAnsi="Calibri"/>
              </w:rPr>
            </w:pPr>
            <w:r w:rsidRPr="00201E66">
              <w:rPr>
                <w:rFonts w:ascii="Calibri" w:hAnsi="Calibri"/>
              </w:rPr>
              <w:t>2.2</w:t>
            </w:r>
          </w:p>
        </w:tc>
      </w:tr>
      <w:tr w:rsidR="00126C9E" w:rsidRPr="009C1EE6" w:rsidTr="00126C9E">
        <w:tc>
          <w:tcPr>
            <w:tcW w:w="1278" w:type="dxa"/>
            <w:tcBorders>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2015</w:t>
            </w:r>
            <w:r>
              <w:rPr>
                <w:rFonts w:ascii="Helvetica" w:eastAsia="Helvetica" w:hAnsi="Helvetica" w:cs="Helvetica"/>
                <w:b/>
              </w:rPr>
              <w:t>–</w:t>
            </w:r>
            <w:r w:rsidRPr="00A04C5B">
              <w:rPr>
                <w:rFonts w:ascii="Calibri" w:hAnsi="Calibri"/>
                <w:b/>
              </w:rPr>
              <w:t>16</w:t>
            </w:r>
          </w:p>
        </w:tc>
        <w:tc>
          <w:tcPr>
            <w:tcW w:w="1505" w:type="dxa"/>
            <w:tcBorders>
              <w:bottom w:val="single" w:sz="4" w:space="0" w:color="auto"/>
            </w:tcBorders>
          </w:tcPr>
          <w:p w:rsidR="00126C9E" w:rsidRPr="009C1EE6" w:rsidRDefault="00126C9E" w:rsidP="00126C9E">
            <w:pPr>
              <w:contextualSpacing/>
              <w:jc w:val="center"/>
              <w:rPr>
                <w:rFonts w:ascii="Calibri" w:hAnsi="Calibri"/>
              </w:rPr>
            </w:pPr>
            <w:r>
              <w:rPr>
                <w:rFonts w:ascii="Calibri" w:hAnsi="Calibri"/>
              </w:rPr>
              <w:t>4.6</w:t>
            </w:r>
          </w:p>
        </w:tc>
        <w:tc>
          <w:tcPr>
            <w:tcW w:w="1640" w:type="dxa"/>
            <w:tcBorders>
              <w:bottom w:val="single" w:sz="4" w:space="0" w:color="auto"/>
            </w:tcBorders>
          </w:tcPr>
          <w:p w:rsidR="00126C9E" w:rsidRPr="009C1EE6" w:rsidRDefault="00126C9E" w:rsidP="00126C9E">
            <w:pPr>
              <w:contextualSpacing/>
              <w:jc w:val="center"/>
              <w:rPr>
                <w:rFonts w:ascii="Calibri" w:hAnsi="Calibri"/>
              </w:rPr>
            </w:pPr>
            <w:r>
              <w:rPr>
                <w:rFonts w:ascii="Calibri" w:hAnsi="Calibri"/>
              </w:rPr>
              <w:t>8.6</w:t>
            </w:r>
          </w:p>
        </w:tc>
        <w:tc>
          <w:tcPr>
            <w:tcW w:w="1639" w:type="dxa"/>
            <w:tcBorders>
              <w:bottom w:val="single" w:sz="4" w:space="0" w:color="auto"/>
            </w:tcBorders>
          </w:tcPr>
          <w:p w:rsidR="00126C9E" w:rsidRPr="009C1EE6" w:rsidRDefault="00126C9E" w:rsidP="00126C9E">
            <w:pPr>
              <w:contextualSpacing/>
              <w:jc w:val="center"/>
              <w:rPr>
                <w:rFonts w:ascii="Calibri" w:hAnsi="Calibri"/>
              </w:rPr>
            </w:pPr>
            <w:r>
              <w:rPr>
                <w:rFonts w:ascii="Calibri" w:hAnsi="Calibri"/>
              </w:rPr>
              <w:t>2.7</w:t>
            </w:r>
          </w:p>
        </w:tc>
        <w:tc>
          <w:tcPr>
            <w:tcW w:w="1644" w:type="dxa"/>
            <w:tcBorders>
              <w:bottom w:val="single" w:sz="4" w:space="0" w:color="auto"/>
            </w:tcBorders>
          </w:tcPr>
          <w:p w:rsidR="00126C9E" w:rsidRPr="009C1EE6" w:rsidRDefault="00126C9E" w:rsidP="00126C9E">
            <w:pPr>
              <w:contextualSpacing/>
              <w:jc w:val="center"/>
              <w:rPr>
                <w:rFonts w:ascii="Calibri" w:hAnsi="Calibri"/>
              </w:rPr>
            </w:pPr>
            <w:r>
              <w:rPr>
                <w:rFonts w:ascii="Calibri" w:hAnsi="Calibri"/>
              </w:rPr>
              <w:t>9.1</w:t>
            </w:r>
          </w:p>
        </w:tc>
        <w:tc>
          <w:tcPr>
            <w:tcW w:w="1644" w:type="dxa"/>
            <w:tcBorders>
              <w:bottom w:val="single" w:sz="4" w:space="0" w:color="auto"/>
            </w:tcBorders>
          </w:tcPr>
          <w:p w:rsidR="00126C9E" w:rsidRPr="009C1EE6" w:rsidRDefault="00126C9E" w:rsidP="00126C9E">
            <w:pPr>
              <w:contextualSpacing/>
              <w:jc w:val="center"/>
              <w:rPr>
                <w:rFonts w:ascii="Calibri" w:hAnsi="Calibri"/>
              </w:rPr>
            </w:pPr>
            <w:r>
              <w:rPr>
                <w:rFonts w:ascii="Calibri" w:hAnsi="Calibri"/>
              </w:rPr>
              <w:t>2.4</w:t>
            </w:r>
          </w:p>
        </w:tc>
      </w:tr>
      <w:tr w:rsidR="00126C9E" w:rsidRPr="009C1EE6" w:rsidTr="00126C9E">
        <w:tc>
          <w:tcPr>
            <w:tcW w:w="1278" w:type="dxa"/>
            <w:tcBorders>
              <w:bottom w:val="single" w:sz="4" w:space="0" w:color="auto"/>
            </w:tcBorders>
            <w:shd w:val="clear" w:color="auto" w:fill="B8CCE4" w:themeFill="accent1" w:themeFillTint="66"/>
          </w:tcPr>
          <w:p w:rsidR="00126C9E" w:rsidRPr="00A04C5B" w:rsidRDefault="00126C9E" w:rsidP="00126C9E">
            <w:pPr>
              <w:contextualSpacing/>
              <w:jc w:val="center"/>
              <w:rPr>
                <w:rFonts w:ascii="Calibri" w:hAnsi="Calibri"/>
                <w:b/>
              </w:rPr>
            </w:pPr>
            <w:r w:rsidRPr="00A04C5B">
              <w:rPr>
                <w:rFonts w:ascii="Calibri" w:hAnsi="Calibri"/>
                <w:b/>
              </w:rPr>
              <w:t>2014</w:t>
            </w:r>
            <w:r>
              <w:rPr>
                <w:rFonts w:ascii="Helvetica" w:eastAsia="Helvetica" w:hAnsi="Helvetica" w:cs="Helvetica"/>
                <w:b/>
              </w:rPr>
              <w:t>–</w:t>
            </w:r>
            <w:r w:rsidRPr="00A04C5B">
              <w:rPr>
                <w:rFonts w:ascii="Calibri" w:hAnsi="Calibri"/>
                <w:b/>
              </w:rPr>
              <w:t>15</w:t>
            </w:r>
          </w:p>
        </w:tc>
        <w:tc>
          <w:tcPr>
            <w:tcW w:w="1505" w:type="dxa"/>
            <w:tcBorders>
              <w:bottom w:val="single" w:sz="4" w:space="0" w:color="auto"/>
            </w:tcBorders>
          </w:tcPr>
          <w:p w:rsidR="00126C9E" w:rsidRDefault="00126C9E" w:rsidP="00126C9E">
            <w:pPr>
              <w:contextualSpacing/>
              <w:jc w:val="center"/>
              <w:rPr>
                <w:rFonts w:ascii="Calibri" w:hAnsi="Calibri"/>
              </w:rPr>
            </w:pPr>
            <w:r>
              <w:rPr>
                <w:rFonts w:ascii="Calibri" w:hAnsi="Calibri"/>
              </w:rPr>
              <w:t>5.3</w:t>
            </w:r>
          </w:p>
        </w:tc>
        <w:tc>
          <w:tcPr>
            <w:tcW w:w="1640" w:type="dxa"/>
            <w:tcBorders>
              <w:bottom w:val="single" w:sz="4" w:space="0" w:color="auto"/>
            </w:tcBorders>
          </w:tcPr>
          <w:p w:rsidR="00126C9E" w:rsidRDefault="00126C9E" w:rsidP="00126C9E">
            <w:pPr>
              <w:contextualSpacing/>
              <w:jc w:val="center"/>
              <w:rPr>
                <w:rFonts w:ascii="Calibri" w:hAnsi="Calibri"/>
              </w:rPr>
            </w:pPr>
            <w:r>
              <w:rPr>
                <w:rFonts w:ascii="Calibri" w:hAnsi="Calibri"/>
              </w:rPr>
              <w:t>9.7</w:t>
            </w:r>
          </w:p>
        </w:tc>
        <w:tc>
          <w:tcPr>
            <w:tcW w:w="1639" w:type="dxa"/>
            <w:tcBorders>
              <w:bottom w:val="single" w:sz="4" w:space="0" w:color="auto"/>
            </w:tcBorders>
          </w:tcPr>
          <w:p w:rsidR="00126C9E" w:rsidRDefault="00126C9E" w:rsidP="00126C9E">
            <w:pPr>
              <w:contextualSpacing/>
              <w:jc w:val="center"/>
              <w:rPr>
                <w:rFonts w:ascii="Calibri" w:hAnsi="Calibri"/>
              </w:rPr>
            </w:pPr>
            <w:r>
              <w:rPr>
                <w:rFonts w:ascii="Calibri" w:hAnsi="Calibri"/>
              </w:rPr>
              <w:t>2.9</w:t>
            </w:r>
          </w:p>
        </w:tc>
        <w:tc>
          <w:tcPr>
            <w:tcW w:w="1644" w:type="dxa"/>
            <w:tcBorders>
              <w:bottom w:val="single" w:sz="4" w:space="0" w:color="auto"/>
            </w:tcBorders>
          </w:tcPr>
          <w:p w:rsidR="00126C9E" w:rsidRDefault="00126C9E" w:rsidP="00126C9E">
            <w:pPr>
              <w:contextualSpacing/>
              <w:jc w:val="center"/>
              <w:rPr>
                <w:rFonts w:ascii="Calibri" w:hAnsi="Calibri"/>
              </w:rPr>
            </w:pPr>
            <w:r>
              <w:rPr>
                <w:rFonts w:ascii="Calibri" w:hAnsi="Calibri"/>
              </w:rPr>
              <w:t>9.1</w:t>
            </w:r>
          </w:p>
        </w:tc>
        <w:tc>
          <w:tcPr>
            <w:tcW w:w="1644" w:type="dxa"/>
            <w:tcBorders>
              <w:bottom w:val="single" w:sz="4" w:space="0" w:color="auto"/>
            </w:tcBorders>
          </w:tcPr>
          <w:p w:rsidR="00126C9E" w:rsidRDefault="00126C9E" w:rsidP="00126C9E">
            <w:pPr>
              <w:contextualSpacing/>
              <w:jc w:val="center"/>
              <w:rPr>
                <w:rFonts w:ascii="Calibri" w:hAnsi="Calibri"/>
              </w:rPr>
            </w:pPr>
            <w:r>
              <w:rPr>
                <w:rFonts w:ascii="Calibri" w:hAnsi="Calibri"/>
              </w:rPr>
              <w:t>3.4</w:t>
            </w:r>
          </w:p>
        </w:tc>
      </w:tr>
      <w:tr w:rsidR="00126C9E" w:rsidRPr="009C1EE6" w:rsidTr="00126C9E">
        <w:tc>
          <w:tcPr>
            <w:tcW w:w="1278" w:type="dxa"/>
            <w:tcBorders>
              <w:top w:val="single" w:sz="4" w:space="0" w:color="auto"/>
              <w:left w:val="nil"/>
              <w:bottom w:val="nil"/>
              <w:right w:val="nil"/>
            </w:tcBorders>
          </w:tcPr>
          <w:p w:rsidR="00126C9E" w:rsidRPr="0056672F" w:rsidRDefault="00126C9E" w:rsidP="00126C9E">
            <w:pPr>
              <w:contextualSpacing/>
              <w:rPr>
                <w:rFonts w:ascii="Calibri" w:hAnsi="Calibri"/>
                <w:i/>
                <w:sz w:val="18"/>
                <w:szCs w:val="18"/>
              </w:rPr>
            </w:pPr>
          </w:p>
        </w:tc>
        <w:tc>
          <w:tcPr>
            <w:tcW w:w="8072" w:type="dxa"/>
            <w:gridSpan w:val="5"/>
            <w:tcBorders>
              <w:top w:val="single" w:sz="4" w:space="0" w:color="auto"/>
              <w:left w:val="nil"/>
              <w:bottom w:val="nil"/>
              <w:right w:val="nil"/>
            </w:tcBorders>
          </w:tcPr>
          <w:p w:rsidR="00126C9E" w:rsidRPr="0056672F" w:rsidRDefault="00126C9E" w:rsidP="00126C9E">
            <w:pPr>
              <w:contextualSpacing/>
              <w:rPr>
                <w:rFonts w:ascii="Calibri" w:hAnsi="Calibri"/>
                <w:i/>
                <w:sz w:val="18"/>
                <w:szCs w:val="18"/>
              </w:rPr>
            </w:pPr>
          </w:p>
        </w:tc>
      </w:tr>
    </w:tbl>
    <w:p w:rsidR="00E706C8" w:rsidRPr="00126C9E" w:rsidRDefault="00126C9E" w:rsidP="00126C9E">
      <w:pPr>
        <w:pStyle w:val="Heading2"/>
        <w:rPr>
          <w:rFonts w:asciiTheme="minorHAnsi" w:hAnsiTheme="minorHAnsi"/>
          <w:sz w:val="30"/>
          <w:szCs w:val="30"/>
        </w:rPr>
      </w:pPr>
      <w:bookmarkStart w:id="51" w:name="_Appendix_D.3:_Inexperienced"/>
      <w:bookmarkStart w:id="52" w:name="_Toc509831838"/>
      <w:bookmarkEnd w:id="51"/>
      <w:r>
        <w:rPr>
          <w:rFonts w:asciiTheme="minorHAnsi" w:hAnsiTheme="minorHAnsi"/>
          <w:sz w:val="30"/>
          <w:szCs w:val="30"/>
        </w:rPr>
        <w:lastRenderedPageBreak/>
        <w:t xml:space="preserve">Appendix D.3: </w:t>
      </w:r>
      <w:r w:rsidR="00E706C8" w:rsidRPr="00126C9E">
        <w:rPr>
          <w:rFonts w:asciiTheme="minorHAnsi" w:hAnsiTheme="minorHAnsi"/>
          <w:sz w:val="30"/>
          <w:szCs w:val="30"/>
        </w:rPr>
        <w:t>Inexperienced</w:t>
      </w:r>
      <w:r w:rsidR="004C25B7" w:rsidRPr="00126C9E">
        <w:rPr>
          <w:rFonts w:asciiTheme="minorHAnsi" w:hAnsiTheme="minorHAnsi"/>
          <w:sz w:val="30"/>
          <w:szCs w:val="30"/>
        </w:rPr>
        <w:t xml:space="preserve"> teachers</w:t>
      </w:r>
      <w:bookmarkEnd w:id="52"/>
    </w:p>
    <w:p w:rsidR="004A4FF9" w:rsidRDefault="00126C9E" w:rsidP="00F66DD8">
      <w:pPr>
        <w:rPr>
          <w:rFonts w:asciiTheme="minorHAnsi" w:hAnsiTheme="minorHAnsi"/>
          <w:sz w:val="22"/>
          <w:szCs w:val="22"/>
        </w:rPr>
      </w:pPr>
      <w:r>
        <w:rPr>
          <w:rFonts w:asciiTheme="minorHAnsi" w:hAnsiTheme="minorHAnsi"/>
          <w:sz w:val="22"/>
          <w:szCs w:val="22"/>
        </w:rPr>
        <w:t>Graphs 9 and 10 show</w:t>
      </w:r>
      <w:r w:rsidR="006425EF" w:rsidRPr="006425EF">
        <w:rPr>
          <w:rFonts w:asciiTheme="minorHAnsi" w:hAnsiTheme="minorHAnsi"/>
          <w:sz w:val="22"/>
          <w:szCs w:val="22"/>
        </w:rPr>
        <w:t xml:space="preserve"> </w:t>
      </w:r>
      <w:r w:rsidR="006425EF">
        <w:rPr>
          <w:rFonts w:asciiTheme="minorHAnsi" w:hAnsiTheme="minorHAnsi"/>
          <w:sz w:val="22"/>
          <w:szCs w:val="22"/>
        </w:rPr>
        <w:t>the proportion of students in a subgroup assigned to at least one first</w:t>
      </w:r>
      <w:r w:rsidR="00441AF8">
        <w:rPr>
          <w:rFonts w:asciiTheme="minorHAnsi" w:hAnsiTheme="minorHAnsi"/>
          <w:sz w:val="22"/>
          <w:szCs w:val="22"/>
        </w:rPr>
        <w:t>-</w:t>
      </w:r>
      <w:r w:rsidR="006425EF">
        <w:rPr>
          <w:rFonts w:asciiTheme="minorHAnsi" w:hAnsiTheme="minorHAnsi"/>
          <w:sz w:val="22"/>
          <w:szCs w:val="22"/>
        </w:rPr>
        <w:t xml:space="preserve">year teacher in a given school year. Unlike the data on </w:t>
      </w:r>
      <w:hyperlink w:anchor="_Appendix_D:_Longitudinal" w:history="1">
        <w:r w:rsidRPr="00A26836">
          <w:rPr>
            <w:rStyle w:val="Hyperlink"/>
            <w:rFonts w:asciiTheme="minorHAnsi" w:hAnsiTheme="minorHAnsi"/>
            <w:sz w:val="22"/>
            <w:szCs w:val="22"/>
          </w:rPr>
          <w:t xml:space="preserve">page </w:t>
        </w:r>
        <w:r w:rsidR="00DD2FFD">
          <w:rPr>
            <w:rStyle w:val="Hyperlink"/>
            <w:rFonts w:asciiTheme="minorHAnsi" w:hAnsiTheme="minorHAnsi"/>
            <w:sz w:val="22"/>
            <w:szCs w:val="22"/>
          </w:rPr>
          <w:t>2</w:t>
        </w:r>
        <w:r w:rsidR="00983216">
          <w:rPr>
            <w:rStyle w:val="Hyperlink"/>
            <w:rFonts w:asciiTheme="minorHAnsi" w:hAnsiTheme="minorHAnsi"/>
            <w:sz w:val="22"/>
            <w:szCs w:val="22"/>
          </w:rPr>
          <w:t>0</w:t>
        </w:r>
      </w:hyperlink>
      <w:r>
        <w:rPr>
          <w:rFonts w:asciiTheme="minorHAnsi" w:hAnsiTheme="minorHAnsi"/>
          <w:sz w:val="22"/>
          <w:szCs w:val="22"/>
        </w:rPr>
        <w:t>, these graphs show</w:t>
      </w:r>
      <w:r w:rsidR="006425EF">
        <w:rPr>
          <w:rFonts w:asciiTheme="minorHAnsi" w:hAnsiTheme="minorHAnsi"/>
          <w:sz w:val="22"/>
          <w:szCs w:val="22"/>
        </w:rPr>
        <w:t xml:space="preserve"> the </w:t>
      </w:r>
      <w:r>
        <w:rPr>
          <w:rFonts w:asciiTheme="minorHAnsi" w:hAnsiTheme="minorHAnsi"/>
          <w:sz w:val="22"/>
          <w:szCs w:val="22"/>
        </w:rPr>
        <w:t>percent</w:t>
      </w:r>
      <w:r w:rsidR="006425EF">
        <w:rPr>
          <w:rFonts w:asciiTheme="minorHAnsi" w:hAnsiTheme="minorHAnsi"/>
          <w:sz w:val="22"/>
          <w:szCs w:val="22"/>
        </w:rPr>
        <w:t xml:space="preserve"> of </w:t>
      </w:r>
      <w:r w:rsidR="006425EF">
        <w:rPr>
          <w:rFonts w:asciiTheme="minorHAnsi" w:hAnsiTheme="minorHAnsi"/>
          <w:i/>
          <w:sz w:val="22"/>
          <w:szCs w:val="22"/>
        </w:rPr>
        <w:t>student</w:t>
      </w:r>
      <w:r w:rsidR="006425EF">
        <w:rPr>
          <w:rFonts w:asciiTheme="minorHAnsi" w:hAnsiTheme="minorHAnsi"/>
          <w:sz w:val="22"/>
          <w:szCs w:val="22"/>
        </w:rPr>
        <w:t>s with first</w:t>
      </w:r>
      <w:r w:rsidR="00441AF8">
        <w:rPr>
          <w:rFonts w:asciiTheme="minorHAnsi" w:hAnsiTheme="minorHAnsi"/>
          <w:sz w:val="22"/>
          <w:szCs w:val="22"/>
        </w:rPr>
        <w:t>-</w:t>
      </w:r>
      <w:r w:rsidR="006425EF">
        <w:rPr>
          <w:rFonts w:asciiTheme="minorHAnsi" w:hAnsiTheme="minorHAnsi"/>
          <w:sz w:val="22"/>
          <w:szCs w:val="22"/>
        </w:rPr>
        <w:t xml:space="preserve">year teachers, not the </w:t>
      </w:r>
      <w:r>
        <w:rPr>
          <w:rFonts w:asciiTheme="minorHAnsi" w:hAnsiTheme="minorHAnsi"/>
          <w:sz w:val="22"/>
          <w:szCs w:val="22"/>
        </w:rPr>
        <w:t>percent</w:t>
      </w:r>
      <w:r w:rsidR="006425EF">
        <w:rPr>
          <w:rFonts w:asciiTheme="minorHAnsi" w:hAnsiTheme="minorHAnsi"/>
          <w:sz w:val="22"/>
          <w:szCs w:val="22"/>
        </w:rPr>
        <w:t xml:space="preserve"> of </w:t>
      </w:r>
      <w:r w:rsidR="006425EF">
        <w:rPr>
          <w:rFonts w:asciiTheme="minorHAnsi" w:hAnsiTheme="minorHAnsi"/>
          <w:i/>
          <w:sz w:val="22"/>
          <w:szCs w:val="22"/>
        </w:rPr>
        <w:t>course assignments</w:t>
      </w:r>
      <w:r w:rsidR="006425EF">
        <w:t xml:space="preserve"> </w:t>
      </w:r>
      <w:r w:rsidR="006425EF" w:rsidRPr="006425EF">
        <w:rPr>
          <w:rFonts w:asciiTheme="minorHAnsi" w:hAnsiTheme="minorHAnsi"/>
          <w:sz w:val="22"/>
          <w:szCs w:val="22"/>
        </w:rPr>
        <w:t xml:space="preserve">with </w:t>
      </w:r>
      <w:r w:rsidR="006425EF">
        <w:rPr>
          <w:rFonts w:asciiTheme="minorHAnsi" w:hAnsiTheme="minorHAnsi"/>
          <w:sz w:val="22"/>
          <w:szCs w:val="22"/>
        </w:rPr>
        <w:t>first</w:t>
      </w:r>
      <w:r w:rsidR="00441AF8">
        <w:rPr>
          <w:rFonts w:asciiTheme="minorHAnsi" w:hAnsiTheme="minorHAnsi"/>
          <w:sz w:val="22"/>
          <w:szCs w:val="22"/>
        </w:rPr>
        <w:t>-</w:t>
      </w:r>
      <w:r w:rsidR="006425EF">
        <w:rPr>
          <w:rFonts w:asciiTheme="minorHAnsi" w:hAnsiTheme="minorHAnsi"/>
          <w:sz w:val="22"/>
          <w:szCs w:val="22"/>
        </w:rPr>
        <w:t xml:space="preserve">year </w:t>
      </w:r>
      <w:r w:rsidR="006425EF" w:rsidRPr="006425EF">
        <w:rPr>
          <w:rFonts w:asciiTheme="minorHAnsi" w:hAnsiTheme="minorHAnsi"/>
          <w:sz w:val="22"/>
          <w:szCs w:val="22"/>
        </w:rPr>
        <w:t>teachers.</w:t>
      </w:r>
      <w:r w:rsidR="002E2955">
        <w:rPr>
          <w:rFonts w:asciiTheme="minorHAnsi" w:hAnsiTheme="minorHAnsi"/>
          <w:sz w:val="22"/>
          <w:szCs w:val="22"/>
        </w:rPr>
        <w:t xml:space="preserve"> As an example, the first bar in the graph below indicates that among all non-economically disadvantaged students, 28.5 percent of the students had one or more first-year teachers in the 2016–17 school year.</w:t>
      </w:r>
    </w:p>
    <w:p w:rsidR="007B64F5" w:rsidRPr="007B64F5" w:rsidRDefault="007B64F5" w:rsidP="00F66DD8">
      <w:pPr>
        <w:rPr>
          <w:rFonts w:asciiTheme="minorHAnsi" w:hAnsiTheme="minorHAnsi"/>
          <w:sz w:val="8"/>
          <w:szCs w:val="8"/>
        </w:rPr>
      </w:pPr>
      <w:r w:rsidRPr="007B64F5">
        <w:rPr>
          <w:rFonts w:asciiTheme="minorHAnsi" w:hAnsiTheme="minorHAnsi"/>
          <w:sz w:val="8"/>
          <w:szCs w:val="8"/>
        </w:rPr>
        <w:t xml:space="preserve"> </w:t>
      </w:r>
    </w:p>
    <w:tbl>
      <w:tblPr>
        <w:tblStyle w:val="TableGrid"/>
        <w:tblW w:w="0" w:type="auto"/>
        <w:tblLook w:val="04A0" w:firstRow="1" w:lastRow="0" w:firstColumn="1" w:lastColumn="0" w:noHBand="0" w:noVBand="1"/>
        <w:tblDescription w:val="Percent of students assigned to one or more first-year teachers, 2016-17 and 2015-16"/>
      </w:tblPr>
      <w:tblGrid>
        <w:gridCol w:w="9350"/>
      </w:tblGrid>
      <w:tr w:rsidR="00A04C5B" w:rsidTr="008C4916">
        <w:trPr>
          <w:trHeight w:val="4382"/>
          <w:tblHeader/>
        </w:trPr>
        <w:tc>
          <w:tcPr>
            <w:tcW w:w="9576" w:type="dxa"/>
          </w:tcPr>
          <w:p w:rsidR="00A04C5B" w:rsidRDefault="005F100A" w:rsidP="00F66DD8">
            <w:r>
              <w:rPr>
                <w:noProof/>
                <w:lang w:eastAsia="zh-CN"/>
              </w:rPr>
              <mc:AlternateContent>
                <mc:Choice Requires="wps">
                  <w:drawing>
                    <wp:anchor distT="0" distB="0" distL="114300" distR="114300" simplePos="0" relativeHeight="251661312" behindDoc="0" locked="0" layoutInCell="1" allowOverlap="1" wp14:anchorId="2E409D9A" wp14:editId="19340C8E">
                      <wp:simplePos x="0" y="0"/>
                      <wp:positionH relativeFrom="column">
                        <wp:posOffset>762000</wp:posOffset>
                      </wp:positionH>
                      <wp:positionV relativeFrom="paragraph">
                        <wp:posOffset>2513330</wp:posOffset>
                      </wp:positionV>
                      <wp:extent cx="4796155" cy="259715"/>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=953,748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409D9A" id="Text Box 10" o:spid="_x0000_s1033" type="#_x0000_t202" style="position:absolute;margin-left:60pt;margin-top:197.9pt;width:377.6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FWjhg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" stroked="f">
                      <v:textbo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=953,748 total students</w:t>
                            </w:r>
                          </w:p>
                        </w:txbxContent>
                      </v:textbox>
                    </v:shape>
                  </w:pict>
                </mc:Fallback>
              </mc:AlternateContent>
            </w:r>
            <w:r w:rsidR="00234C6B">
              <w:rPr>
                <w:noProof/>
                <w:lang w:eastAsia="zh-CN"/>
              </w:rPr>
              <w:drawing>
                <wp:anchor distT="0" distB="0" distL="114300" distR="114300" simplePos="0" relativeHeight="251649024" behindDoc="0" locked="0" layoutInCell="1" allowOverlap="1" wp14:anchorId="7FEADAD5" wp14:editId="6FDA1EED">
                  <wp:simplePos x="0" y="0"/>
                  <wp:positionH relativeFrom="column">
                    <wp:posOffset>923925</wp:posOffset>
                  </wp:positionH>
                  <wp:positionV relativeFrom="paragraph">
                    <wp:posOffset>17780</wp:posOffset>
                  </wp:positionV>
                  <wp:extent cx="4524375" cy="2466975"/>
                  <wp:effectExtent l="19050" t="0" r="9525" b="0"/>
                  <wp:wrapNone/>
                  <wp:docPr id="33" name="Picture 33" descr="Graph 9: Percent of students assigned to one or more first-year teachers, 2016-17&#10;Non-economically disadvantaged: 28.5%&#10;Economically disadvantaged: 33.8%&#10;White students: 27.5%&#10;Students of color: 34.1%&#10;Non-EL: 29.5%&#10;EL: 35.2%&#10;Students without disabilities: 30.3%&#10; Students with disabilities: 29.4%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7" cstate="print"/>
                          <a:srcRect/>
                          <a:stretch>
                            <a:fillRect/>
                          </a:stretch>
                        </pic:blipFill>
                        <pic:spPr bwMode="auto">
                          <a:xfrm>
                            <a:off x="0" y="0"/>
                            <a:ext cx="4524375" cy="2466975"/>
                          </a:xfrm>
                          <a:prstGeom prst="rect">
                            <a:avLst/>
                          </a:prstGeom>
                          <a:noFill/>
                          <a:ln w="9525">
                            <a:noFill/>
                            <a:miter lim="800000"/>
                            <a:headEnd/>
                            <a:tailEnd/>
                          </a:ln>
                        </pic:spPr>
                      </pic:pic>
                    </a:graphicData>
                  </a:graphic>
                </wp:anchor>
              </w:drawing>
            </w:r>
            <w:r w:rsidR="003A7BC6">
              <w:t xml:space="preserve"> </w:t>
            </w:r>
          </w:p>
        </w:tc>
      </w:tr>
      <w:tr w:rsidR="00A04C5B" w:rsidTr="003A7BC6">
        <w:trPr>
          <w:trHeight w:val="4220"/>
        </w:trPr>
        <w:tc>
          <w:tcPr>
            <w:tcW w:w="9576" w:type="dxa"/>
          </w:tcPr>
          <w:p w:rsidR="00A04C5B" w:rsidRDefault="00234C6B" w:rsidP="00F66DD8">
            <w:r>
              <w:rPr>
                <w:noProof/>
                <w:lang w:eastAsia="zh-CN"/>
              </w:rPr>
              <w:drawing>
                <wp:anchor distT="0" distB="0" distL="114300" distR="114300" simplePos="0" relativeHeight="251650048" behindDoc="0" locked="0" layoutInCell="1" allowOverlap="1" wp14:anchorId="1DE16C8D" wp14:editId="6C0E19D6">
                  <wp:simplePos x="0" y="0"/>
                  <wp:positionH relativeFrom="column">
                    <wp:posOffset>685800</wp:posOffset>
                  </wp:positionH>
                  <wp:positionV relativeFrom="paragraph">
                    <wp:posOffset>105410</wp:posOffset>
                  </wp:positionV>
                  <wp:extent cx="4933950" cy="2466975"/>
                  <wp:effectExtent l="19050" t="0" r="0" b="0"/>
                  <wp:wrapNone/>
                  <wp:docPr id="36" name="Picture 36" descr="Graph 10: Percent of students assigned to one or more first-year teachers, 2015-16&#10;Non-economically disadvantaged: 30.8%&#10;Economically disadvantaged: 35.5%&#10;White students: 30%&#10; Students of color: 35.9% &#10;Non-EL: 31.9%&#10;EL: 35.4%&#10;Students without disabilities: 32.5%&#10;Students with disabilities: 3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cstate="print"/>
                          <a:srcRect/>
                          <a:stretch>
                            <a:fillRect/>
                          </a:stretch>
                        </pic:blipFill>
                        <pic:spPr bwMode="auto">
                          <a:xfrm>
                            <a:off x="0" y="0"/>
                            <a:ext cx="4933950" cy="2466975"/>
                          </a:xfrm>
                          <a:prstGeom prst="rect">
                            <a:avLst/>
                          </a:prstGeom>
                          <a:noFill/>
                          <a:ln w="9525">
                            <a:noFill/>
                            <a:miter lim="800000"/>
                            <a:headEnd/>
                            <a:tailEnd/>
                          </a:ln>
                        </pic:spPr>
                      </pic:pic>
                    </a:graphicData>
                  </a:graphic>
                </wp:anchor>
              </w:drawing>
            </w:r>
            <w:r w:rsidR="005F100A">
              <w:rPr>
                <w:noProof/>
                <w:lang w:eastAsia="zh-CN"/>
              </w:rPr>
              <mc:AlternateContent>
                <mc:Choice Requires="wps">
                  <w:drawing>
                    <wp:anchor distT="0" distB="0" distL="114300" distR="114300" simplePos="0" relativeHeight="251663360" behindDoc="0" locked="0" layoutInCell="1" allowOverlap="1" wp14:anchorId="740224EB" wp14:editId="7BCAD2DE">
                      <wp:simplePos x="0" y="0"/>
                      <wp:positionH relativeFrom="column">
                        <wp:posOffset>894715</wp:posOffset>
                      </wp:positionH>
                      <wp:positionV relativeFrom="paragraph">
                        <wp:posOffset>2373630</wp:posOffset>
                      </wp:positionV>
                      <wp:extent cx="4796155" cy="25971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=953,428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0224EB" id="Text Box 17" o:spid="_x0000_s1034" type="#_x0000_t202" style="position:absolute;margin-left:70.45pt;margin-top:186.9pt;width:377.65pt;height:2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7XhwIAABg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" stroked="f">
                      <v:textbo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=953,428 total students</w:t>
                            </w:r>
                          </w:p>
                        </w:txbxContent>
                      </v:textbox>
                    </v:shape>
                  </w:pict>
                </mc:Fallback>
              </mc:AlternateContent>
            </w:r>
            <w:r w:rsidR="003A7BC6">
              <w:t xml:space="preserve"> </w:t>
            </w:r>
          </w:p>
        </w:tc>
      </w:tr>
    </w:tbl>
    <w:p w:rsidR="007B64F5" w:rsidRPr="007B64F5" w:rsidRDefault="007B64F5" w:rsidP="00F66DD8">
      <w:pPr>
        <w:rPr>
          <w:rFonts w:asciiTheme="minorHAnsi" w:hAnsiTheme="minorHAnsi"/>
          <w:sz w:val="8"/>
          <w:szCs w:val="8"/>
        </w:rPr>
      </w:pPr>
      <w:r w:rsidRPr="007B64F5">
        <w:rPr>
          <w:rFonts w:asciiTheme="minorHAnsi" w:hAnsiTheme="minorHAnsi"/>
          <w:sz w:val="8"/>
          <w:szCs w:val="8"/>
        </w:rPr>
        <w:t xml:space="preserve"> </w:t>
      </w:r>
    </w:p>
    <w:p w:rsidR="00C95E5E" w:rsidRPr="00ED6F5C" w:rsidRDefault="00ED6F5C" w:rsidP="00F66DD8">
      <w:pPr>
        <w:rPr>
          <w:rFonts w:asciiTheme="minorHAnsi" w:hAnsiTheme="minorHAnsi"/>
          <w:b/>
          <w:sz w:val="22"/>
          <w:szCs w:val="22"/>
        </w:rPr>
      </w:pPr>
      <w:r>
        <w:rPr>
          <w:rFonts w:asciiTheme="minorHAnsi" w:hAnsiTheme="minorHAnsi"/>
          <w:b/>
          <w:sz w:val="22"/>
          <w:szCs w:val="22"/>
        </w:rPr>
        <w:t>T</w:t>
      </w:r>
      <w:r w:rsidRPr="00084C83">
        <w:rPr>
          <w:rFonts w:asciiTheme="minorHAnsi" w:hAnsiTheme="minorHAnsi"/>
          <w:b/>
          <w:sz w:val="22"/>
          <w:szCs w:val="22"/>
        </w:rPr>
        <w:t xml:space="preserve">able </w:t>
      </w:r>
      <w:r w:rsidR="00DC145E">
        <w:rPr>
          <w:rFonts w:asciiTheme="minorHAnsi" w:hAnsiTheme="minorHAnsi"/>
          <w:b/>
          <w:sz w:val="22"/>
          <w:szCs w:val="22"/>
        </w:rPr>
        <w:t>8</w:t>
      </w:r>
      <w:r>
        <w:rPr>
          <w:rFonts w:asciiTheme="minorHAnsi" w:hAnsiTheme="minorHAnsi"/>
          <w:b/>
          <w:sz w:val="22"/>
          <w:szCs w:val="22"/>
        </w:rPr>
        <w:t>: Percent of first-year teachers, by school demographic quartile</w:t>
      </w:r>
    </w:p>
    <w:tbl>
      <w:tblPr>
        <w:tblpPr w:leftFromText="180" w:rightFromText="180" w:vertAnchor="text" w:horzAnchor="margin" w:tblpXSpec="center" w:tblpY="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1614"/>
        <w:gridCol w:w="1639"/>
        <w:gridCol w:w="1638"/>
        <w:gridCol w:w="1643"/>
        <w:gridCol w:w="1643"/>
      </w:tblGrid>
      <w:tr w:rsidR="00A04C5B" w:rsidRPr="009C1EE6" w:rsidTr="00ED6F5C">
        <w:tc>
          <w:tcPr>
            <w:tcW w:w="1188"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rsidR="00A04C5B" w:rsidRPr="00ED6F5C" w:rsidRDefault="00A04C5B" w:rsidP="000127E5">
            <w:pPr>
              <w:contextualSpacing/>
              <w:jc w:val="center"/>
              <w:rPr>
                <w:rFonts w:ascii="Calibri" w:hAnsi="Calibri"/>
              </w:rPr>
            </w:pPr>
          </w:p>
        </w:tc>
        <w:tc>
          <w:tcPr>
            <w:tcW w:w="1677" w:type="dxa"/>
            <w:tcBorders>
              <w:left w:val="single" w:sz="8" w:space="0" w:color="auto"/>
            </w:tcBorders>
          </w:tcPr>
          <w:p w:rsidR="00A04C5B" w:rsidRPr="00A04C5B" w:rsidRDefault="00A04C5B" w:rsidP="000127E5">
            <w:pPr>
              <w:contextualSpacing/>
              <w:jc w:val="center"/>
              <w:rPr>
                <w:rFonts w:ascii="Calibri" w:hAnsi="Calibri"/>
                <w:b/>
              </w:rPr>
            </w:pPr>
            <w:r w:rsidRPr="00A04C5B">
              <w:rPr>
                <w:rFonts w:ascii="Calibri" w:hAnsi="Calibri"/>
                <w:b/>
              </w:rPr>
              <w:t>MA All</w:t>
            </w:r>
          </w:p>
        </w:tc>
        <w:tc>
          <w:tcPr>
            <w:tcW w:w="1678" w:type="dxa"/>
          </w:tcPr>
          <w:p w:rsidR="00A04C5B" w:rsidRPr="00A04C5B" w:rsidRDefault="00A04C5B" w:rsidP="000127E5">
            <w:pPr>
              <w:contextualSpacing/>
              <w:jc w:val="center"/>
              <w:rPr>
                <w:rFonts w:ascii="Calibri" w:hAnsi="Calibri"/>
                <w:b/>
              </w:rPr>
            </w:pPr>
            <w:r w:rsidRPr="00A04C5B">
              <w:rPr>
                <w:rFonts w:ascii="Calibri" w:hAnsi="Calibri"/>
                <w:b/>
              </w:rPr>
              <w:t>High poverty quartile</w:t>
            </w:r>
          </w:p>
        </w:tc>
        <w:tc>
          <w:tcPr>
            <w:tcW w:w="1677" w:type="dxa"/>
          </w:tcPr>
          <w:p w:rsidR="00A04C5B" w:rsidRPr="00A04C5B" w:rsidRDefault="00A04C5B" w:rsidP="000127E5">
            <w:pPr>
              <w:contextualSpacing/>
              <w:jc w:val="center"/>
              <w:rPr>
                <w:rFonts w:ascii="Calibri" w:hAnsi="Calibri"/>
                <w:b/>
              </w:rPr>
            </w:pPr>
            <w:r w:rsidRPr="00A04C5B">
              <w:rPr>
                <w:rFonts w:ascii="Calibri" w:hAnsi="Calibri"/>
                <w:b/>
              </w:rPr>
              <w:t>Low poverty quartile</w:t>
            </w:r>
          </w:p>
        </w:tc>
        <w:tc>
          <w:tcPr>
            <w:tcW w:w="1678" w:type="dxa"/>
          </w:tcPr>
          <w:p w:rsidR="00A04C5B" w:rsidRPr="00A04C5B" w:rsidRDefault="00A04C5B" w:rsidP="000127E5">
            <w:pPr>
              <w:contextualSpacing/>
              <w:jc w:val="center"/>
              <w:rPr>
                <w:rFonts w:ascii="Calibri" w:hAnsi="Calibri"/>
                <w:b/>
              </w:rPr>
            </w:pPr>
            <w:r w:rsidRPr="00A04C5B">
              <w:rPr>
                <w:rFonts w:ascii="Calibri" w:hAnsi="Calibri"/>
                <w:b/>
              </w:rPr>
              <w:t>High minority quartile</w:t>
            </w:r>
          </w:p>
        </w:tc>
        <w:tc>
          <w:tcPr>
            <w:tcW w:w="1678" w:type="dxa"/>
          </w:tcPr>
          <w:p w:rsidR="00A04C5B" w:rsidRPr="00A04C5B" w:rsidRDefault="00A04C5B" w:rsidP="00A04C5B">
            <w:pPr>
              <w:contextualSpacing/>
              <w:jc w:val="center"/>
              <w:rPr>
                <w:rFonts w:ascii="Calibri" w:hAnsi="Calibri"/>
                <w:b/>
              </w:rPr>
            </w:pPr>
            <w:r w:rsidRPr="00A04C5B">
              <w:rPr>
                <w:rFonts w:ascii="Calibri" w:hAnsi="Calibri"/>
                <w:b/>
              </w:rPr>
              <w:t>Low minority quartile</w:t>
            </w:r>
          </w:p>
        </w:tc>
      </w:tr>
      <w:tr w:rsidR="00A04C5B" w:rsidRPr="009C1EE6" w:rsidTr="00ED6F5C">
        <w:tc>
          <w:tcPr>
            <w:tcW w:w="1188" w:type="dxa"/>
            <w:tcBorders>
              <w:top w:val="single" w:sz="8" w:space="0" w:color="auto"/>
              <w:bottom w:val="single" w:sz="4" w:space="0" w:color="auto"/>
            </w:tcBorders>
            <w:shd w:val="clear" w:color="auto" w:fill="B8CCE4" w:themeFill="accent1" w:themeFillTint="66"/>
          </w:tcPr>
          <w:p w:rsidR="00A04C5B" w:rsidRPr="00A04C5B" w:rsidRDefault="00A04C5B" w:rsidP="000127E5">
            <w:pPr>
              <w:contextualSpacing/>
              <w:jc w:val="center"/>
              <w:rPr>
                <w:rFonts w:ascii="Calibri" w:hAnsi="Calibri"/>
                <w:b/>
              </w:rPr>
            </w:pPr>
            <w:r w:rsidRPr="00A04C5B">
              <w:rPr>
                <w:rFonts w:ascii="Calibri" w:hAnsi="Calibri"/>
                <w:b/>
              </w:rPr>
              <w:t>2016</w:t>
            </w:r>
            <w:r w:rsidR="00237EF1">
              <w:rPr>
                <w:rFonts w:ascii="Helvetica" w:eastAsia="Helvetica" w:hAnsi="Helvetica" w:cs="Helvetica"/>
                <w:b/>
              </w:rPr>
              <w:t>–</w:t>
            </w:r>
            <w:r w:rsidRPr="00A04C5B">
              <w:rPr>
                <w:rFonts w:ascii="Calibri" w:hAnsi="Calibri"/>
                <w:b/>
              </w:rPr>
              <w:t>17</w:t>
            </w:r>
          </w:p>
        </w:tc>
        <w:tc>
          <w:tcPr>
            <w:tcW w:w="1677" w:type="dxa"/>
            <w:tcBorders>
              <w:bottom w:val="single" w:sz="4" w:space="0" w:color="auto"/>
            </w:tcBorders>
          </w:tcPr>
          <w:p w:rsidR="00A04C5B" w:rsidRDefault="007757FA" w:rsidP="000127E5">
            <w:pPr>
              <w:contextualSpacing/>
              <w:jc w:val="center"/>
              <w:rPr>
                <w:rFonts w:ascii="Calibri" w:hAnsi="Calibri"/>
              </w:rPr>
            </w:pPr>
            <w:r>
              <w:rPr>
                <w:rFonts w:ascii="Calibri" w:hAnsi="Calibri"/>
              </w:rPr>
              <w:t>6.6</w:t>
            </w:r>
          </w:p>
        </w:tc>
        <w:tc>
          <w:tcPr>
            <w:tcW w:w="1678" w:type="dxa"/>
            <w:tcBorders>
              <w:bottom w:val="single" w:sz="4" w:space="0" w:color="auto"/>
            </w:tcBorders>
          </w:tcPr>
          <w:p w:rsidR="00A04C5B" w:rsidRDefault="007757FA" w:rsidP="000127E5">
            <w:pPr>
              <w:contextualSpacing/>
              <w:jc w:val="center"/>
              <w:rPr>
                <w:rFonts w:ascii="Calibri" w:hAnsi="Calibri"/>
              </w:rPr>
            </w:pPr>
            <w:r>
              <w:rPr>
                <w:rFonts w:ascii="Calibri" w:hAnsi="Calibri"/>
              </w:rPr>
              <w:t>11.5</w:t>
            </w:r>
          </w:p>
        </w:tc>
        <w:tc>
          <w:tcPr>
            <w:tcW w:w="1677" w:type="dxa"/>
            <w:tcBorders>
              <w:bottom w:val="single" w:sz="4" w:space="0" w:color="auto"/>
            </w:tcBorders>
          </w:tcPr>
          <w:p w:rsidR="00A04C5B" w:rsidRDefault="007757FA" w:rsidP="000127E5">
            <w:pPr>
              <w:contextualSpacing/>
              <w:jc w:val="center"/>
              <w:rPr>
                <w:rFonts w:ascii="Calibri" w:hAnsi="Calibri"/>
              </w:rPr>
            </w:pPr>
            <w:r>
              <w:rPr>
                <w:rFonts w:ascii="Calibri" w:hAnsi="Calibri"/>
              </w:rPr>
              <w:t>4.6</w:t>
            </w:r>
          </w:p>
        </w:tc>
        <w:tc>
          <w:tcPr>
            <w:tcW w:w="1678" w:type="dxa"/>
            <w:tcBorders>
              <w:bottom w:val="single" w:sz="4" w:space="0" w:color="auto"/>
            </w:tcBorders>
          </w:tcPr>
          <w:p w:rsidR="00A04C5B" w:rsidRDefault="007757FA" w:rsidP="000127E5">
            <w:pPr>
              <w:contextualSpacing/>
              <w:jc w:val="center"/>
              <w:rPr>
                <w:rFonts w:ascii="Calibri" w:hAnsi="Calibri"/>
              </w:rPr>
            </w:pPr>
            <w:r>
              <w:rPr>
                <w:rFonts w:ascii="Calibri" w:hAnsi="Calibri"/>
              </w:rPr>
              <w:t>10.8</w:t>
            </w:r>
          </w:p>
        </w:tc>
        <w:tc>
          <w:tcPr>
            <w:tcW w:w="1678" w:type="dxa"/>
            <w:tcBorders>
              <w:bottom w:val="single" w:sz="4" w:space="0" w:color="auto"/>
            </w:tcBorders>
          </w:tcPr>
          <w:p w:rsidR="00A04C5B" w:rsidRDefault="007757FA" w:rsidP="000127E5">
            <w:pPr>
              <w:contextualSpacing/>
              <w:jc w:val="center"/>
              <w:rPr>
                <w:rFonts w:ascii="Calibri" w:hAnsi="Calibri"/>
              </w:rPr>
            </w:pPr>
            <w:r>
              <w:rPr>
                <w:rFonts w:ascii="Calibri" w:hAnsi="Calibri"/>
              </w:rPr>
              <w:t>4.4</w:t>
            </w:r>
          </w:p>
        </w:tc>
      </w:tr>
      <w:tr w:rsidR="00A04C5B" w:rsidRPr="009C1EE6" w:rsidTr="00A04C5B">
        <w:tc>
          <w:tcPr>
            <w:tcW w:w="1188" w:type="dxa"/>
            <w:tcBorders>
              <w:bottom w:val="single" w:sz="4" w:space="0" w:color="auto"/>
            </w:tcBorders>
            <w:shd w:val="clear" w:color="auto" w:fill="B8CCE4" w:themeFill="accent1" w:themeFillTint="66"/>
          </w:tcPr>
          <w:p w:rsidR="00A04C5B" w:rsidRPr="00A04C5B" w:rsidRDefault="00A04C5B" w:rsidP="000127E5">
            <w:pPr>
              <w:contextualSpacing/>
              <w:jc w:val="center"/>
              <w:rPr>
                <w:rFonts w:ascii="Calibri" w:hAnsi="Calibri"/>
                <w:b/>
              </w:rPr>
            </w:pPr>
            <w:r w:rsidRPr="00A04C5B">
              <w:rPr>
                <w:rFonts w:ascii="Calibri" w:hAnsi="Calibri"/>
                <w:b/>
              </w:rPr>
              <w:t>2015</w:t>
            </w:r>
            <w:r w:rsidR="00237EF1">
              <w:rPr>
                <w:rFonts w:ascii="Helvetica" w:eastAsia="Helvetica" w:hAnsi="Helvetica" w:cs="Helvetica"/>
                <w:b/>
              </w:rPr>
              <w:t>–</w:t>
            </w:r>
            <w:r w:rsidRPr="00A04C5B">
              <w:rPr>
                <w:rFonts w:ascii="Calibri" w:hAnsi="Calibri"/>
                <w:b/>
              </w:rPr>
              <w:t>16</w:t>
            </w:r>
          </w:p>
        </w:tc>
        <w:tc>
          <w:tcPr>
            <w:tcW w:w="1677" w:type="dxa"/>
            <w:tcBorders>
              <w:bottom w:val="single" w:sz="4" w:space="0" w:color="auto"/>
            </w:tcBorders>
          </w:tcPr>
          <w:p w:rsidR="00A04C5B" w:rsidRPr="009C1EE6" w:rsidRDefault="00A04C5B" w:rsidP="000127E5">
            <w:pPr>
              <w:contextualSpacing/>
              <w:jc w:val="center"/>
              <w:rPr>
                <w:rFonts w:ascii="Calibri" w:hAnsi="Calibri"/>
              </w:rPr>
            </w:pPr>
            <w:r>
              <w:rPr>
                <w:rFonts w:ascii="Calibri" w:hAnsi="Calibri"/>
              </w:rPr>
              <w:t>7.0</w:t>
            </w:r>
          </w:p>
        </w:tc>
        <w:tc>
          <w:tcPr>
            <w:tcW w:w="1678" w:type="dxa"/>
            <w:tcBorders>
              <w:bottom w:val="single" w:sz="4" w:space="0" w:color="auto"/>
            </w:tcBorders>
          </w:tcPr>
          <w:p w:rsidR="00A04C5B" w:rsidRPr="009C1EE6" w:rsidRDefault="00A04C5B" w:rsidP="000127E5">
            <w:pPr>
              <w:contextualSpacing/>
              <w:jc w:val="center"/>
              <w:rPr>
                <w:rFonts w:ascii="Calibri" w:hAnsi="Calibri"/>
              </w:rPr>
            </w:pPr>
            <w:r>
              <w:rPr>
                <w:rFonts w:ascii="Calibri" w:hAnsi="Calibri"/>
              </w:rPr>
              <w:t>11.4</w:t>
            </w:r>
          </w:p>
        </w:tc>
        <w:tc>
          <w:tcPr>
            <w:tcW w:w="1677" w:type="dxa"/>
            <w:tcBorders>
              <w:bottom w:val="single" w:sz="4" w:space="0" w:color="auto"/>
            </w:tcBorders>
          </w:tcPr>
          <w:p w:rsidR="00A04C5B" w:rsidRPr="009C1EE6" w:rsidRDefault="00A04C5B" w:rsidP="000127E5">
            <w:pPr>
              <w:contextualSpacing/>
              <w:jc w:val="center"/>
              <w:rPr>
                <w:rFonts w:ascii="Calibri" w:hAnsi="Calibri"/>
              </w:rPr>
            </w:pPr>
            <w:r>
              <w:rPr>
                <w:rFonts w:ascii="Calibri" w:hAnsi="Calibri"/>
              </w:rPr>
              <w:t>5.3</w:t>
            </w:r>
          </w:p>
        </w:tc>
        <w:tc>
          <w:tcPr>
            <w:tcW w:w="1678" w:type="dxa"/>
            <w:tcBorders>
              <w:bottom w:val="single" w:sz="4" w:space="0" w:color="auto"/>
            </w:tcBorders>
          </w:tcPr>
          <w:p w:rsidR="00A04C5B" w:rsidRPr="009C1EE6" w:rsidRDefault="00A04C5B" w:rsidP="000127E5">
            <w:pPr>
              <w:contextualSpacing/>
              <w:jc w:val="center"/>
              <w:rPr>
                <w:rFonts w:ascii="Calibri" w:hAnsi="Calibri"/>
              </w:rPr>
            </w:pPr>
            <w:r>
              <w:rPr>
                <w:rFonts w:ascii="Calibri" w:hAnsi="Calibri"/>
              </w:rPr>
              <w:t>11.1</w:t>
            </w:r>
          </w:p>
        </w:tc>
        <w:tc>
          <w:tcPr>
            <w:tcW w:w="1678" w:type="dxa"/>
            <w:tcBorders>
              <w:bottom w:val="single" w:sz="4" w:space="0" w:color="auto"/>
            </w:tcBorders>
          </w:tcPr>
          <w:p w:rsidR="00A04C5B" w:rsidRPr="009C1EE6" w:rsidRDefault="00A04C5B" w:rsidP="000127E5">
            <w:pPr>
              <w:contextualSpacing/>
              <w:jc w:val="center"/>
              <w:rPr>
                <w:rFonts w:ascii="Calibri" w:hAnsi="Calibri"/>
              </w:rPr>
            </w:pPr>
            <w:r>
              <w:rPr>
                <w:rFonts w:ascii="Calibri" w:hAnsi="Calibri"/>
              </w:rPr>
              <w:t>5.0</w:t>
            </w:r>
          </w:p>
        </w:tc>
      </w:tr>
      <w:tr w:rsidR="00A04C5B" w:rsidRPr="009C1EE6" w:rsidTr="00A04C5B">
        <w:tc>
          <w:tcPr>
            <w:tcW w:w="1188" w:type="dxa"/>
            <w:tcBorders>
              <w:bottom w:val="single" w:sz="4" w:space="0" w:color="auto"/>
            </w:tcBorders>
            <w:shd w:val="clear" w:color="auto" w:fill="B8CCE4" w:themeFill="accent1" w:themeFillTint="66"/>
          </w:tcPr>
          <w:p w:rsidR="00A04C5B" w:rsidRPr="00A04C5B" w:rsidRDefault="00A04C5B" w:rsidP="000127E5">
            <w:pPr>
              <w:contextualSpacing/>
              <w:jc w:val="center"/>
              <w:rPr>
                <w:rFonts w:ascii="Calibri" w:hAnsi="Calibri"/>
                <w:b/>
              </w:rPr>
            </w:pPr>
            <w:r w:rsidRPr="00A04C5B">
              <w:rPr>
                <w:rFonts w:ascii="Calibri" w:hAnsi="Calibri"/>
                <w:b/>
              </w:rPr>
              <w:t>2014</w:t>
            </w:r>
            <w:r w:rsidR="00237EF1">
              <w:rPr>
                <w:rFonts w:ascii="Helvetica" w:eastAsia="Helvetica" w:hAnsi="Helvetica" w:cs="Helvetica"/>
                <w:b/>
              </w:rPr>
              <w:t>–</w:t>
            </w:r>
            <w:r w:rsidRPr="00A04C5B">
              <w:rPr>
                <w:rFonts w:ascii="Calibri" w:hAnsi="Calibri"/>
                <w:b/>
              </w:rPr>
              <w:t>15</w:t>
            </w:r>
          </w:p>
        </w:tc>
        <w:tc>
          <w:tcPr>
            <w:tcW w:w="1677" w:type="dxa"/>
            <w:tcBorders>
              <w:bottom w:val="single" w:sz="4" w:space="0" w:color="auto"/>
            </w:tcBorders>
          </w:tcPr>
          <w:p w:rsidR="00A04C5B" w:rsidRDefault="000127E5" w:rsidP="000127E5">
            <w:pPr>
              <w:contextualSpacing/>
              <w:jc w:val="center"/>
              <w:rPr>
                <w:rFonts w:ascii="Calibri" w:hAnsi="Calibri"/>
              </w:rPr>
            </w:pPr>
            <w:r>
              <w:rPr>
                <w:rFonts w:ascii="Calibri" w:hAnsi="Calibri"/>
              </w:rPr>
              <w:t>7.0</w:t>
            </w:r>
          </w:p>
        </w:tc>
        <w:tc>
          <w:tcPr>
            <w:tcW w:w="1678" w:type="dxa"/>
            <w:tcBorders>
              <w:bottom w:val="single" w:sz="4" w:space="0" w:color="auto"/>
            </w:tcBorders>
          </w:tcPr>
          <w:p w:rsidR="00A04C5B" w:rsidRDefault="000127E5" w:rsidP="000127E5">
            <w:pPr>
              <w:contextualSpacing/>
              <w:jc w:val="center"/>
              <w:rPr>
                <w:rFonts w:ascii="Calibri" w:hAnsi="Calibri"/>
              </w:rPr>
            </w:pPr>
            <w:r>
              <w:rPr>
                <w:rFonts w:ascii="Calibri" w:hAnsi="Calibri"/>
              </w:rPr>
              <w:t>10.4</w:t>
            </w:r>
          </w:p>
        </w:tc>
        <w:tc>
          <w:tcPr>
            <w:tcW w:w="1677" w:type="dxa"/>
            <w:tcBorders>
              <w:bottom w:val="single" w:sz="4" w:space="0" w:color="auto"/>
            </w:tcBorders>
          </w:tcPr>
          <w:p w:rsidR="00A04C5B" w:rsidRDefault="000127E5" w:rsidP="000127E5">
            <w:pPr>
              <w:contextualSpacing/>
              <w:jc w:val="center"/>
              <w:rPr>
                <w:rFonts w:ascii="Calibri" w:hAnsi="Calibri"/>
              </w:rPr>
            </w:pPr>
            <w:r>
              <w:rPr>
                <w:rFonts w:ascii="Calibri" w:hAnsi="Calibri"/>
              </w:rPr>
              <w:t>5.8</w:t>
            </w:r>
          </w:p>
        </w:tc>
        <w:tc>
          <w:tcPr>
            <w:tcW w:w="1678" w:type="dxa"/>
            <w:tcBorders>
              <w:bottom w:val="single" w:sz="4" w:space="0" w:color="auto"/>
            </w:tcBorders>
          </w:tcPr>
          <w:p w:rsidR="00A04C5B" w:rsidRDefault="000127E5" w:rsidP="000127E5">
            <w:pPr>
              <w:contextualSpacing/>
              <w:jc w:val="center"/>
              <w:rPr>
                <w:rFonts w:ascii="Calibri" w:hAnsi="Calibri"/>
              </w:rPr>
            </w:pPr>
            <w:r>
              <w:rPr>
                <w:rFonts w:ascii="Calibri" w:hAnsi="Calibri"/>
              </w:rPr>
              <w:t>10.2</w:t>
            </w:r>
          </w:p>
        </w:tc>
        <w:tc>
          <w:tcPr>
            <w:tcW w:w="1678" w:type="dxa"/>
            <w:tcBorders>
              <w:bottom w:val="single" w:sz="4" w:space="0" w:color="auto"/>
            </w:tcBorders>
          </w:tcPr>
          <w:p w:rsidR="00A04C5B" w:rsidRDefault="000127E5" w:rsidP="000127E5">
            <w:pPr>
              <w:contextualSpacing/>
              <w:jc w:val="center"/>
              <w:rPr>
                <w:rFonts w:ascii="Calibri" w:hAnsi="Calibri"/>
              </w:rPr>
            </w:pPr>
            <w:r>
              <w:rPr>
                <w:rFonts w:ascii="Calibri" w:hAnsi="Calibri"/>
              </w:rPr>
              <w:t>5.2</w:t>
            </w:r>
          </w:p>
        </w:tc>
      </w:tr>
      <w:tr w:rsidR="00A04C5B" w:rsidRPr="009C1EE6" w:rsidTr="00A04C5B">
        <w:tc>
          <w:tcPr>
            <w:tcW w:w="1188" w:type="dxa"/>
            <w:tcBorders>
              <w:top w:val="single" w:sz="4" w:space="0" w:color="auto"/>
              <w:left w:val="nil"/>
              <w:bottom w:val="nil"/>
              <w:right w:val="nil"/>
            </w:tcBorders>
          </w:tcPr>
          <w:p w:rsidR="00A04C5B" w:rsidRPr="0056672F" w:rsidRDefault="00A04C5B" w:rsidP="000127E5">
            <w:pPr>
              <w:contextualSpacing/>
              <w:rPr>
                <w:rFonts w:ascii="Calibri" w:hAnsi="Calibri"/>
                <w:i/>
                <w:sz w:val="18"/>
                <w:szCs w:val="18"/>
              </w:rPr>
            </w:pPr>
          </w:p>
        </w:tc>
        <w:tc>
          <w:tcPr>
            <w:tcW w:w="8388" w:type="dxa"/>
            <w:gridSpan w:val="5"/>
            <w:tcBorders>
              <w:top w:val="single" w:sz="4" w:space="0" w:color="auto"/>
              <w:left w:val="nil"/>
              <w:bottom w:val="nil"/>
              <w:right w:val="nil"/>
            </w:tcBorders>
          </w:tcPr>
          <w:p w:rsidR="00A04C5B" w:rsidRPr="0056672F" w:rsidRDefault="00A04C5B" w:rsidP="000127E5">
            <w:pPr>
              <w:contextualSpacing/>
              <w:rPr>
                <w:rFonts w:ascii="Calibri" w:hAnsi="Calibri"/>
                <w:i/>
                <w:sz w:val="18"/>
                <w:szCs w:val="18"/>
              </w:rPr>
            </w:pPr>
          </w:p>
        </w:tc>
      </w:tr>
    </w:tbl>
    <w:p w:rsidR="004A4FF9" w:rsidRDefault="00126C9E" w:rsidP="00126C9E">
      <w:pPr>
        <w:pStyle w:val="Heading2"/>
        <w:rPr>
          <w:rFonts w:asciiTheme="minorHAnsi" w:hAnsiTheme="minorHAnsi"/>
          <w:sz w:val="30"/>
          <w:szCs w:val="30"/>
        </w:rPr>
      </w:pPr>
      <w:bookmarkStart w:id="53" w:name="_Appendix_D.4:_Inexperienced"/>
      <w:bookmarkStart w:id="54" w:name="_Toc509831839"/>
      <w:bookmarkEnd w:id="53"/>
      <w:r>
        <w:rPr>
          <w:rFonts w:asciiTheme="minorHAnsi" w:hAnsiTheme="minorHAnsi"/>
          <w:sz w:val="30"/>
          <w:szCs w:val="30"/>
        </w:rPr>
        <w:lastRenderedPageBreak/>
        <w:t xml:space="preserve">Appendix D.4: </w:t>
      </w:r>
      <w:r w:rsidR="004C25B7" w:rsidRPr="00126C9E">
        <w:rPr>
          <w:rFonts w:asciiTheme="minorHAnsi" w:hAnsiTheme="minorHAnsi"/>
          <w:sz w:val="30"/>
          <w:szCs w:val="30"/>
        </w:rPr>
        <w:t>Inexperienced principals</w:t>
      </w:r>
      <w:bookmarkEnd w:id="54"/>
    </w:p>
    <w:p w:rsidR="00126C9E" w:rsidRPr="00126C9E" w:rsidRDefault="00126C9E" w:rsidP="00126C9E"/>
    <w:tbl>
      <w:tblPr>
        <w:tblStyle w:val="TableGrid"/>
        <w:tblW w:w="9591" w:type="dxa"/>
        <w:tblLook w:val="04A0" w:firstRow="1" w:lastRow="0" w:firstColumn="1" w:lastColumn="0" w:noHBand="0" w:noVBand="1"/>
        <w:tblDescription w:val="Percent of students assigned to schools with first-year principals, 2016-17 and 2015-16"/>
      </w:tblPr>
      <w:tblGrid>
        <w:gridCol w:w="9591"/>
      </w:tblGrid>
      <w:tr w:rsidR="00A04C5B" w:rsidTr="008C4916">
        <w:trPr>
          <w:trHeight w:val="4623"/>
          <w:tblHeader/>
        </w:trPr>
        <w:tc>
          <w:tcPr>
            <w:tcW w:w="9591" w:type="dxa"/>
          </w:tcPr>
          <w:p w:rsidR="00A04C5B" w:rsidRDefault="005F100A" w:rsidP="00CA0933">
            <w:pPr>
              <w:jc w:val="center"/>
            </w:pPr>
            <w:r>
              <w:rPr>
                <w:noProof/>
                <w:lang w:eastAsia="zh-CN"/>
              </w:rPr>
              <mc:AlternateContent>
                <mc:Choice Requires="wps">
                  <w:drawing>
                    <wp:anchor distT="0" distB="0" distL="114300" distR="114300" simplePos="0" relativeHeight="251662336" behindDoc="0" locked="0" layoutInCell="1" allowOverlap="1" wp14:anchorId="114F4715" wp14:editId="0AA417BF">
                      <wp:simplePos x="0" y="0"/>
                      <wp:positionH relativeFrom="column">
                        <wp:posOffset>914400</wp:posOffset>
                      </wp:positionH>
                      <wp:positionV relativeFrom="paragraph">
                        <wp:posOffset>2529205</wp:posOffset>
                      </wp:positionV>
                      <wp:extent cx="4796155" cy="259715"/>
                      <wp:effectExtent l="0" t="0" r="0" b="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=953,748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4F4715" id="Text Box 11" o:spid="_x0000_s1035" type="#_x0000_t202" style="position:absolute;left:0;text-align:left;margin-left:1in;margin-top:199.15pt;width:377.6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" stroked="f">
                      <v:textbo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=953,748 total students</w:t>
                            </w:r>
                          </w:p>
                        </w:txbxContent>
                      </v:textbox>
                    </v:shape>
                  </w:pict>
                </mc:Fallback>
              </mc:AlternateContent>
            </w:r>
            <w:r w:rsidR="00234C6B">
              <w:rPr>
                <w:noProof/>
                <w:lang w:eastAsia="zh-CN"/>
              </w:rPr>
              <w:drawing>
                <wp:anchor distT="0" distB="0" distL="114300" distR="114300" simplePos="0" relativeHeight="251679744" behindDoc="0" locked="0" layoutInCell="1" allowOverlap="1" wp14:anchorId="29669FE9" wp14:editId="611178B9">
                  <wp:simplePos x="0" y="0"/>
                  <wp:positionH relativeFrom="column">
                    <wp:posOffset>542925</wp:posOffset>
                  </wp:positionH>
                  <wp:positionV relativeFrom="paragraph">
                    <wp:posOffset>52705</wp:posOffset>
                  </wp:positionV>
                  <wp:extent cx="5137785" cy="2466975"/>
                  <wp:effectExtent l="19050" t="0" r="5715" b="0"/>
                  <wp:wrapNone/>
                  <wp:docPr id="19" name="Picture 19" descr="Graph 11: Percent of students assigned to schools with first-year principals, 2016-17&#10;Non-economically disadvantaged: 11.4%&#10;Economically disadvantaged: 12.7%&#10;White students: 11.2%&#10;Students of color: 12.7%&#10;Non-EL: 11.7%&#10;EL: 12.0%&#10;Students without disabilities: 11.8%&#10;Students with disabilities: 3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9" cstate="print"/>
                          <a:srcRect/>
                          <a:stretch>
                            <a:fillRect/>
                          </a:stretch>
                        </pic:blipFill>
                        <pic:spPr bwMode="auto">
                          <a:xfrm>
                            <a:off x="0" y="0"/>
                            <a:ext cx="5137785" cy="2466975"/>
                          </a:xfrm>
                          <a:prstGeom prst="rect">
                            <a:avLst/>
                          </a:prstGeom>
                          <a:noFill/>
                          <a:ln w="9525">
                            <a:noFill/>
                            <a:miter lim="800000"/>
                            <a:headEnd/>
                            <a:tailEnd/>
                          </a:ln>
                        </pic:spPr>
                      </pic:pic>
                    </a:graphicData>
                  </a:graphic>
                </wp:anchor>
              </w:drawing>
            </w:r>
            <w:r w:rsidR="003A7BC6">
              <w:t xml:space="preserve"> </w:t>
            </w:r>
          </w:p>
        </w:tc>
      </w:tr>
      <w:tr w:rsidR="00A04C5B" w:rsidTr="008C4916">
        <w:trPr>
          <w:trHeight w:val="4530"/>
          <w:tblHeader/>
        </w:trPr>
        <w:tc>
          <w:tcPr>
            <w:tcW w:w="9591" w:type="dxa"/>
          </w:tcPr>
          <w:p w:rsidR="00A04C5B" w:rsidRDefault="005F100A" w:rsidP="000127E5">
            <w:r>
              <w:rPr>
                <w:noProof/>
                <w:lang w:eastAsia="zh-CN"/>
              </w:rPr>
              <mc:AlternateContent>
                <mc:Choice Requires="wps">
                  <w:drawing>
                    <wp:anchor distT="0" distB="0" distL="114300" distR="114300" simplePos="0" relativeHeight="251664384" behindDoc="0" locked="0" layoutInCell="1" allowOverlap="1" wp14:anchorId="76512B31" wp14:editId="74E6AC79">
                      <wp:simplePos x="0" y="0"/>
                      <wp:positionH relativeFrom="column">
                        <wp:posOffset>607060</wp:posOffset>
                      </wp:positionH>
                      <wp:positionV relativeFrom="paragraph">
                        <wp:posOffset>2544445</wp:posOffset>
                      </wp:positionV>
                      <wp:extent cx="4796155" cy="259715"/>
                      <wp:effectExtent l="0" t="0" r="0" b="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=953,428 total students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12B31" id="Text Box 22" o:spid="_x0000_s1036" type="#_x0000_t202" style="position:absolute;margin-left:47.8pt;margin-top:200.35pt;width:377.65pt;height:2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" stroked="f">
                      <v:textbox>
                        <w:txbxContent>
                          <w:p w:rsidR="002E3D26" w:rsidRPr="00996470" w:rsidRDefault="002E3D26" w:rsidP="00996470">
                            <w:pPr>
                              <w:jc w:val="center"/>
                              <w:rPr>
                                <w:rFonts w:asciiTheme="minorHAnsi" w:hAnsiTheme="minorHAnsi"/>
                                <w:i/>
                                <w:sz w:val="20"/>
                                <w:szCs w:val="20"/>
                              </w:rPr>
                            </w:pPr>
                            <w:r w:rsidRPr="00996470">
                              <w:rPr>
                                <w:rFonts w:asciiTheme="minorHAnsi" w:hAnsiTheme="minorHAnsi"/>
                                <w:i/>
                                <w:sz w:val="20"/>
                                <w:szCs w:val="20"/>
                              </w:rPr>
                              <w:t>N size =953,428 total students</w:t>
                            </w:r>
                          </w:p>
                        </w:txbxContent>
                      </v:textbox>
                    </v:shape>
                  </w:pict>
                </mc:Fallback>
              </mc:AlternateContent>
            </w:r>
            <w:r w:rsidR="00234C6B">
              <w:rPr>
                <w:noProof/>
                <w:lang w:eastAsia="zh-CN"/>
              </w:rPr>
              <w:drawing>
                <wp:anchor distT="0" distB="0" distL="114300" distR="114300" simplePos="0" relativeHeight="251652096" behindDoc="0" locked="0" layoutInCell="1" allowOverlap="1" wp14:anchorId="22F2FCC6" wp14:editId="5ED80913">
                  <wp:simplePos x="0" y="0"/>
                  <wp:positionH relativeFrom="column">
                    <wp:posOffset>600075</wp:posOffset>
                  </wp:positionH>
                  <wp:positionV relativeFrom="paragraph">
                    <wp:posOffset>77470</wp:posOffset>
                  </wp:positionV>
                  <wp:extent cx="5081270" cy="2466975"/>
                  <wp:effectExtent l="19050" t="0" r="5080" b="0"/>
                  <wp:wrapNone/>
                  <wp:docPr id="45" name="Picture 45" descr="Graph 12: Percent of students assigned to schools with first-year principals, 2015-16&#10;Non-economically disadvantaged: 11.0%&#10;Economically disadvantaged: 13.6%&#10;White students: 10.2%&#10;Students of color: 14.4%&#10;Non-EL: 11.4%&#10;EL: 15.4%&#10;Students without disabilities: 11.7%&#10;Students with disabilities: 11.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0" cstate="print"/>
                          <a:srcRect/>
                          <a:stretch>
                            <a:fillRect/>
                          </a:stretch>
                        </pic:blipFill>
                        <pic:spPr bwMode="auto">
                          <a:xfrm>
                            <a:off x="0" y="0"/>
                            <a:ext cx="5081270" cy="2466975"/>
                          </a:xfrm>
                          <a:prstGeom prst="rect">
                            <a:avLst/>
                          </a:prstGeom>
                          <a:noFill/>
                          <a:ln w="9525">
                            <a:noFill/>
                            <a:miter lim="800000"/>
                            <a:headEnd/>
                            <a:tailEnd/>
                          </a:ln>
                        </pic:spPr>
                      </pic:pic>
                    </a:graphicData>
                  </a:graphic>
                </wp:anchor>
              </w:drawing>
            </w:r>
            <w:r w:rsidR="003A7BC6">
              <w:t xml:space="preserve"> </w:t>
            </w:r>
          </w:p>
        </w:tc>
      </w:tr>
    </w:tbl>
    <w:p w:rsidR="007B64F5" w:rsidRDefault="007B64F5" w:rsidP="007B64F5">
      <w:pPr>
        <w:spacing w:line="276" w:lineRule="auto"/>
        <w:contextualSpacing/>
        <w:rPr>
          <w:rFonts w:asciiTheme="minorHAnsi" w:hAnsiTheme="minorHAnsi"/>
          <w:b/>
          <w:sz w:val="22"/>
          <w:szCs w:val="22"/>
        </w:rPr>
      </w:pPr>
    </w:p>
    <w:p w:rsidR="00A04C5B" w:rsidRDefault="00ED6F5C" w:rsidP="007B64F5">
      <w:pPr>
        <w:spacing w:line="276" w:lineRule="auto"/>
        <w:contextualSpacing/>
      </w:pPr>
      <w:r>
        <w:rPr>
          <w:rFonts w:asciiTheme="minorHAnsi" w:hAnsiTheme="minorHAnsi"/>
          <w:b/>
          <w:sz w:val="22"/>
          <w:szCs w:val="22"/>
        </w:rPr>
        <w:t>T</w:t>
      </w:r>
      <w:r w:rsidRPr="00084C83">
        <w:rPr>
          <w:rFonts w:asciiTheme="minorHAnsi" w:hAnsiTheme="minorHAnsi"/>
          <w:b/>
          <w:sz w:val="22"/>
          <w:szCs w:val="22"/>
        </w:rPr>
        <w:t xml:space="preserve">able </w:t>
      </w:r>
      <w:r w:rsidR="00DC145E">
        <w:rPr>
          <w:rFonts w:asciiTheme="minorHAnsi" w:hAnsiTheme="minorHAnsi"/>
          <w:b/>
          <w:sz w:val="22"/>
          <w:szCs w:val="22"/>
        </w:rPr>
        <w:t>9</w:t>
      </w:r>
      <w:r>
        <w:rPr>
          <w:rFonts w:asciiTheme="minorHAnsi" w:hAnsiTheme="minorHAnsi"/>
          <w:b/>
          <w:sz w:val="22"/>
          <w:szCs w:val="22"/>
        </w:rPr>
        <w:t>: Percent of first-year principals, by school demographic quartile</w:t>
      </w:r>
    </w:p>
    <w:tbl>
      <w:tblPr>
        <w:tblpPr w:leftFromText="180" w:rightFromText="180" w:vertAnchor="text" w:horzAnchor="margin"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617"/>
        <w:gridCol w:w="1638"/>
        <w:gridCol w:w="1637"/>
        <w:gridCol w:w="1643"/>
        <w:gridCol w:w="1643"/>
      </w:tblGrid>
      <w:tr w:rsidR="00ED6F5C" w:rsidRPr="009C1EE6" w:rsidTr="00ED6F5C">
        <w:tc>
          <w:tcPr>
            <w:tcW w:w="1188" w:type="dxa"/>
            <w:tcBorders>
              <w:top w:val="single" w:sz="8" w:space="0" w:color="auto"/>
              <w:left w:val="single" w:sz="8" w:space="0" w:color="auto"/>
              <w:bottom w:val="single" w:sz="8" w:space="0" w:color="auto"/>
              <w:right w:val="single" w:sz="8" w:space="0" w:color="auto"/>
            </w:tcBorders>
            <w:shd w:val="clear" w:color="auto" w:fill="B8CCE4" w:themeFill="accent1" w:themeFillTint="66"/>
          </w:tcPr>
          <w:p w:rsidR="00ED6F5C" w:rsidRPr="009C1EE6" w:rsidRDefault="00ED6F5C" w:rsidP="00ED6F5C">
            <w:pPr>
              <w:contextualSpacing/>
              <w:jc w:val="center"/>
              <w:rPr>
                <w:rFonts w:ascii="Calibri" w:hAnsi="Calibri"/>
              </w:rPr>
            </w:pPr>
          </w:p>
        </w:tc>
        <w:tc>
          <w:tcPr>
            <w:tcW w:w="1677" w:type="dxa"/>
            <w:tcBorders>
              <w:left w:val="single" w:sz="8" w:space="0" w:color="auto"/>
            </w:tcBorders>
          </w:tcPr>
          <w:p w:rsidR="00ED6F5C" w:rsidRPr="00A04C5B" w:rsidRDefault="00ED6F5C" w:rsidP="00ED6F5C">
            <w:pPr>
              <w:contextualSpacing/>
              <w:jc w:val="center"/>
              <w:rPr>
                <w:rFonts w:ascii="Calibri" w:hAnsi="Calibri"/>
                <w:b/>
              </w:rPr>
            </w:pPr>
            <w:r w:rsidRPr="00A04C5B">
              <w:rPr>
                <w:rFonts w:ascii="Calibri" w:hAnsi="Calibri"/>
                <w:b/>
              </w:rPr>
              <w:t>MA All</w:t>
            </w:r>
          </w:p>
        </w:tc>
        <w:tc>
          <w:tcPr>
            <w:tcW w:w="1678" w:type="dxa"/>
          </w:tcPr>
          <w:p w:rsidR="00ED6F5C" w:rsidRPr="00A04C5B" w:rsidRDefault="00ED6F5C" w:rsidP="00ED6F5C">
            <w:pPr>
              <w:contextualSpacing/>
              <w:jc w:val="center"/>
              <w:rPr>
                <w:rFonts w:ascii="Calibri" w:hAnsi="Calibri"/>
                <w:b/>
              </w:rPr>
            </w:pPr>
            <w:r w:rsidRPr="00A04C5B">
              <w:rPr>
                <w:rFonts w:ascii="Calibri" w:hAnsi="Calibri"/>
                <w:b/>
              </w:rPr>
              <w:t>High poverty quartile</w:t>
            </w:r>
          </w:p>
        </w:tc>
        <w:tc>
          <w:tcPr>
            <w:tcW w:w="1677" w:type="dxa"/>
          </w:tcPr>
          <w:p w:rsidR="00ED6F5C" w:rsidRPr="00A04C5B" w:rsidRDefault="00ED6F5C" w:rsidP="00ED6F5C">
            <w:pPr>
              <w:contextualSpacing/>
              <w:jc w:val="center"/>
              <w:rPr>
                <w:rFonts w:ascii="Calibri" w:hAnsi="Calibri"/>
                <w:b/>
              </w:rPr>
            </w:pPr>
            <w:r w:rsidRPr="00A04C5B">
              <w:rPr>
                <w:rFonts w:ascii="Calibri" w:hAnsi="Calibri"/>
                <w:b/>
              </w:rPr>
              <w:t>Low poverty quartile</w:t>
            </w:r>
          </w:p>
        </w:tc>
        <w:tc>
          <w:tcPr>
            <w:tcW w:w="1678" w:type="dxa"/>
          </w:tcPr>
          <w:p w:rsidR="00ED6F5C" w:rsidRPr="00A04C5B" w:rsidRDefault="00ED6F5C" w:rsidP="00ED6F5C">
            <w:pPr>
              <w:contextualSpacing/>
              <w:jc w:val="center"/>
              <w:rPr>
                <w:rFonts w:ascii="Calibri" w:hAnsi="Calibri"/>
                <w:b/>
              </w:rPr>
            </w:pPr>
            <w:r w:rsidRPr="00A04C5B">
              <w:rPr>
                <w:rFonts w:ascii="Calibri" w:hAnsi="Calibri"/>
                <w:b/>
              </w:rPr>
              <w:t>High minority quartile</w:t>
            </w:r>
          </w:p>
        </w:tc>
        <w:tc>
          <w:tcPr>
            <w:tcW w:w="1678" w:type="dxa"/>
          </w:tcPr>
          <w:p w:rsidR="00ED6F5C" w:rsidRPr="00A04C5B" w:rsidRDefault="00ED6F5C" w:rsidP="00ED6F5C">
            <w:pPr>
              <w:contextualSpacing/>
              <w:jc w:val="center"/>
              <w:rPr>
                <w:rFonts w:ascii="Calibri" w:hAnsi="Calibri"/>
                <w:b/>
              </w:rPr>
            </w:pPr>
            <w:r w:rsidRPr="00A04C5B">
              <w:rPr>
                <w:rFonts w:ascii="Calibri" w:hAnsi="Calibri"/>
                <w:b/>
              </w:rPr>
              <w:t>Low minority quartile</w:t>
            </w:r>
          </w:p>
        </w:tc>
      </w:tr>
      <w:tr w:rsidR="00ED6F5C" w:rsidRPr="009C1EE6" w:rsidTr="00ED6F5C">
        <w:tc>
          <w:tcPr>
            <w:tcW w:w="1188" w:type="dxa"/>
            <w:tcBorders>
              <w:top w:val="single" w:sz="8" w:space="0" w:color="auto"/>
              <w:bottom w:val="single" w:sz="4" w:space="0" w:color="auto"/>
            </w:tcBorders>
            <w:shd w:val="clear" w:color="auto" w:fill="B8CCE4" w:themeFill="accent1" w:themeFillTint="66"/>
          </w:tcPr>
          <w:p w:rsidR="00ED6F5C" w:rsidRPr="00A04C5B" w:rsidRDefault="00ED6F5C" w:rsidP="00ED6F5C">
            <w:pPr>
              <w:contextualSpacing/>
              <w:jc w:val="center"/>
              <w:rPr>
                <w:rFonts w:ascii="Calibri" w:hAnsi="Calibri"/>
                <w:b/>
              </w:rPr>
            </w:pPr>
            <w:r w:rsidRPr="00A04C5B">
              <w:rPr>
                <w:rFonts w:ascii="Calibri" w:hAnsi="Calibri"/>
                <w:b/>
              </w:rPr>
              <w:t>2016</w:t>
            </w:r>
            <w:r>
              <w:rPr>
                <w:rFonts w:ascii="Helvetica" w:eastAsia="Helvetica" w:hAnsi="Helvetica" w:cs="Helvetica"/>
                <w:b/>
              </w:rPr>
              <w:t>–</w:t>
            </w:r>
            <w:r w:rsidRPr="00A04C5B">
              <w:rPr>
                <w:rFonts w:ascii="Calibri" w:hAnsi="Calibri"/>
                <w:b/>
              </w:rPr>
              <w:t>17</w:t>
            </w:r>
          </w:p>
        </w:tc>
        <w:tc>
          <w:tcPr>
            <w:tcW w:w="1677" w:type="dxa"/>
            <w:tcBorders>
              <w:bottom w:val="single" w:sz="4" w:space="0" w:color="auto"/>
            </w:tcBorders>
          </w:tcPr>
          <w:p w:rsidR="00ED6F5C" w:rsidRDefault="00ED6F5C" w:rsidP="00ED6F5C">
            <w:pPr>
              <w:contextualSpacing/>
              <w:jc w:val="center"/>
              <w:rPr>
                <w:rFonts w:ascii="Calibri" w:hAnsi="Calibri"/>
              </w:rPr>
            </w:pPr>
            <w:r>
              <w:rPr>
                <w:rFonts w:ascii="Calibri" w:hAnsi="Calibri"/>
              </w:rPr>
              <w:t>5.9</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7.3</w:t>
            </w:r>
          </w:p>
        </w:tc>
        <w:tc>
          <w:tcPr>
            <w:tcW w:w="1677" w:type="dxa"/>
            <w:tcBorders>
              <w:bottom w:val="single" w:sz="4" w:space="0" w:color="auto"/>
            </w:tcBorders>
          </w:tcPr>
          <w:p w:rsidR="00ED6F5C" w:rsidRDefault="00ED6F5C" w:rsidP="00ED6F5C">
            <w:pPr>
              <w:contextualSpacing/>
              <w:jc w:val="center"/>
              <w:rPr>
                <w:rFonts w:ascii="Calibri" w:hAnsi="Calibri"/>
              </w:rPr>
            </w:pPr>
            <w:r>
              <w:rPr>
                <w:rFonts w:ascii="Calibri" w:hAnsi="Calibri"/>
              </w:rPr>
              <w:t>4.5</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6.9</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4.3</w:t>
            </w:r>
          </w:p>
        </w:tc>
      </w:tr>
      <w:tr w:rsidR="00ED6F5C" w:rsidRPr="009C1EE6" w:rsidTr="00ED6F5C">
        <w:tc>
          <w:tcPr>
            <w:tcW w:w="1188" w:type="dxa"/>
            <w:tcBorders>
              <w:bottom w:val="single" w:sz="4" w:space="0" w:color="auto"/>
            </w:tcBorders>
            <w:shd w:val="clear" w:color="auto" w:fill="B8CCE4" w:themeFill="accent1" w:themeFillTint="66"/>
          </w:tcPr>
          <w:p w:rsidR="00ED6F5C" w:rsidRPr="00A04C5B" w:rsidRDefault="00ED6F5C" w:rsidP="00ED6F5C">
            <w:pPr>
              <w:contextualSpacing/>
              <w:jc w:val="center"/>
              <w:rPr>
                <w:rFonts w:ascii="Calibri" w:hAnsi="Calibri"/>
                <w:b/>
              </w:rPr>
            </w:pPr>
            <w:r w:rsidRPr="00A04C5B">
              <w:rPr>
                <w:rFonts w:ascii="Calibri" w:hAnsi="Calibri"/>
                <w:b/>
              </w:rPr>
              <w:t>2015</w:t>
            </w:r>
            <w:r>
              <w:rPr>
                <w:rFonts w:ascii="Helvetica" w:eastAsia="Helvetica" w:hAnsi="Helvetica" w:cs="Helvetica"/>
                <w:b/>
              </w:rPr>
              <w:t>–</w:t>
            </w:r>
            <w:r w:rsidRPr="00A04C5B">
              <w:rPr>
                <w:rFonts w:ascii="Calibri" w:hAnsi="Calibri"/>
                <w:b/>
              </w:rPr>
              <w:t>16</w:t>
            </w:r>
          </w:p>
        </w:tc>
        <w:tc>
          <w:tcPr>
            <w:tcW w:w="1677" w:type="dxa"/>
            <w:tcBorders>
              <w:bottom w:val="single" w:sz="4" w:space="0" w:color="auto"/>
            </w:tcBorders>
          </w:tcPr>
          <w:p w:rsidR="00ED6F5C" w:rsidRPr="009C1EE6" w:rsidRDefault="00ED6F5C" w:rsidP="00ED6F5C">
            <w:pPr>
              <w:contextualSpacing/>
              <w:jc w:val="center"/>
              <w:rPr>
                <w:rFonts w:ascii="Calibri" w:hAnsi="Calibri"/>
              </w:rPr>
            </w:pPr>
            <w:r>
              <w:rPr>
                <w:rFonts w:ascii="Calibri" w:hAnsi="Calibri"/>
              </w:rPr>
              <w:t>7.0</w:t>
            </w:r>
          </w:p>
        </w:tc>
        <w:tc>
          <w:tcPr>
            <w:tcW w:w="1678" w:type="dxa"/>
            <w:tcBorders>
              <w:bottom w:val="single" w:sz="4" w:space="0" w:color="auto"/>
            </w:tcBorders>
          </w:tcPr>
          <w:p w:rsidR="00ED6F5C" w:rsidRPr="009C1EE6" w:rsidRDefault="00ED6F5C" w:rsidP="00ED6F5C">
            <w:pPr>
              <w:contextualSpacing/>
              <w:jc w:val="center"/>
              <w:rPr>
                <w:rFonts w:ascii="Calibri" w:hAnsi="Calibri"/>
              </w:rPr>
            </w:pPr>
            <w:r>
              <w:rPr>
                <w:rFonts w:ascii="Calibri" w:hAnsi="Calibri"/>
              </w:rPr>
              <w:t>8.9</w:t>
            </w:r>
          </w:p>
        </w:tc>
        <w:tc>
          <w:tcPr>
            <w:tcW w:w="1677" w:type="dxa"/>
            <w:tcBorders>
              <w:bottom w:val="single" w:sz="4" w:space="0" w:color="auto"/>
            </w:tcBorders>
          </w:tcPr>
          <w:p w:rsidR="00ED6F5C" w:rsidRPr="009C1EE6" w:rsidRDefault="00ED6F5C" w:rsidP="00ED6F5C">
            <w:pPr>
              <w:contextualSpacing/>
              <w:jc w:val="center"/>
              <w:rPr>
                <w:rFonts w:ascii="Calibri" w:hAnsi="Calibri"/>
              </w:rPr>
            </w:pPr>
            <w:r>
              <w:rPr>
                <w:rFonts w:ascii="Calibri" w:hAnsi="Calibri"/>
              </w:rPr>
              <w:t>4.8</w:t>
            </w:r>
          </w:p>
        </w:tc>
        <w:tc>
          <w:tcPr>
            <w:tcW w:w="1678" w:type="dxa"/>
            <w:tcBorders>
              <w:bottom w:val="single" w:sz="4" w:space="0" w:color="auto"/>
            </w:tcBorders>
          </w:tcPr>
          <w:p w:rsidR="00ED6F5C" w:rsidRPr="009C1EE6" w:rsidRDefault="00ED6F5C" w:rsidP="00ED6F5C">
            <w:pPr>
              <w:contextualSpacing/>
              <w:jc w:val="center"/>
              <w:rPr>
                <w:rFonts w:ascii="Calibri" w:hAnsi="Calibri"/>
              </w:rPr>
            </w:pPr>
            <w:r>
              <w:rPr>
                <w:rFonts w:ascii="Calibri" w:hAnsi="Calibri"/>
              </w:rPr>
              <w:t>9.1</w:t>
            </w:r>
          </w:p>
        </w:tc>
        <w:tc>
          <w:tcPr>
            <w:tcW w:w="1678" w:type="dxa"/>
            <w:tcBorders>
              <w:bottom w:val="single" w:sz="4" w:space="0" w:color="auto"/>
            </w:tcBorders>
          </w:tcPr>
          <w:p w:rsidR="00ED6F5C" w:rsidRPr="009C1EE6" w:rsidRDefault="00ED6F5C" w:rsidP="00ED6F5C">
            <w:pPr>
              <w:contextualSpacing/>
              <w:jc w:val="center"/>
              <w:rPr>
                <w:rFonts w:ascii="Calibri" w:hAnsi="Calibri"/>
              </w:rPr>
            </w:pPr>
            <w:r>
              <w:rPr>
                <w:rFonts w:ascii="Calibri" w:hAnsi="Calibri"/>
              </w:rPr>
              <w:t>5.5</w:t>
            </w:r>
          </w:p>
        </w:tc>
      </w:tr>
      <w:tr w:rsidR="00ED6F5C" w:rsidRPr="009C1EE6" w:rsidTr="00ED6F5C">
        <w:tc>
          <w:tcPr>
            <w:tcW w:w="1188" w:type="dxa"/>
            <w:tcBorders>
              <w:bottom w:val="single" w:sz="4" w:space="0" w:color="auto"/>
            </w:tcBorders>
            <w:shd w:val="clear" w:color="auto" w:fill="B8CCE4" w:themeFill="accent1" w:themeFillTint="66"/>
          </w:tcPr>
          <w:p w:rsidR="00ED6F5C" w:rsidRPr="00A04C5B" w:rsidRDefault="00ED6F5C" w:rsidP="00ED6F5C">
            <w:pPr>
              <w:contextualSpacing/>
              <w:jc w:val="center"/>
              <w:rPr>
                <w:rFonts w:ascii="Calibri" w:hAnsi="Calibri"/>
                <w:b/>
              </w:rPr>
            </w:pPr>
            <w:r w:rsidRPr="00A04C5B">
              <w:rPr>
                <w:rFonts w:ascii="Calibri" w:hAnsi="Calibri"/>
                <w:b/>
              </w:rPr>
              <w:t>2014</w:t>
            </w:r>
            <w:r>
              <w:rPr>
                <w:rFonts w:ascii="Helvetica" w:eastAsia="Helvetica" w:hAnsi="Helvetica" w:cs="Helvetica"/>
                <w:b/>
              </w:rPr>
              <w:t>–</w:t>
            </w:r>
            <w:r w:rsidRPr="00A04C5B">
              <w:rPr>
                <w:rFonts w:ascii="Calibri" w:hAnsi="Calibri"/>
                <w:b/>
              </w:rPr>
              <w:t>15</w:t>
            </w:r>
          </w:p>
        </w:tc>
        <w:tc>
          <w:tcPr>
            <w:tcW w:w="1677" w:type="dxa"/>
            <w:tcBorders>
              <w:bottom w:val="single" w:sz="4" w:space="0" w:color="auto"/>
            </w:tcBorders>
          </w:tcPr>
          <w:p w:rsidR="00ED6F5C" w:rsidRDefault="00ED6F5C" w:rsidP="00ED6F5C">
            <w:pPr>
              <w:contextualSpacing/>
              <w:jc w:val="center"/>
              <w:rPr>
                <w:rFonts w:ascii="Calibri" w:hAnsi="Calibri"/>
              </w:rPr>
            </w:pPr>
            <w:r>
              <w:rPr>
                <w:rFonts w:ascii="Calibri" w:hAnsi="Calibri"/>
              </w:rPr>
              <w:t>12.8</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18.9</w:t>
            </w:r>
          </w:p>
        </w:tc>
        <w:tc>
          <w:tcPr>
            <w:tcW w:w="1677" w:type="dxa"/>
            <w:tcBorders>
              <w:bottom w:val="single" w:sz="4" w:space="0" w:color="auto"/>
            </w:tcBorders>
          </w:tcPr>
          <w:p w:rsidR="00ED6F5C" w:rsidRDefault="00ED6F5C" w:rsidP="00ED6F5C">
            <w:pPr>
              <w:contextualSpacing/>
              <w:jc w:val="center"/>
              <w:rPr>
                <w:rFonts w:ascii="Calibri" w:hAnsi="Calibri"/>
              </w:rPr>
            </w:pPr>
            <w:r>
              <w:rPr>
                <w:rFonts w:ascii="Calibri" w:hAnsi="Calibri"/>
              </w:rPr>
              <w:t>8.8</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18.8</w:t>
            </w:r>
          </w:p>
        </w:tc>
        <w:tc>
          <w:tcPr>
            <w:tcW w:w="1678" w:type="dxa"/>
            <w:tcBorders>
              <w:bottom w:val="single" w:sz="4" w:space="0" w:color="auto"/>
            </w:tcBorders>
          </w:tcPr>
          <w:p w:rsidR="00ED6F5C" w:rsidRDefault="00ED6F5C" w:rsidP="00ED6F5C">
            <w:pPr>
              <w:contextualSpacing/>
              <w:jc w:val="center"/>
              <w:rPr>
                <w:rFonts w:ascii="Calibri" w:hAnsi="Calibri"/>
              </w:rPr>
            </w:pPr>
            <w:r>
              <w:rPr>
                <w:rFonts w:ascii="Calibri" w:hAnsi="Calibri"/>
              </w:rPr>
              <w:t>9.4</w:t>
            </w:r>
          </w:p>
        </w:tc>
      </w:tr>
      <w:tr w:rsidR="00ED6F5C" w:rsidRPr="009C1EE6" w:rsidTr="00ED6F5C">
        <w:tc>
          <w:tcPr>
            <w:tcW w:w="1188" w:type="dxa"/>
            <w:tcBorders>
              <w:top w:val="single" w:sz="4" w:space="0" w:color="auto"/>
              <w:left w:val="nil"/>
              <w:bottom w:val="nil"/>
              <w:right w:val="nil"/>
            </w:tcBorders>
          </w:tcPr>
          <w:p w:rsidR="00ED6F5C" w:rsidRPr="0056672F" w:rsidRDefault="00ED6F5C" w:rsidP="00ED6F5C">
            <w:pPr>
              <w:contextualSpacing/>
              <w:rPr>
                <w:rFonts w:ascii="Calibri" w:hAnsi="Calibri"/>
                <w:i/>
                <w:sz w:val="18"/>
                <w:szCs w:val="18"/>
              </w:rPr>
            </w:pPr>
          </w:p>
        </w:tc>
        <w:tc>
          <w:tcPr>
            <w:tcW w:w="8388" w:type="dxa"/>
            <w:gridSpan w:val="5"/>
            <w:tcBorders>
              <w:top w:val="single" w:sz="4" w:space="0" w:color="auto"/>
              <w:left w:val="nil"/>
              <w:bottom w:val="nil"/>
              <w:right w:val="nil"/>
            </w:tcBorders>
          </w:tcPr>
          <w:p w:rsidR="00ED6F5C" w:rsidRPr="0056672F" w:rsidRDefault="00ED6F5C" w:rsidP="00ED6F5C">
            <w:pPr>
              <w:contextualSpacing/>
              <w:rPr>
                <w:rFonts w:ascii="Calibri" w:hAnsi="Calibri"/>
                <w:i/>
                <w:sz w:val="18"/>
                <w:szCs w:val="18"/>
              </w:rPr>
            </w:pPr>
          </w:p>
        </w:tc>
      </w:tr>
    </w:tbl>
    <w:p w:rsidR="00126C9E" w:rsidRDefault="00126C9E">
      <w:pPr>
        <w:spacing w:after="200" w:line="276" w:lineRule="auto"/>
      </w:pPr>
    </w:p>
    <w:p w:rsidR="001459B7" w:rsidRDefault="001459B7">
      <w:pPr>
        <w:spacing w:after="200" w:line="276" w:lineRule="auto"/>
        <w:sectPr w:rsidR="001459B7" w:rsidSect="00004C6C">
          <w:footnotePr>
            <w:numFmt w:val="lowerRoman"/>
          </w:footnotePr>
          <w:endnotePr>
            <w:numFmt w:val="decimal"/>
          </w:endnotePr>
          <w:pgSz w:w="12240" w:h="15840" w:code="1"/>
          <w:pgMar w:top="1440" w:right="1440" w:bottom="1440" w:left="1440" w:header="720" w:footer="720" w:gutter="0"/>
          <w:cols w:space="180"/>
          <w:docGrid w:linePitch="360"/>
        </w:sectPr>
      </w:pPr>
    </w:p>
    <w:p w:rsidR="00254D71" w:rsidRPr="00126C9E" w:rsidRDefault="00126C9E" w:rsidP="00126C9E">
      <w:pPr>
        <w:pStyle w:val="Heading2"/>
        <w:rPr>
          <w:rFonts w:asciiTheme="minorHAnsi" w:hAnsiTheme="minorHAnsi"/>
          <w:sz w:val="30"/>
          <w:szCs w:val="30"/>
        </w:rPr>
      </w:pPr>
      <w:bookmarkStart w:id="55" w:name="_Toc509831840"/>
      <w:r w:rsidRPr="00126C9E">
        <w:rPr>
          <w:rFonts w:asciiTheme="minorHAnsi" w:hAnsiTheme="minorHAnsi"/>
          <w:sz w:val="30"/>
          <w:szCs w:val="30"/>
        </w:rPr>
        <w:lastRenderedPageBreak/>
        <w:t xml:space="preserve">Appendix D.5: </w:t>
      </w:r>
      <w:r w:rsidR="00254D71" w:rsidRPr="00126C9E">
        <w:rPr>
          <w:rFonts w:asciiTheme="minorHAnsi" w:hAnsiTheme="minorHAnsi"/>
          <w:sz w:val="30"/>
          <w:szCs w:val="30"/>
        </w:rPr>
        <w:t>Teacher absences and long-term substitutes</w:t>
      </w:r>
      <w:bookmarkEnd w:id="55"/>
    </w:p>
    <w:p w:rsidR="00227F41" w:rsidRPr="002916B4" w:rsidRDefault="00BA201C" w:rsidP="002916B4">
      <w:pPr>
        <w:contextualSpacing/>
        <w:rPr>
          <w:rFonts w:asciiTheme="minorHAnsi" w:hAnsiTheme="minorHAnsi"/>
          <w:sz w:val="22"/>
          <w:szCs w:val="22"/>
        </w:rPr>
      </w:pPr>
      <w:r w:rsidRPr="002916B4">
        <w:rPr>
          <w:rFonts w:asciiTheme="minorHAnsi" w:hAnsiTheme="minorHAnsi"/>
          <w:sz w:val="22"/>
          <w:szCs w:val="22"/>
        </w:rPr>
        <w:t xml:space="preserve">When teachers are absent, students instead learn </w:t>
      </w:r>
      <w:r w:rsidRPr="00254D71">
        <w:rPr>
          <w:rFonts w:asciiTheme="minorHAnsi" w:hAnsiTheme="minorHAnsi"/>
          <w:sz w:val="22"/>
          <w:szCs w:val="22"/>
        </w:rPr>
        <w:t>from short</w:t>
      </w:r>
      <w:r w:rsidR="00441AF8" w:rsidRPr="002916B4">
        <w:rPr>
          <w:rFonts w:asciiTheme="minorHAnsi" w:hAnsiTheme="minorHAnsi"/>
          <w:sz w:val="22"/>
          <w:szCs w:val="22"/>
        </w:rPr>
        <w:t>-</w:t>
      </w:r>
      <w:r w:rsidRPr="00254D71">
        <w:rPr>
          <w:rFonts w:asciiTheme="minorHAnsi" w:hAnsiTheme="minorHAnsi"/>
          <w:sz w:val="22"/>
          <w:szCs w:val="22"/>
        </w:rPr>
        <w:t>term or long</w:t>
      </w:r>
      <w:r w:rsidR="00441AF8" w:rsidRPr="002916B4">
        <w:rPr>
          <w:rFonts w:asciiTheme="minorHAnsi" w:hAnsiTheme="minorHAnsi"/>
          <w:sz w:val="22"/>
          <w:szCs w:val="22"/>
        </w:rPr>
        <w:t>-</w:t>
      </w:r>
      <w:r w:rsidRPr="00254D71">
        <w:rPr>
          <w:rFonts w:asciiTheme="minorHAnsi" w:hAnsiTheme="minorHAnsi"/>
          <w:sz w:val="22"/>
          <w:szCs w:val="22"/>
        </w:rPr>
        <w:t>term substitutes</w:t>
      </w:r>
      <w:r w:rsidRPr="002916B4">
        <w:rPr>
          <w:rFonts w:asciiTheme="minorHAnsi" w:hAnsiTheme="minorHAnsi"/>
          <w:sz w:val="22"/>
          <w:szCs w:val="22"/>
        </w:rPr>
        <w:t>. National studies show reduced learning among students who frequently learn from substitutes.</w:t>
      </w:r>
      <w:r w:rsidRPr="00EA2390">
        <w:rPr>
          <w:rFonts w:asciiTheme="minorHAnsi" w:hAnsiTheme="minorHAnsi"/>
          <w:vertAlign w:val="superscript"/>
        </w:rPr>
        <w:endnoteReference w:id="25"/>
      </w:r>
      <w:r w:rsidR="00227F41" w:rsidRPr="002916B4">
        <w:rPr>
          <w:rFonts w:asciiTheme="minorHAnsi" w:hAnsiTheme="minorHAnsi"/>
          <w:sz w:val="22"/>
          <w:szCs w:val="22"/>
        </w:rPr>
        <w:t xml:space="preserve"> Thus, Massachusetts tracks the rate of student subgroups’ assignment to long-term substitutes and frequently-absent teachers. The tables below show that different student subgroups experience relatively similar rates of assignment to educators in these categories.</w:t>
      </w:r>
    </w:p>
    <w:p w:rsidR="00BB4985" w:rsidRDefault="00BB4985" w:rsidP="00BB4985"/>
    <w:p w:rsidR="00BB4985" w:rsidRPr="007B64F5" w:rsidRDefault="001263C2" w:rsidP="00BB4985">
      <w:pPr>
        <w:rPr>
          <w:rFonts w:asciiTheme="minorHAnsi" w:hAnsiTheme="minorHAnsi"/>
          <w:b/>
          <w:sz w:val="30"/>
          <w:szCs w:val="30"/>
        </w:rPr>
      </w:pPr>
      <w:r>
        <w:rPr>
          <w:rFonts w:asciiTheme="minorHAnsi" w:hAnsiTheme="minorHAnsi"/>
          <w:b/>
          <w:sz w:val="22"/>
          <w:szCs w:val="22"/>
        </w:rPr>
        <w:t>T</w:t>
      </w:r>
      <w:r w:rsidRPr="00084C83">
        <w:rPr>
          <w:rFonts w:asciiTheme="minorHAnsi" w:hAnsiTheme="minorHAnsi"/>
          <w:b/>
          <w:sz w:val="22"/>
          <w:szCs w:val="22"/>
        </w:rPr>
        <w:t xml:space="preserve">able </w:t>
      </w:r>
      <w:r w:rsidR="00B76728">
        <w:rPr>
          <w:rFonts w:asciiTheme="minorHAnsi" w:hAnsiTheme="minorHAnsi"/>
          <w:b/>
          <w:sz w:val="22"/>
          <w:szCs w:val="22"/>
        </w:rPr>
        <w:t>1</w:t>
      </w:r>
      <w:r w:rsidR="00DC145E">
        <w:rPr>
          <w:rFonts w:asciiTheme="minorHAnsi" w:hAnsiTheme="minorHAnsi"/>
          <w:b/>
          <w:sz w:val="22"/>
          <w:szCs w:val="22"/>
        </w:rPr>
        <w:t>0</w:t>
      </w:r>
      <w:r>
        <w:rPr>
          <w:rFonts w:asciiTheme="minorHAnsi" w:hAnsiTheme="minorHAnsi"/>
          <w:b/>
          <w:sz w:val="22"/>
          <w:szCs w:val="22"/>
        </w:rPr>
        <w:t xml:space="preserve">: </w:t>
      </w:r>
      <w:r w:rsidR="00BB4985" w:rsidRPr="001263C2">
        <w:rPr>
          <w:rFonts w:asciiTheme="minorHAnsi" w:hAnsiTheme="minorHAnsi"/>
          <w:b/>
          <w:sz w:val="22"/>
          <w:szCs w:val="22"/>
        </w:rPr>
        <w:t>Stat</w:t>
      </w:r>
      <w:r w:rsidR="001453D3">
        <w:rPr>
          <w:rFonts w:asciiTheme="minorHAnsi" w:hAnsiTheme="minorHAnsi"/>
          <w:b/>
          <w:sz w:val="22"/>
          <w:szCs w:val="22"/>
        </w:rPr>
        <w:t>ewide student assignment data of</w:t>
      </w:r>
      <w:r w:rsidR="00BB4985" w:rsidRPr="001263C2">
        <w:rPr>
          <w:rFonts w:asciiTheme="minorHAnsi" w:hAnsiTheme="minorHAnsi"/>
          <w:b/>
          <w:sz w:val="22"/>
          <w:szCs w:val="22"/>
        </w:rPr>
        <w:t xml:space="preserve"> subgroups: 2016</w:t>
      </w:r>
      <w:r w:rsidR="00D644BF" w:rsidRPr="001263C2">
        <w:rPr>
          <w:rFonts w:asciiTheme="minorHAnsi" w:hAnsiTheme="minorHAnsi"/>
          <w:b/>
          <w:sz w:val="22"/>
          <w:szCs w:val="22"/>
        </w:rPr>
        <w:t>–</w:t>
      </w:r>
      <w:r w:rsidR="00BB4985" w:rsidRPr="001263C2">
        <w:rPr>
          <w:rFonts w:asciiTheme="minorHAnsi" w:hAnsiTheme="minorHAnsi"/>
          <w:b/>
          <w:sz w:val="22"/>
          <w:szCs w:val="22"/>
        </w:rPr>
        <w:t>17</w:t>
      </w:r>
    </w:p>
    <w:tbl>
      <w:tblPr>
        <w:tblStyle w:val="TableGrid"/>
        <w:tblW w:w="9468" w:type="dxa"/>
        <w:tblLayout w:type="fixed"/>
        <w:tblLook w:val="04A0" w:firstRow="1" w:lastRow="0" w:firstColumn="1" w:lastColumn="0" w:noHBand="0" w:noVBand="1"/>
        <w:tblDescription w:val="Statewide student assignment data of subgroups: 2016-17"/>
      </w:tblPr>
      <w:tblGrid>
        <w:gridCol w:w="2718"/>
        <w:gridCol w:w="2430"/>
        <w:gridCol w:w="2610"/>
        <w:gridCol w:w="1710"/>
      </w:tblGrid>
      <w:tr w:rsidR="00712BDD" w:rsidTr="008B5517">
        <w:trPr>
          <w:trHeight w:val="161"/>
          <w:tblHeader/>
        </w:trPr>
        <w:tc>
          <w:tcPr>
            <w:tcW w:w="2718" w:type="dxa"/>
            <w:vMerge w:val="restart"/>
          </w:tcPr>
          <w:p w:rsidR="00712BDD" w:rsidRPr="00C67635" w:rsidRDefault="00712BDD" w:rsidP="00BF4DF6">
            <w:pPr>
              <w:rPr>
                <w:rFonts w:asciiTheme="minorHAnsi" w:hAnsiTheme="minorHAnsi"/>
                <w:sz w:val="22"/>
                <w:szCs w:val="22"/>
              </w:rPr>
            </w:pPr>
          </w:p>
        </w:tc>
        <w:tc>
          <w:tcPr>
            <w:tcW w:w="2430" w:type="dxa"/>
            <w:shd w:val="clear" w:color="auto" w:fill="4F81BD" w:themeFill="accent1"/>
          </w:tcPr>
          <w:p w:rsidR="00712BDD" w:rsidRPr="00C67635" w:rsidRDefault="00712BDD" w:rsidP="00BB4985">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Substitutes</w:t>
            </w:r>
          </w:p>
        </w:tc>
        <w:tc>
          <w:tcPr>
            <w:tcW w:w="4320" w:type="dxa"/>
            <w:gridSpan w:val="2"/>
            <w:shd w:val="clear" w:color="auto" w:fill="4F81BD" w:themeFill="accent1"/>
          </w:tcPr>
          <w:p w:rsidR="00712BDD" w:rsidRPr="00C67635" w:rsidRDefault="00712BDD" w:rsidP="00E11402">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Teacher attendance</w:t>
            </w:r>
          </w:p>
        </w:tc>
      </w:tr>
      <w:tr w:rsidR="00712BDD" w:rsidTr="00725B6B">
        <w:trPr>
          <w:trHeight w:val="160"/>
          <w:tblHeader/>
        </w:trPr>
        <w:tc>
          <w:tcPr>
            <w:tcW w:w="2718" w:type="dxa"/>
            <w:vMerge/>
          </w:tcPr>
          <w:p w:rsidR="00712BDD" w:rsidRPr="00C67635" w:rsidRDefault="00712BDD" w:rsidP="00BF4DF6">
            <w:pPr>
              <w:rPr>
                <w:rFonts w:asciiTheme="minorHAnsi" w:hAnsiTheme="minorHAnsi"/>
                <w:sz w:val="22"/>
                <w:szCs w:val="22"/>
              </w:rPr>
            </w:pPr>
          </w:p>
        </w:tc>
        <w:tc>
          <w:tcPr>
            <w:tcW w:w="2430" w:type="dxa"/>
            <w:shd w:val="clear" w:color="auto" w:fill="4F81BD" w:themeFill="accent1"/>
          </w:tcPr>
          <w:p w:rsidR="00712BDD" w:rsidRPr="004C4301" w:rsidRDefault="00712BDD" w:rsidP="00BB4985">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 of experiences with long-term substitutes</w:t>
            </w:r>
          </w:p>
        </w:tc>
        <w:tc>
          <w:tcPr>
            <w:tcW w:w="2610" w:type="dxa"/>
            <w:shd w:val="clear" w:color="auto" w:fill="4F81BD" w:themeFill="accent1"/>
          </w:tcPr>
          <w:p w:rsidR="00712BDD" w:rsidRPr="004C4301" w:rsidRDefault="00712BDD" w:rsidP="00C57776">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 of experiences with teachers absent 10+ days</w:t>
            </w:r>
          </w:p>
        </w:tc>
        <w:tc>
          <w:tcPr>
            <w:tcW w:w="1710" w:type="dxa"/>
            <w:shd w:val="clear" w:color="auto" w:fill="4F81BD" w:themeFill="accent1"/>
          </w:tcPr>
          <w:p w:rsidR="00712BDD" w:rsidRPr="004C4301" w:rsidRDefault="00712BDD" w:rsidP="00E11402">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Risk ratio</w:t>
            </w:r>
          </w:p>
        </w:tc>
      </w:tr>
      <w:tr w:rsidR="00725B6B" w:rsidTr="00725B6B">
        <w:tc>
          <w:tcPr>
            <w:tcW w:w="2718" w:type="dxa"/>
          </w:tcPr>
          <w:p w:rsidR="00725B6B" w:rsidRPr="00C67635" w:rsidRDefault="00725B6B" w:rsidP="00BF4DF6">
            <w:pPr>
              <w:rPr>
                <w:rFonts w:asciiTheme="minorHAnsi" w:hAnsiTheme="minorHAnsi"/>
                <w:sz w:val="22"/>
                <w:szCs w:val="22"/>
              </w:rPr>
            </w:pPr>
            <w:r w:rsidRPr="00C67635">
              <w:rPr>
                <w:rFonts w:asciiTheme="minorHAnsi" w:hAnsiTheme="minorHAnsi"/>
                <w:sz w:val="22"/>
                <w:szCs w:val="22"/>
              </w:rPr>
              <w:t>Non</w:t>
            </w:r>
            <w:r>
              <w:rPr>
                <w:rFonts w:ascii="Helvetica" w:eastAsia="Helvetica" w:hAnsi="Helvetica" w:cs="Helvetica"/>
                <w:sz w:val="22"/>
                <w:szCs w:val="22"/>
              </w:rPr>
              <w:t>-</w:t>
            </w:r>
            <w:r w:rsidRPr="00C67635">
              <w:rPr>
                <w:rFonts w:asciiTheme="minorHAnsi" w:hAnsiTheme="minorHAnsi"/>
                <w:sz w:val="22"/>
                <w:szCs w:val="22"/>
              </w:rPr>
              <w:t>eco. dis</w:t>
            </w:r>
            <w:r>
              <w:rPr>
                <w:rFonts w:asciiTheme="minorHAnsi" w:hAnsiTheme="minorHAnsi"/>
                <w:sz w:val="22"/>
                <w:szCs w:val="22"/>
              </w:rPr>
              <w:t>advantaged</w:t>
            </w:r>
          </w:p>
        </w:tc>
        <w:tc>
          <w:tcPr>
            <w:tcW w:w="2430" w:type="dxa"/>
          </w:tcPr>
          <w:p w:rsidR="00725B6B" w:rsidRPr="00C67635" w:rsidRDefault="00725B6B" w:rsidP="00BF4DF6">
            <w:pPr>
              <w:jc w:val="center"/>
              <w:rPr>
                <w:rFonts w:asciiTheme="minorHAnsi" w:hAnsiTheme="minorHAnsi"/>
                <w:sz w:val="22"/>
                <w:szCs w:val="22"/>
              </w:rPr>
            </w:pPr>
            <w:r>
              <w:rPr>
                <w:rFonts w:asciiTheme="minorHAnsi" w:hAnsiTheme="minorHAnsi"/>
                <w:sz w:val="22"/>
                <w:szCs w:val="22"/>
              </w:rPr>
              <w:t>1.1%</w:t>
            </w:r>
          </w:p>
        </w:tc>
        <w:tc>
          <w:tcPr>
            <w:tcW w:w="2610" w:type="dxa"/>
          </w:tcPr>
          <w:p w:rsidR="00725B6B" w:rsidRPr="00C67635" w:rsidRDefault="00457ACA" w:rsidP="00BF4DF6">
            <w:pPr>
              <w:jc w:val="center"/>
              <w:rPr>
                <w:rFonts w:asciiTheme="minorHAnsi" w:hAnsiTheme="minorHAnsi"/>
                <w:sz w:val="22"/>
                <w:szCs w:val="22"/>
              </w:rPr>
            </w:pPr>
            <w:r>
              <w:rPr>
                <w:rFonts w:asciiTheme="minorHAnsi" w:hAnsiTheme="minorHAnsi"/>
                <w:sz w:val="22"/>
                <w:szCs w:val="22"/>
              </w:rPr>
              <w:t>32.4%</w:t>
            </w:r>
          </w:p>
        </w:tc>
        <w:tc>
          <w:tcPr>
            <w:tcW w:w="1710" w:type="dxa"/>
            <w:vMerge w:val="restart"/>
            <w:vAlign w:val="center"/>
          </w:tcPr>
          <w:p w:rsidR="00725B6B" w:rsidRPr="00C67635" w:rsidRDefault="00992ADD" w:rsidP="00BF4DF6">
            <w:pPr>
              <w:jc w:val="center"/>
              <w:rPr>
                <w:rFonts w:asciiTheme="minorHAnsi" w:hAnsiTheme="minorHAnsi"/>
                <w:b/>
                <w:sz w:val="22"/>
                <w:szCs w:val="22"/>
              </w:rPr>
            </w:pPr>
            <w:r>
              <w:rPr>
                <w:rFonts w:asciiTheme="minorHAnsi" w:hAnsiTheme="minorHAnsi"/>
                <w:b/>
                <w:sz w:val="22"/>
                <w:szCs w:val="22"/>
              </w:rPr>
              <w:t>1.01</w:t>
            </w:r>
          </w:p>
        </w:tc>
      </w:tr>
      <w:tr w:rsidR="00725B6B" w:rsidTr="00725B6B">
        <w:tc>
          <w:tcPr>
            <w:tcW w:w="2718" w:type="dxa"/>
            <w:shd w:val="clear" w:color="auto" w:fill="DBE5F1" w:themeFill="accent1" w:themeFillTint="33"/>
          </w:tcPr>
          <w:p w:rsidR="00725B6B" w:rsidRPr="00C67635" w:rsidRDefault="00725B6B" w:rsidP="00BF4DF6">
            <w:pPr>
              <w:rPr>
                <w:rFonts w:asciiTheme="minorHAnsi" w:hAnsiTheme="minorHAnsi"/>
                <w:sz w:val="22"/>
                <w:szCs w:val="22"/>
              </w:rPr>
            </w:pPr>
            <w:r w:rsidRPr="00C67635">
              <w:rPr>
                <w:rFonts w:asciiTheme="minorHAnsi" w:hAnsiTheme="minorHAnsi"/>
                <w:sz w:val="22"/>
                <w:szCs w:val="22"/>
              </w:rPr>
              <w:t>Eco. dis</w:t>
            </w:r>
            <w:r>
              <w:rPr>
                <w:rFonts w:asciiTheme="minorHAnsi" w:hAnsiTheme="minorHAnsi"/>
                <w:sz w:val="22"/>
                <w:szCs w:val="22"/>
              </w:rPr>
              <w:t>advantaged</w:t>
            </w:r>
          </w:p>
        </w:tc>
        <w:tc>
          <w:tcPr>
            <w:tcW w:w="2430" w:type="dxa"/>
            <w:shd w:val="clear" w:color="auto" w:fill="DBE5F1" w:themeFill="accent1" w:themeFillTint="33"/>
          </w:tcPr>
          <w:p w:rsidR="00725B6B" w:rsidRPr="00C67635" w:rsidRDefault="00725B6B" w:rsidP="00BF4DF6">
            <w:pPr>
              <w:jc w:val="center"/>
              <w:rPr>
                <w:rFonts w:asciiTheme="minorHAnsi" w:hAnsiTheme="minorHAnsi"/>
                <w:sz w:val="22"/>
                <w:szCs w:val="22"/>
              </w:rPr>
            </w:pPr>
            <w:r>
              <w:rPr>
                <w:rFonts w:asciiTheme="minorHAnsi" w:hAnsiTheme="minorHAnsi"/>
                <w:sz w:val="22"/>
                <w:szCs w:val="22"/>
              </w:rPr>
              <w:t>1.0%</w:t>
            </w:r>
          </w:p>
        </w:tc>
        <w:tc>
          <w:tcPr>
            <w:tcW w:w="2610" w:type="dxa"/>
            <w:shd w:val="clear" w:color="auto" w:fill="DBE5F1" w:themeFill="accent1" w:themeFillTint="33"/>
          </w:tcPr>
          <w:p w:rsidR="00725B6B" w:rsidRPr="00C67635" w:rsidRDefault="00457ACA" w:rsidP="00BF4DF6">
            <w:pPr>
              <w:jc w:val="center"/>
              <w:rPr>
                <w:rFonts w:asciiTheme="minorHAnsi" w:hAnsiTheme="minorHAnsi"/>
                <w:sz w:val="22"/>
                <w:szCs w:val="22"/>
              </w:rPr>
            </w:pPr>
            <w:r>
              <w:rPr>
                <w:rFonts w:asciiTheme="minorHAnsi" w:hAnsiTheme="minorHAnsi"/>
                <w:sz w:val="22"/>
                <w:szCs w:val="22"/>
              </w:rPr>
              <w:t>32.6%</w:t>
            </w:r>
          </w:p>
        </w:tc>
        <w:tc>
          <w:tcPr>
            <w:tcW w:w="1710" w:type="dxa"/>
            <w:vMerge/>
            <w:vAlign w:val="center"/>
          </w:tcPr>
          <w:p w:rsidR="00725B6B" w:rsidRPr="00C67635" w:rsidRDefault="00725B6B" w:rsidP="00BF4DF6">
            <w:pPr>
              <w:jc w:val="center"/>
              <w:rPr>
                <w:rFonts w:asciiTheme="minorHAnsi" w:hAnsiTheme="minorHAnsi"/>
                <w:b/>
                <w:sz w:val="22"/>
                <w:szCs w:val="22"/>
              </w:rPr>
            </w:pPr>
          </w:p>
        </w:tc>
      </w:tr>
      <w:tr w:rsidR="00725B6B" w:rsidRPr="00A14BFA" w:rsidTr="00725B6B">
        <w:tc>
          <w:tcPr>
            <w:tcW w:w="2718" w:type="dxa"/>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White students</w:t>
            </w:r>
          </w:p>
        </w:tc>
        <w:tc>
          <w:tcPr>
            <w:tcW w:w="2430" w:type="dxa"/>
          </w:tcPr>
          <w:p w:rsidR="00725B6B" w:rsidRPr="00A14BFA" w:rsidRDefault="00725B6B" w:rsidP="00BF4DF6">
            <w:pPr>
              <w:jc w:val="center"/>
              <w:rPr>
                <w:rFonts w:asciiTheme="minorHAnsi" w:hAnsiTheme="minorHAnsi"/>
                <w:sz w:val="22"/>
                <w:szCs w:val="22"/>
              </w:rPr>
            </w:pPr>
            <w:r>
              <w:rPr>
                <w:rFonts w:asciiTheme="minorHAnsi" w:hAnsiTheme="minorHAnsi"/>
                <w:sz w:val="22"/>
                <w:szCs w:val="22"/>
              </w:rPr>
              <w:t>1.1%</w:t>
            </w:r>
          </w:p>
        </w:tc>
        <w:tc>
          <w:tcPr>
            <w:tcW w:w="2610" w:type="dxa"/>
          </w:tcPr>
          <w:p w:rsidR="00725B6B" w:rsidRPr="00A14BFA" w:rsidRDefault="00457ACA" w:rsidP="00BF4DF6">
            <w:pPr>
              <w:jc w:val="center"/>
              <w:rPr>
                <w:rFonts w:asciiTheme="minorHAnsi" w:hAnsiTheme="minorHAnsi"/>
                <w:sz w:val="22"/>
                <w:szCs w:val="22"/>
              </w:rPr>
            </w:pPr>
            <w:r>
              <w:rPr>
                <w:rFonts w:asciiTheme="minorHAnsi" w:hAnsiTheme="minorHAnsi"/>
                <w:sz w:val="22"/>
                <w:szCs w:val="22"/>
              </w:rPr>
              <w:t>32.8%</w:t>
            </w:r>
          </w:p>
        </w:tc>
        <w:tc>
          <w:tcPr>
            <w:tcW w:w="1710" w:type="dxa"/>
            <w:vMerge w:val="restart"/>
            <w:vAlign w:val="center"/>
          </w:tcPr>
          <w:p w:rsidR="00725B6B" w:rsidRPr="00A14BFA" w:rsidRDefault="00992ADD" w:rsidP="00BF4DF6">
            <w:pPr>
              <w:jc w:val="center"/>
              <w:rPr>
                <w:rFonts w:asciiTheme="minorHAnsi" w:hAnsiTheme="minorHAnsi"/>
                <w:b/>
                <w:sz w:val="22"/>
                <w:szCs w:val="22"/>
              </w:rPr>
            </w:pPr>
            <w:r>
              <w:rPr>
                <w:rFonts w:asciiTheme="minorHAnsi" w:hAnsiTheme="minorHAnsi"/>
                <w:b/>
                <w:sz w:val="22"/>
                <w:szCs w:val="22"/>
              </w:rPr>
              <w:t>0.98</w:t>
            </w:r>
          </w:p>
        </w:tc>
      </w:tr>
      <w:tr w:rsidR="00725B6B" w:rsidRPr="00A14BFA" w:rsidTr="00725B6B">
        <w:tc>
          <w:tcPr>
            <w:tcW w:w="2718" w:type="dxa"/>
            <w:shd w:val="clear" w:color="auto" w:fill="DBE5F1" w:themeFill="accent1" w:themeFillTint="33"/>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Students of color</w:t>
            </w:r>
          </w:p>
        </w:tc>
        <w:tc>
          <w:tcPr>
            <w:tcW w:w="2430" w:type="dxa"/>
            <w:shd w:val="clear" w:color="auto" w:fill="DBE5F1" w:themeFill="accent1" w:themeFillTint="33"/>
          </w:tcPr>
          <w:p w:rsidR="00725B6B" w:rsidRPr="00A14BFA" w:rsidRDefault="00725B6B" w:rsidP="00725B6B">
            <w:pPr>
              <w:jc w:val="center"/>
              <w:rPr>
                <w:rFonts w:asciiTheme="minorHAnsi" w:hAnsiTheme="minorHAnsi"/>
                <w:sz w:val="22"/>
                <w:szCs w:val="22"/>
              </w:rPr>
            </w:pPr>
            <w:r>
              <w:rPr>
                <w:rFonts w:asciiTheme="minorHAnsi" w:hAnsiTheme="minorHAnsi"/>
                <w:sz w:val="22"/>
                <w:szCs w:val="22"/>
              </w:rPr>
              <w:t>1.1%</w:t>
            </w:r>
          </w:p>
        </w:tc>
        <w:tc>
          <w:tcPr>
            <w:tcW w:w="2610" w:type="dxa"/>
            <w:shd w:val="clear" w:color="auto" w:fill="DBE5F1" w:themeFill="accent1" w:themeFillTint="33"/>
          </w:tcPr>
          <w:p w:rsidR="00725B6B" w:rsidRPr="00A14BFA" w:rsidRDefault="00457ACA" w:rsidP="00BF4DF6">
            <w:pPr>
              <w:jc w:val="center"/>
              <w:rPr>
                <w:rFonts w:asciiTheme="minorHAnsi" w:hAnsiTheme="minorHAnsi"/>
                <w:sz w:val="22"/>
                <w:szCs w:val="22"/>
              </w:rPr>
            </w:pPr>
            <w:r>
              <w:rPr>
                <w:rFonts w:asciiTheme="minorHAnsi" w:hAnsiTheme="minorHAnsi"/>
                <w:sz w:val="22"/>
                <w:szCs w:val="22"/>
              </w:rPr>
              <w:t>31.9%</w:t>
            </w:r>
          </w:p>
        </w:tc>
        <w:tc>
          <w:tcPr>
            <w:tcW w:w="1710" w:type="dxa"/>
            <w:vMerge/>
            <w:vAlign w:val="center"/>
          </w:tcPr>
          <w:p w:rsidR="00725B6B" w:rsidRPr="00A14BFA" w:rsidRDefault="00725B6B" w:rsidP="00BF4DF6">
            <w:pPr>
              <w:jc w:val="center"/>
              <w:rPr>
                <w:rFonts w:asciiTheme="minorHAnsi" w:hAnsiTheme="minorHAnsi"/>
                <w:b/>
                <w:sz w:val="22"/>
                <w:szCs w:val="22"/>
              </w:rPr>
            </w:pPr>
          </w:p>
        </w:tc>
      </w:tr>
      <w:tr w:rsidR="00725B6B" w:rsidRPr="00A14BFA" w:rsidTr="00725B6B">
        <w:tc>
          <w:tcPr>
            <w:tcW w:w="2718" w:type="dxa"/>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Non</w:t>
            </w:r>
            <w:r>
              <w:rPr>
                <w:rFonts w:ascii="Helvetica" w:eastAsia="Helvetica" w:hAnsi="Helvetica" w:cs="Helvetica"/>
                <w:sz w:val="22"/>
                <w:szCs w:val="22"/>
              </w:rPr>
              <w:t>-</w:t>
            </w:r>
            <w:r w:rsidRPr="00A14BFA">
              <w:rPr>
                <w:rFonts w:asciiTheme="minorHAnsi" w:hAnsiTheme="minorHAnsi"/>
                <w:sz w:val="22"/>
                <w:szCs w:val="22"/>
              </w:rPr>
              <w:t>English learners</w:t>
            </w:r>
          </w:p>
        </w:tc>
        <w:tc>
          <w:tcPr>
            <w:tcW w:w="2430" w:type="dxa"/>
          </w:tcPr>
          <w:p w:rsidR="00725B6B" w:rsidRPr="00A14BFA" w:rsidRDefault="00725B6B" w:rsidP="00BF4DF6">
            <w:pPr>
              <w:jc w:val="center"/>
              <w:rPr>
                <w:rFonts w:asciiTheme="minorHAnsi" w:hAnsiTheme="minorHAnsi"/>
                <w:sz w:val="22"/>
                <w:szCs w:val="22"/>
              </w:rPr>
            </w:pPr>
            <w:r>
              <w:rPr>
                <w:rFonts w:asciiTheme="minorHAnsi" w:hAnsiTheme="minorHAnsi"/>
                <w:sz w:val="22"/>
                <w:szCs w:val="22"/>
              </w:rPr>
              <w:t>1.1%</w:t>
            </w:r>
          </w:p>
        </w:tc>
        <w:tc>
          <w:tcPr>
            <w:tcW w:w="2610" w:type="dxa"/>
          </w:tcPr>
          <w:p w:rsidR="00725B6B" w:rsidRPr="00A14BFA" w:rsidRDefault="00457ACA" w:rsidP="00457ACA">
            <w:pPr>
              <w:jc w:val="center"/>
              <w:rPr>
                <w:rFonts w:asciiTheme="minorHAnsi" w:hAnsiTheme="minorHAnsi"/>
                <w:sz w:val="22"/>
                <w:szCs w:val="22"/>
              </w:rPr>
            </w:pPr>
            <w:r>
              <w:rPr>
                <w:rFonts w:asciiTheme="minorHAnsi" w:hAnsiTheme="minorHAnsi"/>
                <w:sz w:val="22"/>
                <w:szCs w:val="22"/>
              </w:rPr>
              <w:t>32.5%</w:t>
            </w:r>
          </w:p>
        </w:tc>
        <w:tc>
          <w:tcPr>
            <w:tcW w:w="1710" w:type="dxa"/>
            <w:vMerge w:val="restart"/>
            <w:vAlign w:val="center"/>
          </w:tcPr>
          <w:p w:rsidR="00725B6B" w:rsidRPr="00A14BFA" w:rsidRDefault="00992ADD" w:rsidP="00BF4DF6">
            <w:pPr>
              <w:jc w:val="center"/>
              <w:rPr>
                <w:rFonts w:asciiTheme="minorHAnsi" w:hAnsiTheme="minorHAnsi"/>
                <w:b/>
                <w:sz w:val="22"/>
                <w:szCs w:val="22"/>
              </w:rPr>
            </w:pPr>
            <w:r>
              <w:rPr>
                <w:rFonts w:asciiTheme="minorHAnsi" w:hAnsiTheme="minorHAnsi"/>
                <w:b/>
                <w:sz w:val="22"/>
                <w:szCs w:val="22"/>
              </w:rPr>
              <w:t>0.97</w:t>
            </w:r>
          </w:p>
        </w:tc>
      </w:tr>
      <w:tr w:rsidR="00725B6B" w:rsidRPr="00A14BFA" w:rsidTr="00725B6B">
        <w:tc>
          <w:tcPr>
            <w:tcW w:w="2718" w:type="dxa"/>
            <w:shd w:val="clear" w:color="auto" w:fill="DBE5F1" w:themeFill="accent1" w:themeFillTint="33"/>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English learners</w:t>
            </w:r>
          </w:p>
        </w:tc>
        <w:tc>
          <w:tcPr>
            <w:tcW w:w="2430" w:type="dxa"/>
            <w:shd w:val="clear" w:color="auto" w:fill="DBE5F1" w:themeFill="accent1" w:themeFillTint="33"/>
          </w:tcPr>
          <w:p w:rsidR="00725B6B" w:rsidRPr="00A14BFA" w:rsidRDefault="00725B6B" w:rsidP="00BF4DF6">
            <w:pPr>
              <w:jc w:val="center"/>
              <w:rPr>
                <w:rFonts w:asciiTheme="minorHAnsi" w:hAnsiTheme="minorHAnsi"/>
                <w:sz w:val="22"/>
                <w:szCs w:val="22"/>
              </w:rPr>
            </w:pPr>
            <w:r>
              <w:rPr>
                <w:rFonts w:asciiTheme="minorHAnsi" w:hAnsiTheme="minorHAnsi"/>
                <w:sz w:val="22"/>
                <w:szCs w:val="22"/>
              </w:rPr>
              <w:t>1.3%</w:t>
            </w:r>
          </w:p>
        </w:tc>
        <w:tc>
          <w:tcPr>
            <w:tcW w:w="2610" w:type="dxa"/>
            <w:shd w:val="clear" w:color="auto" w:fill="DBE5F1" w:themeFill="accent1" w:themeFillTint="33"/>
          </w:tcPr>
          <w:p w:rsidR="00725B6B" w:rsidRPr="00A14BFA" w:rsidRDefault="00457ACA" w:rsidP="00BF4DF6">
            <w:pPr>
              <w:jc w:val="center"/>
              <w:rPr>
                <w:rFonts w:asciiTheme="minorHAnsi" w:hAnsiTheme="minorHAnsi"/>
                <w:sz w:val="22"/>
                <w:szCs w:val="22"/>
              </w:rPr>
            </w:pPr>
            <w:r>
              <w:rPr>
                <w:rFonts w:asciiTheme="minorHAnsi" w:hAnsiTheme="minorHAnsi"/>
                <w:sz w:val="22"/>
                <w:szCs w:val="22"/>
              </w:rPr>
              <w:t>31.4%</w:t>
            </w:r>
          </w:p>
        </w:tc>
        <w:tc>
          <w:tcPr>
            <w:tcW w:w="1710" w:type="dxa"/>
            <w:vMerge/>
            <w:vAlign w:val="center"/>
          </w:tcPr>
          <w:p w:rsidR="00725B6B" w:rsidRPr="00A14BFA" w:rsidRDefault="00725B6B" w:rsidP="00BF4DF6">
            <w:pPr>
              <w:jc w:val="center"/>
              <w:rPr>
                <w:rFonts w:asciiTheme="minorHAnsi" w:hAnsiTheme="minorHAnsi"/>
                <w:b/>
                <w:sz w:val="22"/>
                <w:szCs w:val="22"/>
              </w:rPr>
            </w:pPr>
          </w:p>
        </w:tc>
      </w:tr>
      <w:tr w:rsidR="00725B6B" w:rsidRPr="00A14BFA" w:rsidTr="00725B6B">
        <w:tc>
          <w:tcPr>
            <w:tcW w:w="2718" w:type="dxa"/>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Students without disabilities</w:t>
            </w:r>
          </w:p>
        </w:tc>
        <w:tc>
          <w:tcPr>
            <w:tcW w:w="2430" w:type="dxa"/>
            <w:vAlign w:val="center"/>
          </w:tcPr>
          <w:p w:rsidR="00725B6B" w:rsidRPr="00A14BFA" w:rsidRDefault="00725B6B" w:rsidP="00BF4DF6">
            <w:pPr>
              <w:jc w:val="center"/>
              <w:rPr>
                <w:rFonts w:asciiTheme="minorHAnsi" w:hAnsiTheme="minorHAnsi"/>
                <w:sz w:val="22"/>
                <w:szCs w:val="22"/>
              </w:rPr>
            </w:pPr>
            <w:r>
              <w:rPr>
                <w:rFonts w:asciiTheme="minorHAnsi" w:hAnsiTheme="minorHAnsi"/>
                <w:sz w:val="22"/>
                <w:szCs w:val="22"/>
              </w:rPr>
              <w:t>1.1%</w:t>
            </w:r>
          </w:p>
        </w:tc>
        <w:tc>
          <w:tcPr>
            <w:tcW w:w="2610" w:type="dxa"/>
            <w:vAlign w:val="center"/>
          </w:tcPr>
          <w:p w:rsidR="00725B6B" w:rsidRPr="00A14BFA" w:rsidRDefault="00457ACA" w:rsidP="00BF4DF6">
            <w:pPr>
              <w:jc w:val="center"/>
              <w:rPr>
                <w:rFonts w:asciiTheme="minorHAnsi" w:hAnsiTheme="minorHAnsi"/>
                <w:sz w:val="22"/>
                <w:szCs w:val="22"/>
              </w:rPr>
            </w:pPr>
            <w:r>
              <w:rPr>
                <w:rFonts w:asciiTheme="minorHAnsi" w:hAnsiTheme="minorHAnsi"/>
                <w:sz w:val="22"/>
                <w:szCs w:val="22"/>
              </w:rPr>
              <w:t>32.2%</w:t>
            </w:r>
          </w:p>
        </w:tc>
        <w:tc>
          <w:tcPr>
            <w:tcW w:w="1710" w:type="dxa"/>
            <w:vMerge w:val="restart"/>
            <w:vAlign w:val="center"/>
          </w:tcPr>
          <w:p w:rsidR="00725B6B" w:rsidRPr="00A14BFA" w:rsidRDefault="00992ADD" w:rsidP="00BF4DF6">
            <w:pPr>
              <w:jc w:val="center"/>
              <w:rPr>
                <w:rFonts w:asciiTheme="minorHAnsi" w:hAnsiTheme="minorHAnsi"/>
                <w:b/>
                <w:sz w:val="22"/>
                <w:szCs w:val="22"/>
              </w:rPr>
            </w:pPr>
            <w:r>
              <w:rPr>
                <w:rFonts w:asciiTheme="minorHAnsi" w:hAnsiTheme="minorHAnsi"/>
                <w:b/>
                <w:sz w:val="22"/>
                <w:szCs w:val="22"/>
              </w:rPr>
              <w:t>1.04</w:t>
            </w:r>
          </w:p>
        </w:tc>
      </w:tr>
      <w:tr w:rsidR="00725B6B" w:rsidRPr="00A14BFA" w:rsidTr="00725B6B">
        <w:tc>
          <w:tcPr>
            <w:tcW w:w="2718" w:type="dxa"/>
            <w:shd w:val="clear" w:color="auto" w:fill="DBE5F1" w:themeFill="accent1" w:themeFillTint="33"/>
          </w:tcPr>
          <w:p w:rsidR="00725B6B" w:rsidRPr="00A14BFA" w:rsidRDefault="00725B6B" w:rsidP="00BF4DF6">
            <w:pPr>
              <w:rPr>
                <w:rFonts w:asciiTheme="minorHAnsi" w:hAnsiTheme="minorHAnsi"/>
                <w:sz w:val="22"/>
                <w:szCs w:val="22"/>
              </w:rPr>
            </w:pPr>
            <w:r w:rsidRPr="00A14BFA">
              <w:rPr>
                <w:rFonts w:asciiTheme="minorHAnsi" w:hAnsiTheme="minorHAnsi"/>
                <w:sz w:val="22"/>
                <w:szCs w:val="22"/>
              </w:rPr>
              <w:t>Students with disabilities</w:t>
            </w:r>
          </w:p>
        </w:tc>
        <w:tc>
          <w:tcPr>
            <w:tcW w:w="2430" w:type="dxa"/>
            <w:shd w:val="clear" w:color="auto" w:fill="DBE5F1" w:themeFill="accent1" w:themeFillTint="33"/>
            <w:vAlign w:val="center"/>
          </w:tcPr>
          <w:p w:rsidR="00725B6B" w:rsidRPr="00A14BFA" w:rsidRDefault="00725B6B" w:rsidP="00BF4DF6">
            <w:pPr>
              <w:jc w:val="center"/>
              <w:rPr>
                <w:rFonts w:asciiTheme="minorHAnsi" w:hAnsiTheme="minorHAnsi"/>
                <w:sz w:val="22"/>
                <w:szCs w:val="22"/>
              </w:rPr>
            </w:pPr>
            <w:r>
              <w:rPr>
                <w:rFonts w:asciiTheme="minorHAnsi" w:hAnsiTheme="minorHAnsi"/>
                <w:sz w:val="22"/>
                <w:szCs w:val="22"/>
              </w:rPr>
              <w:t>1.0%</w:t>
            </w:r>
          </w:p>
        </w:tc>
        <w:tc>
          <w:tcPr>
            <w:tcW w:w="2610" w:type="dxa"/>
            <w:shd w:val="clear" w:color="auto" w:fill="DBE5F1" w:themeFill="accent1" w:themeFillTint="33"/>
            <w:vAlign w:val="center"/>
          </w:tcPr>
          <w:p w:rsidR="00725B6B" w:rsidRPr="00A14BFA" w:rsidRDefault="00457ACA" w:rsidP="004F6704">
            <w:pPr>
              <w:jc w:val="center"/>
              <w:rPr>
                <w:rFonts w:asciiTheme="minorHAnsi" w:hAnsiTheme="minorHAnsi"/>
                <w:sz w:val="22"/>
                <w:szCs w:val="22"/>
              </w:rPr>
            </w:pPr>
            <w:r>
              <w:rPr>
                <w:rFonts w:asciiTheme="minorHAnsi" w:hAnsiTheme="minorHAnsi"/>
                <w:sz w:val="22"/>
                <w:szCs w:val="22"/>
              </w:rPr>
              <w:t>33.4%</w:t>
            </w:r>
          </w:p>
        </w:tc>
        <w:tc>
          <w:tcPr>
            <w:tcW w:w="1710" w:type="dxa"/>
            <w:vMerge/>
          </w:tcPr>
          <w:p w:rsidR="00725B6B" w:rsidRPr="00A14BFA" w:rsidRDefault="00725B6B" w:rsidP="00BF4DF6">
            <w:pPr>
              <w:rPr>
                <w:rFonts w:asciiTheme="minorHAnsi" w:hAnsiTheme="minorHAnsi"/>
                <w:sz w:val="22"/>
                <w:szCs w:val="22"/>
              </w:rPr>
            </w:pPr>
          </w:p>
        </w:tc>
      </w:tr>
    </w:tbl>
    <w:p w:rsidR="00BB4985" w:rsidRDefault="00BB4985" w:rsidP="00BB4985">
      <w:pPr>
        <w:pStyle w:val="Footer"/>
        <w:rPr>
          <w:rFonts w:asciiTheme="minorHAnsi" w:hAnsiTheme="minorHAnsi"/>
          <w:i/>
          <w:sz w:val="20"/>
          <w:szCs w:val="20"/>
        </w:rPr>
      </w:pPr>
    </w:p>
    <w:p w:rsidR="002916B4" w:rsidRPr="00404D1A" w:rsidRDefault="002916B4" w:rsidP="00BB4985">
      <w:pPr>
        <w:pStyle w:val="Footer"/>
        <w:rPr>
          <w:rFonts w:asciiTheme="minorHAnsi" w:hAnsiTheme="minorHAnsi"/>
          <w:i/>
          <w:sz w:val="20"/>
          <w:szCs w:val="20"/>
        </w:rPr>
      </w:pPr>
    </w:p>
    <w:p w:rsidR="00BB4985" w:rsidRPr="007B64F5" w:rsidRDefault="001263C2" w:rsidP="00BB4985">
      <w:pPr>
        <w:rPr>
          <w:rFonts w:asciiTheme="minorHAnsi" w:hAnsiTheme="minorHAnsi"/>
          <w:b/>
          <w:sz w:val="30"/>
          <w:szCs w:val="30"/>
        </w:rPr>
      </w:pPr>
      <w:r>
        <w:rPr>
          <w:rFonts w:asciiTheme="minorHAnsi" w:hAnsiTheme="minorHAnsi"/>
          <w:b/>
          <w:sz w:val="22"/>
          <w:szCs w:val="22"/>
        </w:rPr>
        <w:t>T</w:t>
      </w:r>
      <w:r w:rsidRPr="00084C83">
        <w:rPr>
          <w:rFonts w:asciiTheme="minorHAnsi" w:hAnsiTheme="minorHAnsi"/>
          <w:b/>
          <w:sz w:val="22"/>
          <w:szCs w:val="22"/>
        </w:rPr>
        <w:t xml:space="preserve">able </w:t>
      </w:r>
      <w:r w:rsidR="00DC145E">
        <w:rPr>
          <w:rFonts w:asciiTheme="minorHAnsi" w:hAnsiTheme="minorHAnsi"/>
          <w:b/>
          <w:sz w:val="22"/>
          <w:szCs w:val="22"/>
        </w:rPr>
        <w:t>11</w:t>
      </w:r>
      <w:r>
        <w:rPr>
          <w:rFonts w:asciiTheme="minorHAnsi" w:hAnsiTheme="minorHAnsi"/>
          <w:b/>
          <w:sz w:val="22"/>
          <w:szCs w:val="22"/>
        </w:rPr>
        <w:t xml:space="preserve">: </w:t>
      </w:r>
      <w:r w:rsidRPr="001263C2">
        <w:rPr>
          <w:rFonts w:asciiTheme="minorHAnsi" w:hAnsiTheme="minorHAnsi"/>
          <w:b/>
          <w:sz w:val="22"/>
          <w:szCs w:val="22"/>
        </w:rPr>
        <w:t>Stat</w:t>
      </w:r>
      <w:r w:rsidR="001453D3">
        <w:rPr>
          <w:rFonts w:asciiTheme="minorHAnsi" w:hAnsiTheme="minorHAnsi"/>
          <w:b/>
          <w:sz w:val="22"/>
          <w:szCs w:val="22"/>
        </w:rPr>
        <w:t>ewide student assignment data of</w:t>
      </w:r>
      <w:r w:rsidRPr="001263C2">
        <w:rPr>
          <w:rFonts w:asciiTheme="minorHAnsi" w:hAnsiTheme="minorHAnsi"/>
          <w:b/>
          <w:sz w:val="22"/>
          <w:szCs w:val="22"/>
        </w:rPr>
        <w:t xml:space="preserve"> subgroups: 20</w:t>
      </w:r>
      <w:r>
        <w:rPr>
          <w:rFonts w:asciiTheme="minorHAnsi" w:hAnsiTheme="minorHAnsi"/>
          <w:b/>
          <w:sz w:val="22"/>
          <w:szCs w:val="22"/>
        </w:rPr>
        <w:t>15–16</w:t>
      </w:r>
    </w:p>
    <w:tbl>
      <w:tblPr>
        <w:tblStyle w:val="TableGrid"/>
        <w:tblW w:w="9468" w:type="dxa"/>
        <w:tblLayout w:type="fixed"/>
        <w:tblLook w:val="04A0" w:firstRow="1" w:lastRow="0" w:firstColumn="1" w:lastColumn="0" w:noHBand="0" w:noVBand="1"/>
        <w:tblDescription w:val="Statewide student assignment data of subgroups: 2015-16"/>
      </w:tblPr>
      <w:tblGrid>
        <w:gridCol w:w="2718"/>
        <w:gridCol w:w="2430"/>
        <w:gridCol w:w="2610"/>
        <w:gridCol w:w="1710"/>
      </w:tblGrid>
      <w:tr w:rsidR="00023D42" w:rsidTr="008B5517">
        <w:trPr>
          <w:trHeight w:val="150"/>
          <w:tblHeader/>
        </w:trPr>
        <w:tc>
          <w:tcPr>
            <w:tcW w:w="2718" w:type="dxa"/>
            <w:vMerge w:val="restart"/>
          </w:tcPr>
          <w:p w:rsidR="00023D42" w:rsidRPr="00C67635" w:rsidRDefault="00023D42" w:rsidP="00BF4DF6">
            <w:pPr>
              <w:rPr>
                <w:rFonts w:asciiTheme="minorHAnsi" w:hAnsiTheme="minorHAnsi"/>
                <w:sz w:val="22"/>
                <w:szCs w:val="22"/>
              </w:rPr>
            </w:pPr>
          </w:p>
        </w:tc>
        <w:tc>
          <w:tcPr>
            <w:tcW w:w="2430" w:type="dxa"/>
            <w:shd w:val="clear" w:color="auto" w:fill="4F81BD" w:themeFill="accent1"/>
          </w:tcPr>
          <w:p w:rsidR="00023D42" w:rsidRPr="00C67635" w:rsidRDefault="00023D42" w:rsidP="00C57776">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Substitutes</w:t>
            </w:r>
          </w:p>
        </w:tc>
        <w:tc>
          <w:tcPr>
            <w:tcW w:w="4320" w:type="dxa"/>
            <w:gridSpan w:val="2"/>
            <w:shd w:val="clear" w:color="auto" w:fill="4F81BD" w:themeFill="accent1"/>
          </w:tcPr>
          <w:p w:rsidR="00023D42" w:rsidRPr="00C67635" w:rsidRDefault="00023D42" w:rsidP="00E11402">
            <w:pPr>
              <w:jc w:val="center"/>
              <w:rPr>
                <w:rFonts w:asciiTheme="minorHAnsi" w:hAnsiTheme="minorHAnsi"/>
                <w:b/>
                <w:color w:val="FFFFFF" w:themeColor="background1"/>
                <w:sz w:val="22"/>
                <w:szCs w:val="22"/>
              </w:rPr>
            </w:pPr>
            <w:r>
              <w:rPr>
                <w:rFonts w:asciiTheme="minorHAnsi" w:hAnsiTheme="minorHAnsi"/>
                <w:b/>
                <w:color w:val="FFFFFF" w:themeColor="background1"/>
                <w:sz w:val="22"/>
                <w:szCs w:val="22"/>
              </w:rPr>
              <w:t>Teacher attendance</w:t>
            </w:r>
          </w:p>
        </w:tc>
      </w:tr>
      <w:tr w:rsidR="00023D42" w:rsidTr="00CB0EC8">
        <w:trPr>
          <w:trHeight w:val="149"/>
          <w:tblHeader/>
        </w:trPr>
        <w:tc>
          <w:tcPr>
            <w:tcW w:w="2718" w:type="dxa"/>
            <w:vMerge/>
          </w:tcPr>
          <w:p w:rsidR="00023D42" w:rsidRPr="00C67635" w:rsidRDefault="00023D42" w:rsidP="00BF4DF6">
            <w:pPr>
              <w:rPr>
                <w:rFonts w:asciiTheme="minorHAnsi" w:hAnsiTheme="minorHAnsi"/>
                <w:sz w:val="22"/>
                <w:szCs w:val="22"/>
              </w:rPr>
            </w:pPr>
          </w:p>
        </w:tc>
        <w:tc>
          <w:tcPr>
            <w:tcW w:w="2430" w:type="dxa"/>
            <w:shd w:val="clear" w:color="auto" w:fill="4F81BD" w:themeFill="accent1"/>
          </w:tcPr>
          <w:p w:rsidR="00023D42" w:rsidRPr="004C4301" w:rsidRDefault="00023D42" w:rsidP="00C57776">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 of experiences with long-term substitutes</w:t>
            </w:r>
          </w:p>
        </w:tc>
        <w:tc>
          <w:tcPr>
            <w:tcW w:w="2610" w:type="dxa"/>
            <w:shd w:val="clear" w:color="auto" w:fill="4F81BD" w:themeFill="accent1"/>
          </w:tcPr>
          <w:p w:rsidR="00023D42" w:rsidRPr="004C4301" w:rsidRDefault="00023D42" w:rsidP="00C57776">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 of experiences with teachers absent 10+ days</w:t>
            </w:r>
          </w:p>
        </w:tc>
        <w:tc>
          <w:tcPr>
            <w:tcW w:w="1710" w:type="dxa"/>
            <w:shd w:val="clear" w:color="auto" w:fill="4F81BD" w:themeFill="accent1"/>
          </w:tcPr>
          <w:p w:rsidR="00023D42" w:rsidRPr="004C4301" w:rsidRDefault="00023D42" w:rsidP="00E11402">
            <w:pPr>
              <w:jc w:val="center"/>
              <w:rPr>
                <w:rFonts w:asciiTheme="minorHAnsi" w:hAnsiTheme="minorHAnsi"/>
                <w:color w:val="FFFFFF" w:themeColor="background1"/>
                <w:sz w:val="22"/>
                <w:szCs w:val="22"/>
              </w:rPr>
            </w:pPr>
            <w:r w:rsidRPr="004C4301">
              <w:rPr>
                <w:rFonts w:asciiTheme="minorHAnsi" w:hAnsiTheme="minorHAnsi"/>
                <w:color w:val="FFFFFF" w:themeColor="background1"/>
                <w:sz w:val="22"/>
                <w:szCs w:val="22"/>
              </w:rPr>
              <w:t>Risk ratio</w:t>
            </w:r>
          </w:p>
        </w:tc>
      </w:tr>
      <w:tr w:rsidR="00023D42" w:rsidTr="00CB0EC8">
        <w:tc>
          <w:tcPr>
            <w:tcW w:w="2718" w:type="dxa"/>
          </w:tcPr>
          <w:p w:rsidR="00023D42" w:rsidRPr="00C67635" w:rsidRDefault="00023D42" w:rsidP="00BF4DF6">
            <w:pPr>
              <w:rPr>
                <w:rFonts w:asciiTheme="minorHAnsi" w:hAnsiTheme="minorHAnsi"/>
                <w:sz w:val="22"/>
                <w:szCs w:val="22"/>
              </w:rPr>
            </w:pPr>
            <w:r w:rsidRPr="00C67635">
              <w:rPr>
                <w:rFonts w:asciiTheme="minorHAnsi" w:hAnsiTheme="minorHAnsi"/>
                <w:sz w:val="22"/>
                <w:szCs w:val="22"/>
              </w:rPr>
              <w:t>Non</w:t>
            </w:r>
            <w:r>
              <w:rPr>
                <w:rFonts w:ascii="Helvetica" w:eastAsia="Helvetica" w:hAnsi="Helvetica" w:cs="Helvetica"/>
                <w:sz w:val="22"/>
                <w:szCs w:val="22"/>
              </w:rPr>
              <w:t>-</w:t>
            </w:r>
            <w:r w:rsidRPr="00C67635">
              <w:rPr>
                <w:rFonts w:asciiTheme="minorHAnsi" w:hAnsiTheme="minorHAnsi"/>
                <w:sz w:val="22"/>
                <w:szCs w:val="22"/>
              </w:rPr>
              <w:t>eco. dis</w:t>
            </w:r>
            <w:r>
              <w:rPr>
                <w:rFonts w:asciiTheme="minorHAnsi" w:hAnsiTheme="minorHAnsi"/>
                <w:sz w:val="22"/>
                <w:szCs w:val="22"/>
              </w:rPr>
              <w:t>advantaged</w:t>
            </w:r>
          </w:p>
        </w:tc>
        <w:tc>
          <w:tcPr>
            <w:tcW w:w="2430" w:type="dxa"/>
          </w:tcPr>
          <w:p w:rsidR="00023D42" w:rsidRPr="00C67635" w:rsidRDefault="00023D42" w:rsidP="00BF4DF6">
            <w:pPr>
              <w:jc w:val="center"/>
              <w:rPr>
                <w:rFonts w:asciiTheme="minorHAnsi" w:hAnsiTheme="minorHAnsi"/>
                <w:sz w:val="22"/>
                <w:szCs w:val="22"/>
              </w:rPr>
            </w:pPr>
          </w:p>
        </w:tc>
        <w:tc>
          <w:tcPr>
            <w:tcW w:w="2610" w:type="dxa"/>
          </w:tcPr>
          <w:p w:rsidR="00023D42" w:rsidRPr="00C67635" w:rsidRDefault="00023D42" w:rsidP="00BF4DF6">
            <w:pPr>
              <w:jc w:val="center"/>
              <w:rPr>
                <w:rFonts w:asciiTheme="minorHAnsi" w:hAnsiTheme="minorHAnsi"/>
                <w:sz w:val="22"/>
                <w:szCs w:val="22"/>
              </w:rPr>
            </w:pPr>
            <w:r>
              <w:rPr>
                <w:rFonts w:asciiTheme="minorHAnsi" w:hAnsiTheme="minorHAnsi"/>
                <w:sz w:val="22"/>
                <w:szCs w:val="22"/>
              </w:rPr>
              <w:t>31.8%</w:t>
            </w:r>
          </w:p>
        </w:tc>
        <w:tc>
          <w:tcPr>
            <w:tcW w:w="1710" w:type="dxa"/>
            <w:vMerge w:val="restart"/>
            <w:vAlign w:val="center"/>
          </w:tcPr>
          <w:p w:rsidR="00023D42" w:rsidRPr="00CB0EC8" w:rsidRDefault="00023D42" w:rsidP="00BF4DF6">
            <w:pPr>
              <w:jc w:val="center"/>
              <w:rPr>
                <w:rFonts w:asciiTheme="minorHAnsi" w:hAnsiTheme="minorHAnsi"/>
                <w:b/>
                <w:sz w:val="22"/>
                <w:szCs w:val="22"/>
              </w:rPr>
            </w:pPr>
            <w:r w:rsidRPr="00CB0EC8">
              <w:rPr>
                <w:rFonts w:asciiTheme="minorHAnsi" w:hAnsiTheme="minorHAnsi"/>
                <w:b/>
                <w:sz w:val="22"/>
                <w:szCs w:val="22"/>
              </w:rPr>
              <w:t>1.01</w:t>
            </w:r>
          </w:p>
        </w:tc>
      </w:tr>
      <w:tr w:rsidR="00023D42" w:rsidTr="00CB0EC8">
        <w:tc>
          <w:tcPr>
            <w:tcW w:w="2718" w:type="dxa"/>
            <w:shd w:val="clear" w:color="auto" w:fill="DBE5F1" w:themeFill="accent1" w:themeFillTint="33"/>
          </w:tcPr>
          <w:p w:rsidR="00023D42" w:rsidRPr="00C67635" w:rsidRDefault="00023D42" w:rsidP="00BF4DF6">
            <w:pPr>
              <w:rPr>
                <w:rFonts w:asciiTheme="minorHAnsi" w:hAnsiTheme="minorHAnsi"/>
                <w:sz w:val="22"/>
                <w:szCs w:val="22"/>
              </w:rPr>
            </w:pPr>
            <w:r w:rsidRPr="00C67635">
              <w:rPr>
                <w:rFonts w:asciiTheme="minorHAnsi" w:hAnsiTheme="minorHAnsi"/>
                <w:sz w:val="22"/>
                <w:szCs w:val="22"/>
              </w:rPr>
              <w:t>Eco. dis</w:t>
            </w:r>
            <w:r>
              <w:rPr>
                <w:rFonts w:asciiTheme="minorHAnsi" w:hAnsiTheme="minorHAnsi"/>
                <w:sz w:val="22"/>
                <w:szCs w:val="22"/>
              </w:rPr>
              <w:t>advantaged</w:t>
            </w:r>
          </w:p>
        </w:tc>
        <w:tc>
          <w:tcPr>
            <w:tcW w:w="2430" w:type="dxa"/>
            <w:shd w:val="clear" w:color="auto" w:fill="DBE5F1" w:themeFill="accent1" w:themeFillTint="33"/>
          </w:tcPr>
          <w:p w:rsidR="00023D42" w:rsidRPr="00C67635" w:rsidRDefault="00023D42" w:rsidP="00BF4DF6">
            <w:pPr>
              <w:jc w:val="center"/>
              <w:rPr>
                <w:rFonts w:asciiTheme="minorHAnsi" w:hAnsiTheme="minorHAnsi"/>
                <w:sz w:val="22"/>
                <w:szCs w:val="22"/>
              </w:rPr>
            </w:pPr>
            <w:r>
              <w:rPr>
                <w:rFonts w:asciiTheme="minorHAnsi" w:hAnsiTheme="minorHAnsi"/>
                <w:sz w:val="22"/>
                <w:szCs w:val="22"/>
              </w:rPr>
              <w:t>1.5%</w:t>
            </w:r>
          </w:p>
        </w:tc>
        <w:tc>
          <w:tcPr>
            <w:tcW w:w="2610" w:type="dxa"/>
            <w:shd w:val="clear" w:color="auto" w:fill="DBE5F1" w:themeFill="accent1" w:themeFillTint="33"/>
          </w:tcPr>
          <w:p w:rsidR="00023D42" w:rsidRPr="00C67635" w:rsidRDefault="00023D42" w:rsidP="00BF4DF6">
            <w:pPr>
              <w:jc w:val="center"/>
              <w:rPr>
                <w:rFonts w:asciiTheme="minorHAnsi" w:hAnsiTheme="minorHAnsi"/>
                <w:sz w:val="22"/>
                <w:szCs w:val="22"/>
              </w:rPr>
            </w:pPr>
            <w:r>
              <w:rPr>
                <w:rFonts w:asciiTheme="minorHAnsi" w:hAnsiTheme="minorHAnsi"/>
                <w:sz w:val="22"/>
                <w:szCs w:val="22"/>
              </w:rPr>
              <w:t>32.0%</w:t>
            </w:r>
          </w:p>
        </w:tc>
        <w:tc>
          <w:tcPr>
            <w:tcW w:w="1710" w:type="dxa"/>
            <w:vMerge/>
            <w:vAlign w:val="center"/>
          </w:tcPr>
          <w:p w:rsidR="00023D42" w:rsidRPr="00CB0EC8" w:rsidRDefault="00023D42" w:rsidP="00BF4DF6">
            <w:pPr>
              <w:jc w:val="center"/>
              <w:rPr>
                <w:rFonts w:asciiTheme="minorHAnsi" w:hAnsiTheme="minorHAnsi"/>
                <w:b/>
                <w:sz w:val="22"/>
                <w:szCs w:val="22"/>
              </w:rPr>
            </w:pPr>
          </w:p>
        </w:tc>
      </w:tr>
      <w:tr w:rsidR="00023D42" w:rsidRPr="00A14BFA" w:rsidTr="00CB0EC8">
        <w:tc>
          <w:tcPr>
            <w:tcW w:w="2718" w:type="dxa"/>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White students</w:t>
            </w:r>
          </w:p>
        </w:tc>
        <w:tc>
          <w:tcPr>
            <w:tcW w:w="2430" w:type="dxa"/>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1.2%</w:t>
            </w:r>
          </w:p>
        </w:tc>
        <w:tc>
          <w:tcPr>
            <w:tcW w:w="2610" w:type="dxa"/>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32.3%</w:t>
            </w:r>
          </w:p>
        </w:tc>
        <w:tc>
          <w:tcPr>
            <w:tcW w:w="1710" w:type="dxa"/>
            <w:vMerge w:val="restart"/>
            <w:vAlign w:val="center"/>
          </w:tcPr>
          <w:p w:rsidR="00023D42" w:rsidRPr="00CB0EC8" w:rsidRDefault="00023D42" w:rsidP="00BF4DF6">
            <w:pPr>
              <w:jc w:val="center"/>
              <w:rPr>
                <w:rFonts w:asciiTheme="minorHAnsi" w:hAnsiTheme="minorHAnsi"/>
                <w:b/>
                <w:sz w:val="22"/>
                <w:szCs w:val="22"/>
              </w:rPr>
            </w:pPr>
            <w:r w:rsidRPr="00CB0EC8">
              <w:rPr>
                <w:rFonts w:asciiTheme="minorHAnsi" w:hAnsiTheme="minorHAnsi"/>
                <w:b/>
                <w:sz w:val="22"/>
                <w:szCs w:val="22"/>
              </w:rPr>
              <w:t>0.96</w:t>
            </w:r>
          </w:p>
        </w:tc>
      </w:tr>
      <w:tr w:rsidR="00023D42" w:rsidRPr="00A14BFA" w:rsidTr="00CB0EC8">
        <w:tc>
          <w:tcPr>
            <w:tcW w:w="2718" w:type="dxa"/>
            <w:shd w:val="clear" w:color="auto" w:fill="DBE5F1" w:themeFill="accent1" w:themeFillTint="33"/>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Students of color</w:t>
            </w:r>
          </w:p>
        </w:tc>
        <w:tc>
          <w:tcPr>
            <w:tcW w:w="2430" w:type="dxa"/>
            <w:shd w:val="clear" w:color="auto" w:fill="DBE5F1" w:themeFill="accent1" w:themeFillTint="33"/>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1.5%</w:t>
            </w:r>
          </w:p>
        </w:tc>
        <w:tc>
          <w:tcPr>
            <w:tcW w:w="2610" w:type="dxa"/>
            <w:shd w:val="clear" w:color="auto" w:fill="DBE5F1" w:themeFill="accent1" w:themeFillTint="33"/>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31.1%</w:t>
            </w:r>
          </w:p>
        </w:tc>
        <w:tc>
          <w:tcPr>
            <w:tcW w:w="1710" w:type="dxa"/>
            <w:vMerge/>
            <w:vAlign w:val="center"/>
          </w:tcPr>
          <w:p w:rsidR="00023D42" w:rsidRPr="00CB0EC8" w:rsidRDefault="00023D42" w:rsidP="00BF4DF6">
            <w:pPr>
              <w:jc w:val="center"/>
              <w:rPr>
                <w:rFonts w:asciiTheme="minorHAnsi" w:hAnsiTheme="minorHAnsi"/>
                <w:b/>
                <w:sz w:val="22"/>
                <w:szCs w:val="22"/>
              </w:rPr>
            </w:pPr>
          </w:p>
        </w:tc>
      </w:tr>
      <w:tr w:rsidR="00023D42" w:rsidRPr="00A14BFA" w:rsidTr="00CB0EC8">
        <w:tc>
          <w:tcPr>
            <w:tcW w:w="2718" w:type="dxa"/>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Non</w:t>
            </w:r>
            <w:r>
              <w:rPr>
                <w:rFonts w:ascii="Helvetica" w:eastAsia="Helvetica" w:hAnsi="Helvetica" w:cs="Helvetica"/>
                <w:sz w:val="22"/>
                <w:szCs w:val="22"/>
              </w:rPr>
              <w:t>-</w:t>
            </w:r>
            <w:r w:rsidRPr="00A14BFA">
              <w:rPr>
                <w:rFonts w:asciiTheme="minorHAnsi" w:hAnsiTheme="minorHAnsi"/>
                <w:sz w:val="22"/>
                <w:szCs w:val="22"/>
              </w:rPr>
              <w:t>English learners</w:t>
            </w:r>
          </w:p>
        </w:tc>
        <w:tc>
          <w:tcPr>
            <w:tcW w:w="2430" w:type="dxa"/>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1.2%</w:t>
            </w:r>
          </w:p>
        </w:tc>
        <w:tc>
          <w:tcPr>
            <w:tcW w:w="2610" w:type="dxa"/>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32.1%</w:t>
            </w:r>
          </w:p>
        </w:tc>
        <w:tc>
          <w:tcPr>
            <w:tcW w:w="1710" w:type="dxa"/>
            <w:vMerge w:val="restart"/>
            <w:vAlign w:val="center"/>
          </w:tcPr>
          <w:p w:rsidR="00023D42" w:rsidRPr="00CB0EC8" w:rsidRDefault="00023D42" w:rsidP="00BF4DF6">
            <w:pPr>
              <w:jc w:val="center"/>
              <w:rPr>
                <w:rFonts w:asciiTheme="minorHAnsi" w:hAnsiTheme="minorHAnsi"/>
                <w:b/>
                <w:sz w:val="22"/>
                <w:szCs w:val="22"/>
              </w:rPr>
            </w:pPr>
            <w:r w:rsidRPr="00CB0EC8">
              <w:rPr>
                <w:rFonts w:asciiTheme="minorHAnsi" w:hAnsiTheme="minorHAnsi"/>
                <w:b/>
                <w:sz w:val="22"/>
                <w:szCs w:val="22"/>
              </w:rPr>
              <w:t>0.91</w:t>
            </w:r>
          </w:p>
        </w:tc>
      </w:tr>
      <w:tr w:rsidR="00023D42" w:rsidRPr="00A14BFA" w:rsidTr="00CB0EC8">
        <w:tc>
          <w:tcPr>
            <w:tcW w:w="2718" w:type="dxa"/>
            <w:shd w:val="clear" w:color="auto" w:fill="DBE5F1" w:themeFill="accent1" w:themeFillTint="33"/>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English learners</w:t>
            </w:r>
          </w:p>
        </w:tc>
        <w:tc>
          <w:tcPr>
            <w:tcW w:w="2430" w:type="dxa"/>
            <w:shd w:val="clear" w:color="auto" w:fill="DBE5F1" w:themeFill="accent1" w:themeFillTint="33"/>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2.6%</w:t>
            </w:r>
          </w:p>
        </w:tc>
        <w:tc>
          <w:tcPr>
            <w:tcW w:w="2610" w:type="dxa"/>
            <w:shd w:val="clear" w:color="auto" w:fill="DBE5F1" w:themeFill="accent1" w:themeFillTint="33"/>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29.3%</w:t>
            </w:r>
          </w:p>
        </w:tc>
        <w:tc>
          <w:tcPr>
            <w:tcW w:w="1710" w:type="dxa"/>
            <w:vMerge/>
            <w:vAlign w:val="center"/>
          </w:tcPr>
          <w:p w:rsidR="00023D42" w:rsidRPr="00CB0EC8" w:rsidRDefault="00023D42" w:rsidP="00BF4DF6">
            <w:pPr>
              <w:jc w:val="center"/>
              <w:rPr>
                <w:rFonts w:asciiTheme="minorHAnsi" w:hAnsiTheme="minorHAnsi"/>
                <w:b/>
                <w:sz w:val="22"/>
                <w:szCs w:val="22"/>
              </w:rPr>
            </w:pPr>
          </w:p>
        </w:tc>
      </w:tr>
      <w:tr w:rsidR="00023D42" w:rsidRPr="00A14BFA" w:rsidTr="00CB0EC8">
        <w:tc>
          <w:tcPr>
            <w:tcW w:w="2718" w:type="dxa"/>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Students without disabilities</w:t>
            </w:r>
          </w:p>
        </w:tc>
        <w:tc>
          <w:tcPr>
            <w:tcW w:w="2430" w:type="dxa"/>
            <w:vAlign w:val="center"/>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1.4%</w:t>
            </w:r>
          </w:p>
        </w:tc>
        <w:tc>
          <w:tcPr>
            <w:tcW w:w="2610" w:type="dxa"/>
            <w:vAlign w:val="center"/>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31.7%</w:t>
            </w:r>
          </w:p>
        </w:tc>
        <w:tc>
          <w:tcPr>
            <w:tcW w:w="1710" w:type="dxa"/>
            <w:vMerge w:val="restart"/>
            <w:vAlign w:val="center"/>
          </w:tcPr>
          <w:p w:rsidR="00023D42" w:rsidRPr="00CB0EC8" w:rsidRDefault="00023D42" w:rsidP="00BF4DF6">
            <w:pPr>
              <w:jc w:val="center"/>
              <w:rPr>
                <w:rFonts w:asciiTheme="minorHAnsi" w:hAnsiTheme="minorHAnsi"/>
                <w:b/>
                <w:sz w:val="22"/>
                <w:szCs w:val="22"/>
              </w:rPr>
            </w:pPr>
            <w:r w:rsidRPr="00CB0EC8">
              <w:rPr>
                <w:rFonts w:asciiTheme="minorHAnsi" w:hAnsiTheme="minorHAnsi"/>
                <w:b/>
                <w:sz w:val="22"/>
                <w:szCs w:val="22"/>
              </w:rPr>
              <w:t>1.03</w:t>
            </w:r>
          </w:p>
        </w:tc>
      </w:tr>
      <w:tr w:rsidR="00023D42" w:rsidRPr="00A14BFA" w:rsidTr="00CB0EC8">
        <w:tc>
          <w:tcPr>
            <w:tcW w:w="2718" w:type="dxa"/>
            <w:shd w:val="clear" w:color="auto" w:fill="DBE5F1" w:themeFill="accent1" w:themeFillTint="33"/>
          </w:tcPr>
          <w:p w:rsidR="00023D42" w:rsidRPr="00A14BFA" w:rsidRDefault="00023D42" w:rsidP="00BF4DF6">
            <w:pPr>
              <w:rPr>
                <w:rFonts w:asciiTheme="minorHAnsi" w:hAnsiTheme="minorHAnsi"/>
                <w:sz w:val="22"/>
                <w:szCs w:val="22"/>
              </w:rPr>
            </w:pPr>
            <w:r w:rsidRPr="00A14BFA">
              <w:rPr>
                <w:rFonts w:asciiTheme="minorHAnsi" w:hAnsiTheme="minorHAnsi"/>
                <w:sz w:val="22"/>
                <w:szCs w:val="22"/>
              </w:rPr>
              <w:t>Students with disabilities</w:t>
            </w:r>
          </w:p>
        </w:tc>
        <w:tc>
          <w:tcPr>
            <w:tcW w:w="2430" w:type="dxa"/>
            <w:shd w:val="clear" w:color="auto" w:fill="DBE5F1" w:themeFill="accent1" w:themeFillTint="33"/>
            <w:vAlign w:val="center"/>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1.2%</w:t>
            </w:r>
          </w:p>
        </w:tc>
        <w:tc>
          <w:tcPr>
            <w:tcW w:w="2610" w:type="dxa"/>
            <w:shd w:val="clear" w:color="auto" w:fill="DBE5F1" w:themeFill="accent1" w:themeFillTint="33"/>
            <w:vAlign w:val="center"/>
          </w:tcPr>
          <w:p w:rsidR="00023D42" w:rsidRPr="00A14BFA" w:rsidRDefault="00023D42" w:rsidP="00BF4DF6">
            <w:pPr>
              <w:jc w:val="center"/>
              <w:rPr>
                <w:rFonts w:asciiTheme="minorHAnsi" w:hAnsiTheme="minorHAnsi"/>
                <w:sz w:val="22"/>
                <w:szCs w:val="22"/>
              </w:rPr>
            </w:pPr>
            <w:r>
              <w:rPr>
                <w:rFonts w:asciiTheme="minorHAnsi" w:hAnsiTheme="minorHAnsi"/>
                <w:sz w:val="22"/>
                <w:szCs w:val="22"/>
              </w:rPr>
              <w:t>32.7%</w:t>
            </w:r>
          </w:p>
        </w:tc>
        <w:tc>
          <w:tcPr>
            <w:tcW w:w="1710" w:type="dxa"/>
            <w:vMerge/>
          </w:tcPr>
          <w:p w:rsidR="00023D42" w:rsidRPr="00A14BFA" w:rsidRDefault="00023D42" w:rsidP="00BF4DF6">
            <w:pPr>
              <w:rPr>
                <w:rFonts w:asciiTheme="minorHAnsi" w:hAnsiTheme="minorHAnsi"/>
                <w:sz w:val="22"/>
                <w:szCs w:val="22"/>
              </w:rPr>
            </w:pPr>
          </w:p>
        </w:tc>
      </w:tr>
    </w:tbl>
    <w:p w:rsidR="00BB4985" w:rsidRPr="00404D1A" w:rsidRDefault="00BB4985" w:rsidP="00BB4985">
      <w:pPr>
        <w:pStyle w:val="Footer"/>
        <w:rPr>
          <w:rFonts w:asciiTheme="minorHAnsi" w:hAnsiTheme="minorHAnsi"/>
          <w:i/>
          <w:sz w:val="20"/>
          <w:szCs w:val="20"/>
        </w:rPr>
      </w:pPr>
    </w:p>
    <w:p w:rsidR="00BB4985" w:rsidRDefault="00BB4985" w:rsidP="00BB4985">
      <w:pPr>
        <w:rPr>
          <w:rFonts w:asciiTheme="minorHAnsi" w:hAnsiTheme="minorHAnsi"/>
          <w:b/>
          <w:sz w:val="22"/>
          <w:szCs w:val="22"/>
        </w:rPr>
      </w:pPr>
    </w:p>
    <w:p w:rsidR="008F56EF" w:rsidRDefault="008F56EF" w:rsidP="00F66DD8"/>
    <w:p w:rsidR="008F56EF" w:rsidRDefault="008F56EF" w:rsidP="00F66DD8"/>
    <w:p w:rsidR="008F56EF" w:rsidRDefault="008F56EF" w:rsidP="00F66DD8"/>
    <w:p w:rsidR="008F56EF" w:rsidRDefault="008F56EF" w:rsidP="00F66DD8"/>
    <w:p w:rsidR="008F56EF" w:rsidRDefault="008F56EF" w:rsidP="00F66DD8"/>
    <w:p w:rsidR="008F56EF" w:rsidRDefault="008F56EF" w:rsidP="00F66DD8"/>
    <w:p w:rsidR="008F56EF" w:rsidRDefault="008F56EF" w:rsidP="00F66DD8"/>
    <w:p w:rsidR="00AD5DAB" w:rsidRDefault="00136FC4" w:rsidP="003045DC">
      <w:pPr>
        <w:pStyle w:val="Heading1"/>
        <w:rPr>
          <w:rFonts w:ascii="Calibri" w:hAnsi="Calibri"/>
          <w:sz w:val="36"/>
          <w:szCs w:val="36"/>
        </w:rPr>
      </w:pPr>
      <w:bookmarkStart w:id="56" w:name="_Appendix_E:_Data"/>
      <w:bookmarkStart w:id="57" w:name="_Toc509831841"/>
      <w:bookmarkEnd w:id="56"/>
      <w:r>
        <w:rPr>
          <w:rFonts w:ascii="Calibri" w:hAnsi="Calibri"/>
          <w:sz w:val="36"/>
          <w:szCs w:val="36"/>
        </w:rPr>
        <w:lastRenderedPageBreak/>
        <w:t>Appendix E</w:t>
      </w:r>
      <w:r w:rsidR="008A36AF">
        <w:rPr>
          <w:rFonts w:ascii="Calibri" w:hAnsi="Calibri"/>
          <w:sz w:val="36"/>
          <w:szCs w:val="36"/>
        </w:rPr>
        <w:t>: Data</w:t>
      </w:r>
      <w:r w:rsidR="00A81F07">
        <w:rPr>
          <w:rFonts w:ascii="Calibri" w:hAnsi="Calibri"/>
          <w:sz w:val="36"/>
          <w:szCs w:val="36"/>
        </w:rPr>
        <w:t xml:space="preserve"> on educator retention</w:t>
      </w:r>
      <w:bookmarkEnd w:id="57"/>
    </w:p>
    <w:p w:rsidR="008A36AF" w:rsidRPr="002C6BA7" w:rsidRDefault="002C6BA7" w:rsidP="002C6BA7">
      <w:pPr>
        <w:rPr>
          <w:rFonts w:asciiTheme="minorHAnsi" w:hAnsiTheme="minorHAnsi"/>
          <w:sz w:val="22"/>
          <w:szCs w:val="22"/>
        </w:rPr>
      </w:pPr>
      <w:r>
        <w:rPr>
          <w:rFonts w:asciiTheme="minorHAnsi" w:hAnsiTheme="minorHAnsi"/>
          <w:sz w:val="22"/>
          <w:szCs w:val="22"/>
        </w:rPr>
        <w:t xml:space="preserve">For more information on teacher retention by program area, see </w:t>
      </w:r>
      <w:hyperlink w:anchor="_Retention_in_the" w:history="1">
        <w:r>
          <w:rPr>
            <w:rStyle w:val="Hyperlink"/>
            <w:rFonts w:asciiTheme="minorHAnsi" w:hAnsiTheme="minorHAnsi"/>
            <w:sz w:val="22"/>
            <w:szCs w:val="22"/>
          </w:rPr>
          <w:t>page</w:t>
        </w:r>
        <w:r w:rsidR="00983216">
          <w:rPr>
            <w:rStyle w:val="Hyperlink"/>
            <w:rFonts w:asciiTheme="minorHAnsi" w:hAnsiTheme="minorHAnsi"/>
            <w:sz w:val="22"/>
            <w:szCs w:val="22"/>
          </w:rPr>
          <w:t xml:space="preserve"> 9</w:t>
        </w:r>
      </w:hyperlink>
      <w:r w:rsidR="00CD4487">
        <w:rPr>
          <w:rFonts w:asciiTheme="minorHAnsi" w:hAnsiTheme="minorHAnsi"/>
          <w:sz w:val="22"/>
          <w:szCs w:val="22"/>
        </w:rPr>
        <w:t>. F</w:t>
      </w:r>
      <w:r>
        <w:rPr>
          <w:rFonts w:asciiTheme="minorHAnsi" w:hAnsiTheme="minorHAnsi"/>
          <w:sz w:val="22"/>
          <w:szCs w:val="22"/>
        </w:rPr>
        <w:t xml:space="preserve">or more information on educator retention by race and ethnicity, see </w:t>
      </w:r>
      <w:hyperlink w:anchor="_Retention_of_educators" w:history="1">
        <w:r>
          <w:rPr>
            <w:rStyle w:val="Hyperlink"/>
            <w:rFonts w:asciiTheme="minorHAnsi" w:hAnsiTheme="minorHAnsi"/>
            <w:sz w:val="22"/>
            <w:szCs w:val="22"/>
          </w:rPr>
          <w:t>page 1</w:t>
        </w:r>
        <w:r w:rsidR="00983216">
          <w:rPr>
            <w:rStyle w:val="Hyperlink"/>
            <w:rFonts w:asciiTheme="minorHAnsi" w:hAnsiTheme="minorHAnsi"/>
            <w:sz w:val="22"/>
            <w:szCs w:val="22"/>
          </w:rPr>
          <w:t>0</w:t>
        </w:r>
      </w:hyperlink>
      <w:r>
        <w:rPr>
          <w:rFonts w:asciiTheme="minorHAnsi" w:hAnsiTheme="minorHAnsi"/>
          <w:sz w:val="22"/>
          <w:szCs w:val="22"/>
        </w:rPr>
        <w:t>.</w:t>
      </w:r>
    </w:p>
    <w:p w:rsidR="002C6BA7" w:rsidRDefault="002C6BA7" w:rsidP="002C6BA7"/>
    <w:tbl>
      <w:tblPr>
        <w:tblStyle w:val="TableGrid"/>
        <w:tblW w:w="9576" w:type="dxa"/>
        <w:tblInd w:w="-108" w:type="dxa"/>
        <w:tblLook w:val="04A0" w:firstRow="1" w:lastRow="0" w:firstColumn="1" w:lastColumn="0" w:noHBand="0" w:noVBand="1"/>
        <w:tblDescription w:val="Teachers retained in the profession, by program area, and principal retention by race/ethnicity"/>
      </w:tblPr>
      <w:tblGrid>
        <w:gridCol w:w="9576"/>
      </w:tblGrid>
      <w:tr w:rsidR="008A36AF" w:rsidRPr="00252F2E" w:rsidTr="008C4916">
        <w:trPr>
          <w:trHeight w:val="4382"/>
          <w:tblHeader/>
        </w:trPr>
        <w:tc>
          <w:tcPr>
            <w:tcW w:w="9576" w:type="dxa"/>
          </w:tcPr>
          <w:p w:rsidR="008A36AF" w:rsidRPr="00252F2E" w:rsidRDefault="00D514D1" w:rsidP="00B50883">
            <w:r>
              <w:rPr>
                <w:noProof/>
                <w:lang w:eastAsia="zh-CN"/>
              </w:rPr>
              <w:drawing>
                <wp:anchor distT="0" distB="0" distL="114300" distR="114300" simplePos="0" relativeHeight="251653120" behindDoc="0" locked="0" layoutInCell="1" allowOverlap="1" wp14:anchorId="20E1133E" wp14:editId="75ABF63B">
                  <wp:simplePos x="0" y="0"/>
                  <wp:positionH relativeFrom="column">
                    <wp:posOffset>302895</wp:posOffset>
                  </wp:positionH>
                  <wp:positionV relativeFrom="paragraph">
                    <wp:posOffset>74295</wp:posOffset>
                  </wp:positionV>
                  <wp:extent cx="5561965" cy="2346325"/>
                  <wp:effectExtent l="19050" t="0" r="635" b="0"/>
                  <wp:wrapNone/>
                  <wp:docPr id="48" name="Picture 48" descr="Graph 13: Teachers retained in the profession, by program area&#10;ESL teachers retained in school: 76.5%&#10;ESL teachers retained in district: 82.8%&#10;ESL teachers retained in state: 87.9%&#10;Special education teachers retained in school: 80.9%&#10;Special education teachers retained in districts: 84.3%&#10;Special education teachers retained in state: 88.6%&#10;General education teachers retained in school: 85.8%&#10;General education teachers retained in districts: 88.0%&#10;General education teachers retained in state: 9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srcRect/>
                          <a:stretch>
                            <a:fillRect/>
                          </a:stretch>
                        </pic:blipFill>
                        <pic:spPr bwMode="auto">
                          <a:xfrm>
                            <a:off x="0" y="0"/>
                            <a:ext cx="5561965" cy="2346325"/>
                          </a:xfrm>
                          <a:prstGeom prst="rect">
                            <a:avLst/>
                          </a:prstGeom>
                          <a:noFill/>
                          <a:ln w="9525">
                            <a:noFill/>
                            <a:miter lim="800000"/>
                            <a:headEnd/>
                            <a:tailEnd/>
                          </a:ln>
                        </pic:spPr>
                      </pic:pic>
                    </a:graphicData>
                  </a:graphic>
                </wp:anchor>
              </w:drawing>
            </w:r>
            <w:r w:rsidR="005F100A">
              <w:rPr>
                <w:noProof/>
                <w:lang w:eastAsia="zh-CN"/>
              </w:rPr>
              <mc:AlternateContent>
                <mc:Choice Requires="wps">
                  <w:drawing>
                    <wp:anchor distT="0" distB="0" distL="114300" distR="114300" simplePos="0" relativeHeight="251665408" behindDoc="0" locked="0" layoutInCell="1" allowOverlap="1" wp14:anchorId="611224ED" wp14:editId="09CEB09B">
                      <wp:simplePos x="0" y="0"/>
                      <wp:positionH relativeFrom="column">
                        <wp:posOffset>52705</wp:posOffset>
                      </wp:positionH>
                      <wp:positionV relativeFrom="paragraph">
                        <wp:posOffset>2443480</wp:posOffset>
                      </wp:positionV>
                      <wp:extent cx="5502275" cy="25971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2275" cy="259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3D26" w:rsidRPr="00996470" w:rsidRDefault="002E3D26" w:rsidP="00203FC0">
                                  <w:pPr>
                                    <w:jc w:val="center"/>
                                    <w:rPr>
                                      <w:rFonts w:asciiTheme="minorHAnsi" w:hAnsiTheme="minorHAnsi"/>
                                      <w:i/>
                                      <w:sz w:val="20"/>
                                      <w:szCs w:val="20"/>
                                    </w:rPr>
                                  </w:pPr>
                                  <w:r w:rsidRPr="00996470">
                                    <w:rPr>
                                      <w:rFonts w:asciiTheme="minorHAnsi" w:hAnsiTheme="minorHAnsi"/>
                                      <w:i/>
                                      <w:sz w:val="20"/>
                                      <w:szCs w:val="20"/>
                                    </w:rPr>
                                    <w:t>N size =</w:t>
                                  </w:r>
                                  <w:r>
                                    <w:rPr>
                                      <w:rFonts w:asciiTheme="minorHAnsi" w:hAnsiTheme="minorHAnsi"/>
                                      <w:i/>
                                      <w:sz w:val="20"/>
                                      <w:szCs w:val="20"/>
                                    </w:rPr>
                                    <w:t xml:space="preserve"> 70,900 total teachers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1224ED" id="Text Box 26" o:spid="_x0000_s1037" type="#_x0000_t202" style="position:absolute;margin-left:4.15pt;margin-top:192.4pt;width:433.25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POhgIAABg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" stroked="f">
                      <v:textbox>
                        <w:txbxContent>
                          <w:p w:rsidR="002E3D26" w:rsidRPr="00996470" w:rsidRDefault="002E3D26" w:rsidP="00203FC0">
                            <w:pPr>
                              <w:jc w:val="center"/>
                              <w:rPr>
                                <w:rFonts w:asciiTheme="minorHAnsi" w:hAnsiTheme="minorHAnsi"/>
                                <w:i/>
                                <w:sz w:val="20"/>
                                <w:szCs w:val="20"/>
                              </w:rPr>
                            </w:pPr>
                            <w:r w:rsidRPr="00996470">
                              <w:rPr>
                                <w:rFonts w:asciiTheme="minorHAnsi" w:hAnsiTheme="minorHAnsi"/>
                                <w:i/>
                                <w:sz w:val="20"/>
                                <w:szCs w:val="20"/>
                              </w:rPr>
                              <w:t>N size =</w:t>
                            </w:r>
                            <w:r>
                              <w:rPr>
                                <w:rFonts w:asciiTheme="minorHAnsi" w:hAnsiTheme="minorHAnsi"/>
                                <w:i/>
                                <w:sz w:val="20"/>
                                <w:szCs w:val="20"/>
                              </w:rPr>
                              <w:t xml:space="preserve"> 70,900 total teachers</w:t>
                            </w:r>
                          </w:p>
                        </w:txbxContent>
                      </v:textbox>
                    </v:shape>
                  </w:pict>
                </mc:Fallback>
              </mc:AlternateContent>
            </w:r>
            <w:r>
              <w:t xml:space="preserve"> </w:t>
            </w:r>
          </w:p>
        </w:tc>
      </w:tr>
      <w:tr w:rsidR="001719A6" w:rsidRPr="00252F2E" w:rsidTr="008C4916">
        <w:trPr>
          <w:trHeight w:val="6218"/>
          <w:tblHeader/>
        </w:trPr>
        <w:tc>
          <w:tcPr>
            <w:tcW w:w="9576" w:type="dxa"/>
          </w:tcPr>
          <w:p w:rsidR="001719A6" w:rsidRDefault="001719A6" w:rsidP="00B50883">
            <w:pPr>
              <w:rPr>
                <w:noProof/>
              </w:rPr>
            </w:pPr>
            <w:r w:rsidRPr="001719A6">
              <w:rPr>
                <w:noProof/>
                <w:lang w:eastAsia="zh-CN"/>
              </w:rPr>
              <w:drawing>
                <wp:anchor distT="0" distB="0" distL="114300" distR="114300" simplePos="0" relativeHeight="251656192" behindDoc="0" locked="0" layoutInCell="1" allowOverlap="1" wp14:anchorId="101F7CBB" wp14:editId="2300C33D">
                  <wp:simplePos x="0" y="0"/>
                  <wp:positionH relativeFrom="column">
                    <wp:posOffset>510324</wp:posOffset>
                  </wp:positionH>
                  <wp:positionV relativeFrom="paragraph">
                    <wp:posOffset>117607</wp:posOffset>
                  </wp:positionV>
                  <wp:extent cx="5210834" cy="3347049"/>
                  <wp:effectExtent l="19050" t="0" r="8866" b="0"/>
                  <wp:wrapNone/>
                  <wp:docPr id="229" name="Picture 51" descr="Graph 14: Principal retention by race/ethnicity &#10;All principals retained in school: 83.2% &#10;All principals retained in district: 84.8% &#10;All principals retained in state: 87.5% &#10;White principals retained in school: 83.2% &#10;White principals hers retained in districts: 84.9% &#10;White principals retained in state: 87.5% &#10;African American/black principals retained in school: 78.7% &#10;African American/black principals retained in districts: 78.3 &#10;African American/black principals retained in state: 82.6% &#10;Hispanic principals retained in school: 85.3% &#10;Hispanic principals retained in districts: 85.3% &#10;Hispanic principals retained in state: 88.2% &#10;Asian principals retained in school: 100.0% &#10;Asian principals retained in districts: 100.0% &#10;Asian principals retained in state: 100.0% &#10;Multi-Race, Non-Hispanic principals retained in school: 66.7% &#10;Multi-Race, Non-Hispanic principals retained in districts: 66.7% &#10;Multi-Race, Non-Hispanic principals retained in state: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srcRect/>
                          <a:stretch>
                            <a:fillRect/>
                          </a:stretch>
                        </pic:blipFill>
                        <pic:spPr bwMode="auto">
                          <a:xfrm>
                            <a:off x="0" y="0"/>
                            <a:ext cx="5210834" cy="3347049"/>
                          </a:xfrm>
                          <a:prstGeom prst="rect">
                            <a:avLst/>
                          </a:prstGeom>
                          <a:noFill/>
                          <a:ln w="9525">
                            <a:noFill/>
                            <a:miter lim="800000"/>
                            <a:headEnd/>
                            <a:tailEnd/>
                          </a:ln>
                        </pic:spPr>
                      </pic:pic>
                    </a:graphicData>
                  </a:graphic>
                </wp:anchor>
              </w:drawing>
            </w:r>
          </w:p>
        </w:tc>
      </w:tr>
    </w:tbl>
    <w:p w:rsidR="008A36AF" w:rsidRDefault="008A36AF" w:rsidP="00371253">
      <w:pPr>
        <w:jc w:val="center"/>
        <w:rPr>
          <w:rFonts w:asciiTheme="minorHAnsi" w:hAnsiTheme="minorHAnsi"/>
          <w:b/>
          <w:sz w:val="30"/>
          <w:szCs w:val="30"/>
        </w:rPr>
      </w:pPr>
    </w:p>
    <w:p w:rsidR="004D44F9" w:rsidRDefault="004D44F9" w:rsidP="001B59D5">
      <w:pPr>
        <w:rPr>
          <w:rFonts w:asciiTheme="minorHAnsi" w:hAnsiTheme="minorHAnsi"/>
          <w:b/>
          <w:sz w:val="30"/>
          <w:szCs w:val="30"/>
        </w:rPr>
      </w:pPr>
    </w:p>
    <w:p w:rsidR="005D23EC" w:rsidRDefault="005D23EC" w:rsidP="001C5EB1"/>
    <w:p w:rsidR="0043202D" w:rsidRPr="00BE258E" w:rsidRDefault="00BE258E">
      <w:pPr>
        <w:pStyle w:val="Heading1"/>
        <w:rPr>
          <w:rFonts w:ascii="Calibri" w:hAnsi="Calibri"/>
          <w:sz w:val="36"/>
          <w:szCs w:val="36"/>
        </w:rPr>
      </w:pPr>
      <w:bookmarkStart w:id="58" w:name="_Toc509831842"/>
      <w:r>
        <w:rPr>
          <w:rFonts w:ascii="Calibri" w:hAnsi="Calibri"/>
          <w:sz w:val="36"/>
          <w:szCs w:val="36"/>
        </w:rPr>
        <w:lastRenderedPageBreak/>
        <w:t>Endnotes</w:t>
      </w:r>
      <w:bookmarkEnd w:id="58"/>
    </w:p>
    <w:sectPr w:rsidR="0043202D" w:rsidRPr="00BE258E" w:rsidSect="00B92444">
      <w:footnotePr>
        <w:numFmt w:val="lowerRoman"/>
      </w:footnotePr>
      <w:endnotePr>
        <w:numFmt w:val="decimal"/>
      </w:endnotePr>
      <w:type w:val="continuous"/>
      <w:pgSz w:w="12240" w:h="15840" w:code="1"/>
      <w:pgMar w:top="1440" w:right="1440" w:bottom="1440" w:left="1440" w:header="720" w:footer="720" w:gutter="0"/>
      <w:cols w:space="1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C8" w:rsidRDefault="00ED23C8" w:rsidP="008C4F5C">
      <w:r>
        <w:separator/>
      </w:r>
    </w:p>
  </w:endnote>
  <w:endnote w:type="continuationSeparator" w:id="0">
    <w:p w:rsidR="00ED23C8" w:rsidRDefault="00ED23C8" w:rsidP="008C4F5C">
      <w:r>
        <w:continuationSeparator/>
      </w:r>
    </w:p>
  </w:endnote>
  <w:endnote w:id="1">
    <w:p w:rsidR="002E3D26" w:rsidRPr="00B60B9D" w:rsidRDefault="002E3D26">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Cowan, J., </w:t>
      </w:r>
      <w:proofErr w:type="spellStart"/>
      <w:r w:rsidRPr="00B60B9D">
        <w:rPr>
          <w:rFonts w:asciiTheme="minorHAnsi" w:hAnsiTheme="minorHAnsi"/>
        </w:rPr>
        <w:t>Goldhaber</w:t>
      </w:r>
      <w:proofErr w:type="spellEnd"/>
      <w:r w:rsidRPr="00B60B9D">
        <w:rPr>
          <w:rFonts w:asciiTheme="minorHAnsi" w:hAnsiTheme="minorHAnsi"/>
        </w:rPr>
        <w:t xml:space="preserve">, D., &amp; Theobald, R. (2017). DESE Policy Brief: Teacher Equity Gaps in Massachusetts. </w:t>
      </w:r>
      <w:hyperlink r:id="rId1" w:history="1">
        <w:r w:rsidRPr="00B60B9D">
          <w:rPr>
            <w:rStyle w:val="Hyperlink"/>
            <w:rFonts w:asciiTheme="minorHAnsi" w:hAnsiTheme="minorHAnsi"/>
          </w:rPr>
          <w:t>http://www.doe.mass.edu/research/reports/2017/10teacher</w:t>
        </w:r>
        <w:r w:rsidRPr="00B60B9D">
          <w:rPr>
            <w:rStyle w:val="Hyperlink"/>
            <w:rFonts w:asciiTheme="minorHAnsi" w:eastAsia="Helvetica" w:hAnsiTheme="minorHAnsi" w:cs="Helvetica"/>
          </w:rPr>
          <w:t>–</w:t>
        </w:r>
        <w:r w:rsidRPr="00B60B9D">
          <w:rPr>
            <w:rStyle w:val="Hyperlink"/>
            <w:rFonts w:asciiTheme="minorHAnsi" w:hAnsiTheme="minorHAnsi"/>
          </w:rPr>
          <w:t>equity.pdf</w:t>
        </w:r>
      </w:hyperlink>
      <w:r w:rsidRPr="00B60B9D">
        <w:rPr>
          <w:rFonts w:asciiTheme="minorHAnsi" w:hAnsiTheme="minorHAnsi"/>
        </w:rPr>
        <w:t>.</w:t>
      </w:r>
    </w:p>
  </w:endnote>
  <w:endnote w:id="2">
    <w:p w:rsidR="002E3D26" w:rsidRPr="00C31890" w:rsidRDefault="002E3D26" w:rsidP="007C32FE">
      <w:pPr>
        <w:pStyle w:val="EndnoteText"/>
        <w:rPr>
          <w:rFonts w:asciiTheme="minorHAnsi" w:hAnsiTheme="minorHAnsi"/>
        </w:rPr>
      </w:pPr>
      <w:r w:rsidRPr="00B60B9D">
        <w:rPr>
          <w:rStyle w:val="EndnoteReference"/>
          <w:rFonts w:asciiTheme="minorHAnsi" w:hAnsiTheme="minorHAnsi"/>
        </w:rPr>
        <w:endnoteRef/>
      </w:r>
      <w:r w:rsidRPr="00C31890">
        <w:rPr>
          <w:rFonts w:asciiTheme="minorHAnsi" w:hAnsiTheme="minorHAnsi"/>
        </w:rPr>
        <w:t xml:space="preserve"> </w:t>
      </w:r>
      <w:r w:rsidRPr="00B60B9D">
        <w:rPr>
          <w:rFonts w:asciiTheme="minorHAnsi" w:hAnsiTheme="minorHAnsi"/>
        </w:rPr>
        <w:t xml:space="preserve">Cowan, </w:t>
      </w:r>
      <w:proofErr w:type="spellStart"/>
      <w:r w:rsidRPr="00B60B9D">
        <w:rPr>
          <w:rFonts w:asciiTheme="minorHAnsi" w:hAnsiTheme="minorHAnsi"/>
        </w:rPr>
        <w:t>Goldhaber</w:t>
      </w:r>
      <w:proofErr w:type="spellEnd"/>
      <w:r w:rsidRPr="00B60B9D">
        <w:rPr>
          <w:rFonts w:asciiTheme="minorHAnsi" w:hAnsiTheme="minorHAnsi"/>
        </w:rPr>
        <w:t xml:space="preserve"> &amp; Theobald. (2017).</w:t>
      </w:r>
    </w:p>
  </w:endnote>
  <w:endnote w:id="3">
    <w:p w:rsidR="002E3D26" w:rsidRPr="00B60B9D" w:rsidRDefault="002E3D26" w:rsidP="00E36914">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Ibid.</w:t>
      </w:r>
    </w:p>
  </w:endnote>
  <w:endnote w:id="4">
    <w:p w:rsidR="002E3D26" w:rsidRPr="00B60B9D" w:rsidRDefault="002E3D26" w:rsidP="00555474">
      <w:pPr>
        <w:pStyle w:val="EndnoteText"/>
        <w:rPr>
          <w:rFonts w:asciiTheme="minorHAnsi" w:hAnsiTheme="minorHAnsi"/>
          <w:color w:val="000000" w:themeColor="text1"/>
        </w:rPr>
      </w:pPr>
      <w:r w:rsidRPr="00B60B9D">
        <w:rPr>
          <w:rStyle w:val="Hyperlink"/>
          <w:rFonts w:asciiTheme="minorHAnsi" w:hAnsiTheme="minorHAnsi"/>
          <w:color w:val="000000" w:themeColor="text1"/>
          <w:u w:val="none"/>
          <w:vertAlign w:val="superscript"/>
        </w:rPr>
        <w:t>3</w:t>
      </w:r>
      <w:r w:rsidRPr="00B60B9D">
        <w:rPr>
          <w:rStyle w:val="Hyperlink"/>
          <w:rFonts w:asciiTheme="minorHAnsi" w:hAnsiTheme="minorHAnsi"/>
          <w:color w:val="000000" w:themeColor="text1"/>
          <w:u w:val="none"/>
        </w:rPr>
        <w:t xml:space="preserve"> Rice, J.K. (2010). The impact of teacher experience: Examining the evidence and policy implications. National Center for the Analysis of Longitudinal Data in Education Research (CALDER), Urban Institute. Working Paper 12155.</w:t>
      </w:r>
    </w:p>
  </w:endnote>
  <w:endnote w:id="5">
    <w:p w:rsidR="002E3D26" w:rsidRPr="00B60B9D" w:rsidRDefault="002E3D26">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Cowan, </w:t>
      </w:r>
      <w:proofErr w:type="spellStart"/>
      <w:r w:rsidRPr="00B60B9D">
        <w:rPr>
          <w:rFonts w:asciiTheme="minorHAnsi" w:hAnsiTheme="minorHAnsi"/>
        </w:rPr>
        <w:t>Goldhaber</w:t>
      </w:r>
      <w:proofErr w:type="spellEnd"/>
      <w:r w:rsidRPr="00B60B9D">
        <w:rPr>
          <w:rFonts w:asciiTheme="minorHAnsi" w:hAnsiTheme="minorHAnsi"/>
        </w:rPr>
        <w:t xml:space="preserve"> &amp; Theobald. (2017).</w:t>
      </w:r>
    </w:p>
  </w:endnote>
  <w:endnote w:id="6">
    <w:p w:rsidR="002E3D26" w:rsidRPr="00C31890" w:rsidRDefault="002E3D26" w:rsidP="00972C16">
      <w:pPr>
        <w:pStyle w:val="EndnoteText"/>
        <w:tabs>
          <w:tab w:val="left" w:pos="540"/>
        </w:tabs>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w:t>
      </w:r>
      <w:r>
        <w:rPr>
          <w:rFonts w:asciiTheme="minorHAnsi" w:hAnsiTheme="minorHAnsi"/>
        </w:rPr>
        <w:t>Massachusetts Department of Elementary and Secondary Education (</w:t>
      </w:r>
      <w:r w:rsidRPr="00B60B9D">
        <w:rPr>
          <w:rFonts w:asciiTheme="minorHAnsi" w:hAnsiTheme="minorHAnsi"/>
        </w:rPr>
        <w:t>MA DESE</w:t>
      </w:r>
      <w:r>
        <w:rPr>
          <w:rFonts w:asciiTheme="minorHAnsi" w:hAnsiTheme="minorHAnsi"/>
        </w:rPr>
        <w:t>)</w:t>
      </w:r>
      <w:r w:rsidRPr="00B60B9D">
        <w:rPr>
          <w:rFonts w:asciiTheme="minorHAnsi" w:hAnsiTheme="minorHAnsi"/>
        </w:rPr>
        <w:t>. (2013). Status of the Massachusetts Educator Workforce: Focus on First</w:t>
      </w:r>
      <w:r w:rsidRPr="00B60B9D">
        <w:rPr>
          <w:rFonts w:asciiTheme="minorHAnsi" w:eastAsia="Helvetica" w:hAnsiTheme="minorHAnsi" w:cs="Helvetica"/>
        </w:rPr>
        <w:t>-</w:t>
      </w:r>
      <w:r w:rsidRPr="00B60B9D">
        <w:rPr>
          <w:rFonts w:asciiTheme="minorHAnsi" w:hAnsiTheme="minorHAnsi"/>
        </w:rPr>
        <w:t>Year Teachers</w:t>
      </w:r>
      <w:r w:rsidRPr="00B60B9D">
        <w:rPr>
          <w:rFonts w:asciiTheme="minorHAnsi" w:hAnsiTheme="minorHAnsi"/>
          <w:i/>
        </w:rPr>
        <w:t xml:space="preserve">. </w:t>
      </w:r>
      <w:hyperlink r:id="rId2" w:history="1">
        <w:r w:rsidRPr="00C31890">
          <w:rPr>
            <w:rStyle w:val="Hyperlink"/>
            <w:rFonts w:asciiTheme="minorHAnsi" w:hAnsiTheme="minorHAnsi"/>
          </w:rPr>
          <w:t>http://www.doe.mass.edu/research/reports/2013-12EducatorReport.pdf</w:t>
        </w:r>
      </w:hyperlink>
      <w:r w:rsidRPr="00C31890">
        <w:rPr>
          <w:rFonts w:asciiTheme="minorHAnsi" w:hAnsiTheme="minorHAnsi"/>
        </w:rPr>
        <w:t xml:space="preserve">. </w:t>
      </w:r>
    </w:p>
  </w:endnote>
  <w:endnote w:id="7">
    <w:p w:rsidR="002E3D26" w:rsidRPr="00B60B9D" w:rsidRDefault="002E3D26" w:rsidP="0072314E">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w:t>
      </w:r>
      <w:proofErr w:type="spellStart"/>
      <w:r w:rsidRPr="00B60B9D">
        <w:rPr>
          <w:rFonts w:asciiTheme="minorHAnsi" w:hAnsiTheme="minorHAnsi"/>
        </w:rPr>
        <w:t>Raue</w:t>
      </w:r>
      <w:proofErr w:type="spellEnd"/>
      <w:r w:rsidRPr="00B60B9D">
        <w:rPr>
          <w:rFonts w:asciiTheme="minorHAnsi" w:hAnsiTheme="minorHAnsi"/>
        </w:rPr>
        <w:t>, K., &amp; Gray, L. (2015). Career paths of beginning public school teachers: Results from the first through fifth waves of the 2017</w:t>
      </w:r>
      <w:r w:rsidRPr="00B60B9D">
        <w:rPr>
          <w:rFonts w:asciiTheme="minorHAnsi" w:eastAsia="Helvetica" w:hAnsiTheme="minorHAnsi" w:cs="Helvetica"/>
        </w:rPr>
        <w:t>–</w:t>
      </w:r>
      <w:r w:rsidRPr="00B60B9D">
        <w:rPr>
          <w:rFonts w:asciiTheme="minorHAnsi" w:hAnsiTheme="minorHAnsi"/>
        </w:rPr>
        <w:t>18 Beginning Teacher Longitudinal Study (NCES 2015</w:t>
      </w:r>
      <w:r w:rsidRPr="00B60B9D">
        <w:rPr>
          <w:rFonts w:asciiTheme="minorHAnsi" w:eastAsia="Helvetica" w:hAnsiTheme="minorHAnsi" w:cs="Helvetica"/>
        </w:rPr>
        <w:t>-</w:t>
      </w:r>
      <w:r w:rsidRPr="00B60B9D">
        <w:rPr>
          <w:rFonts w:asciiTheme="minorHAnsi" w:hAnsiTheme="minorHAnsi"/>
        </w:rPr>
        <w:t xml:space="preserve">196). </w:t>
      </w:r>
    </w:p>
  </w:endnote>
  <w:endnote w:id="8">
    <w:p w:rsidR="002E3D26" w:rsidRPr="00B60B9D" w:rsidRDefault="002E3D26" w:rsidP="0072314E">
      <w:pPr>
        <w:pStyle w:val="EndnoteText"/>
        <w:contextualSpacing/>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Gary, B., Crowe, D. &amp; Schaefer, B. (2007). The Cost of Teacher Turnover in Five School Districts: A Pilot Study. National Commission on Teaching &amp; America’s Future.</w:t>
      </w:r>
    </w:p>
  </w:endnote>
  <w:endnote w:id="9">
    <w:p w:rsidR="002E3D26" w:rsidRPr="00B60B9D" w:rsidRDefault="002E3D26" w:rsidP="00D4487E">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w:t>
      </w:r>
      <w:proofErr w:type="gramStart"/>
      <w:r w:rsidRPr="00B60B9D">
        <w:rPr>
          <w:rFonts w:asciiTheme="minorHAnsi" w:hAnsiTheme="minorHAnsi"/>
        </w:rPr>
        <w:t>Ibid.;</w:t>
      </w:r>
      <w:proofErr w:type="gramEnd"/>
      <w:r w:rsidRPr="00B60B9D">
        <w:rPr>
          <w:rFonts w:asciiTheme="minorHAnsi" w:hAnsiTheme="minorHAnsi"/>
        </w:rPr>
        <w:t xml:space="preserve"> Ingersoll, R. (2014). On the Path to Equity: Improving the Effectiveness of Beginning Teachers. Alliance for Excellent Education.</w:t>
      </w:r>
    </w:p>
  </w:endnote>
  <w:endnote w:id="10">
    <w:p w:rsidR="002E3D26" w:rsidRPr="00B60B9D" w:rsidRDefault="002E3D26" w:rsidP="00253A5B">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Gary, Crowe &amp; Schaefer (2007).</w:t>
      </w:r>
    </w:p>
  </w:endnote>
  <w:endnote w:id="11">
    <w:p w:rsidR="002E3D26" w:rsidRPr="00B60B9D" w:rsidRDefault="002E3D26" w:rsidP="00253A5B">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w:t>
      </w:r>
      <w:proofErr w:type="spellStart"/>
      <w:r w:rsidRPr="00B60B9D">
        <w:rPr>
          <w:rFonts w:asciiTheme="minorHAnsi" w:hAnsiTheme="minorHAnsi"/>
        </w:rPr>
        <w:t>Beteille</w:t>
      </w:r>
      <w:proofErr w:type="spellEnd"/>
      <w:r w:rsidRPr="00B60B9D">
        <w:rPr>
          <w:rFonts w:asciiTheme="minorHAnsi" w:hAnsiTheme="minorHAnsi"/>
        </w:rPr>
        <w:t xml:space="preserve">, T., </w:t>
      </w:r>
      <w:proofErr w:type="spellStart"/>
      <w:r w:rsidRPr="00B60B9D">
        <w:rPr>
          <w:rFonts w:asciiTheme="minorHAnsi" w:hAnsiTheme="minorHAnsi"/>
        </w:rPr>
        <w:t>Kalogrides</w:t>
      </w:r>
      <w:proofErr w:type="spellEnd"/>
      <w:r w:rsidRPr="00B60B9D">
        <w:rPr>
          <w:rFonts w:asciiTheme="minorHAnsi" w:hAnsiTheme="minorHAnsi"/>
        </w:rPr>
        <w:t>, D., and Loeb, S. (2011). Stepping Stones: Principal career paths and school outcomes.</w:t>
      </w:r>
      <w:r w:rsidRPr="00B60B9D">
        <w:rPr>
          <w:rFonts w:asciiTheme="minorHAnsi" w:hAnsiTheme="minorHAnsi"/>
          <w:i/>
        </w:rPr>
        <w:t xml:space="preserve"> </w:t>
      </w:r>
      <w:r w:rsidRPr="00B60B9D">
        <w:rPr>
          <w:rFonts w:asciiTheme="minorHAnsi" w:hAnsiTheme="minorHAnsi"/>
        </w:rPr>
        <w:t xml:space="preserve">National Bureau of Economic Research. Working Paper 17243. </w:t>
      </w:r>
      <w:hyperlink r:id="rId3" w:history="1">
        <w:r w:rsidRPr="00B60B9D">
          <w:rPr>
            <w:rStyle w:val="Hyperlink"/>
            <w:rFonts w:asciiTheme="minorHAnsi" w:hAnsiTheme="minorHAnsi"/>
          </w:rPr>
          <w:t>http://www.nber.org/papers/w17243.pdf</w:t>
        </w:r>
      </w:hyperlink>
      <w:r w:rsidRPr="00B60B9D">
        <w:rPr>
          <w:rStyle w:val="Hyperlink"/>
          <w:rFonts w:asciiTheme="minorHAnsi" w:hAnsiTheme="minorHAnsi"/>
        </w:rPr>
        <w:t>.</w:t>
      </w:r>
      <w:r w:rsidRPr="00B60B9D">
        <w:rPr>
          <w:rFonts w:asciiTheme="minorHAnsi" w:hAnsiTheme="minorHAnsi"/>
        </w:rPr>
        <w:t xml:space="preserve">  </w:t>
      </w:r>
    </w:p>
  </w:endnote>
  <w:endnote w:id="12">
    <w:p w:rsidR="002E3D26" w:rsidRPr="00B60B9D" w:rsidRDefault="002E3D26">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Levin, J., </w:t>
      </w:r>
      <w:proofErr w:type="gramStart"/>
      <w:r w:rsidRPr="00B60B9D">
        <w:rPr>
          <w:rFonts w:asciiTheme="minorHAnsi" w:hAnsiTheme="minorHAnsi"/>
        </w:rPr>
        <w:t>et</w:t>
      </w:r>
      <w:proofErr w:type="gramEnd"/>
      <w:r w:rsidRPr="00B60B9D">
        <w:rPr>
          <w:rFonts w:asciiTheme="minorHAnsi" w:hAnsiTheme="minorHAnsi"/>
        </w:rPr>
        <w:t xml:space="preserve">. al. (2015). Massachusetts Study of Teacher Supply and Demand: Trends and Projections. American Institutes for Research. </w:t>
      </w:r>
      <w:hyperlink r:id="rId4" w:history="1">
        <w:r w:rsidRPr="00B60B9D">
          <w:rPr>
            <w:rStyle w:val="Hyperlink"/>
            <w:rFonts w:asciiTheme="minorHAnsi" w:hAnsiTheme="minorHAnsi"/>
          </w:rPr>
          <w:t>http://www.air.org/sites/default/files/downloads/report/Massachusetts-Study-of-Teacher-Supply-and-Demand-December-2015_rev.pdf</w:t>
        </w:r>
      </w:hyperlink>
      <w:r w:rsidRPr="00B60B9D">
        <w:rPr>
          <w:rStyle w:val="Hyperlink"/>
          <w:rFonts w:asciiTheme="minorHAnsi" w:hAnsiTheme="minorHAnsi"/>
        </w:rPr>
        <w:t>.</w:t>
      </w:r>
    </w:p>
  </w:endnote>
  <w:endnote w:id="13">
    <w:p w:rsidR="002E3D26" w:rsidRPr="00B60B9D" w:rsidRDefault="002E3D26" w:rsidP="00253A5B">
      <w:pPr>
        <w:contextualSpacing/>
        <w:rPr>
          <w:rFonts w:asciiTheme="minorHAnsi" w:hAnsiTheme="minorHAnsi"/>
          <w:b/>
          <w:sz w:val="20"/>
          <w:szCs w:val="20"/>
        </w:rPr>
      </w:pPr>
      <w:r w:rsidRPr="00B60B9D">
        <w:rPr>
          <w:rStyle w:val="EndnoteReference"/>
          <w:rFonts w:asciiTheme="minorHAnsi" w:hAnsiTheme="minorHAnsi"/>
          <w:sz w:val="20"/>
          <w:szCs w:val="20"/>
        </w:rPr>
        <w:endnoteRef/>
      </w:r>
      <w:r w:rsidRPr="00B60B9D">
        <w:rPr>
          <w:rFonts w:asciiTheme="minorHAnsi" w:hAnsiTheme="minorHAnsi"/>
          <w:sz w:val="20"/>
          <w:szCs w:val="20"/>
        </w:rPr>
        <w:t xml:space="preserve"> Ibid.</w:t>
      </w:r>
    </w:p>
  </w:endnote>
  <w:endnote w:id="14">
    <w:p w:rsidR="002E3D26" w:rsidRPr="00B60B9D" w:rsidRDefault="002E3D26" w:rsidP="00216738">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Edwin Analytics. MA Public Employment Summary (EP702).</w:t>
      </w:r>
    </w:p>
  </w:endnote>
  <w:endnote w:id="15">
    <w:p w:rsidR="002E3D26" w:rsidRPr="00B60B9D" w:rsidRDefault="002E3D26" w:rsidP="00D5649E">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Levin, J., </w:t>
      </w:r>
      <w:proofErr w:type="gramStart"/>
      <w:r w:rsidRPr="00B60B9D">
        <w:rPr>
          <w:rFonts w:asciiTheme="minorHAnsi" w:hAnsiTheme="minorHAnsi"/>
        </w:rPr>
        <w:t>et</w:t>
      </w:r>
      <w:proofErr w:type="gramEnd"/>
      <w:r w:rsidRPr="00B60B9D">
        <w:rPr>
          <w:rFonts w:asciiTheme="minorHAnsi" w:hAnsiTheme="minorHAnsi"/>
        </w:rPr>
        <w:t xml:space="preserve">. al. (2015). Massachusetts Study of Teacher Supply and Demand: Trends and Projections. American Institutes for Research. </w:t>
      </w:r>
      <w:hyperlink r:id="rId5" w:history="1">
        <w:r w:rsidRPr="00B60B9D">
          <w:rPr>
            <w:rStyle w:val="Hyperlink"/>
            <w:rFonts w:asciiTheme="minorHAnsi" w:hAnsiTheme="minorHAnsi"/>
          </w:rPr>
          <w:t>http://www.air.org/sites/default/files/downloads/report/Massachusetts-Study-of-Teacher-Supply-and-Demand-December-2015_rev.pdf</w:t>
        </w:r>
      </w:hyperlink>
      <w:r w:rsidRPr="00B60B9D">
        <w:rPr>
          <w:rStyle w:val="Hyperlink"/>
          <w:rFonts w:asciiTheme="minorHAnsi" w:hAnsiTheme="minorHAnsi"/>
        </w:rPr>
        <w:t>.</w:t>
      </w:r>
    </w:p>
  </w:endnote>
  <w:endnote w:id="16">
    <w:p w:rsidR="002E3D26" w:rsidRPr="00B60B9D" w:rsidRDefault="002E3D26" w:rsidP="00253A5B">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Villegas, A.M. and Irvine, J.J. (2010). Diversifying the Teaching Force: An Examination of Major Arguments. Urban Review, 42: 175</w:t>
      </w:r>
      <w:r w:rsidRPr="00B60B9D">
        <w:rPr>
          <w:rFonts w:asciiTheme="minorHAnsi" w:eastAsia="Helvetica" w:hAnsiTheme="minorHAnsi" w:cs="Helvetica"/>
        </w:rPr>
        <w:t>–</w:t>
      </w:r>
      <w:proofErr w:type="gramStart"/>
      <w:r w:rsidRPr="00B60B9D">
        <w:rPr>
          <w:rFonts w:asciiTheme="minorHAnsi" w:hAnsiTheme="minorHAnsi"/>
        </w:rPr>
        <w:t>192.;</w:t>
      </w:r>
      <w:proofErr w:type="gramEnd"/>
      <w:r w:rsidRPr="00B60B9D">
        <w:rPr>
          <w:rFonts w:asciiTheme="minorHAnsi" w:hAnsiTheme="minorHAnsi"/>
        </w:rPr>
        <w:t xml:space="preserve"> Holt, S.B. and </w:t>
      </w:r>
      <w:proofErr w:type="spellStart"/>
      <w:r w:rsidRPr="00B60B9D">
        <w:rPr>
          <w:rFonts w:asciiTheme="minorHAnsi" w:hAnsiTheme="minorHAnsi"/>
        </w:rPr>
        <w:t>Gershenson</w:t>
      </w:r>
      <w:proofErr w:type="spellEnd"/>
      <w:r w:rsidRPr="00B60B9D">
        <w:rPr>
          <w:rFonts w:asciiTheme="minorHAnsi" w:hAnsiTheme="minorHAnsi"/>
        </w:rPr>
        <w:t>, S. (2015). The Impact of Teacher Demographic Representation on Student Attendance and Suspensions. IZA Discussion Paper No. 9554.</w:t>
      </w:r>
    </w:p>
  </w:endnote>
  <w:endnote w:id="17">
    <w:p w:rsidR="002E3D26" w:rsidRPr="00B60B9D" w:rsidRDefault="002E3D26" w:rsidP="00253A5B">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w:t>
      </w:r>
      <w:proofErr w:type="spellStart"/>
      <w:r w:rsidRPr="00B60B9D">
        <w:rPr>
          <w:rFonts w:asciiTheme="minorHAnsi" w:hAnsiTheme="minorHAnsi"/>
        </w:rPr>
        <w:t>Hanushek</w:t>
      </w:r>
      <w:proofErr w:type="spellEnd"/>
      <w:r w:rsidRPr="00B60B9D">
        <w:rPr>
          <w:rFonts w:asciiTheme="minorHAnsi" w:hAnsiTheme="minorHAnsi"/>
        </w:rPr>
        <w:t xml:space="preserve">, E.A., et al. (2005). The Market for Teacher Quality. National Bureau of Economic Research Working Paper No. </w:t>
      </w:r>
      <w:proofErr w:type="gramStart"/>
      <w:r w:rsidRPr="00B60B9D">
        <w:rPr>
          <w:rFonts w:asciiTheme="minorHAnsi" w:hAnsiTheme="minorHAnsi"/>
        </w:rPr>
        <w:t>11154.;</w:t>
      </w:r>
      <w:proofErr w:type="gramEnd"/>
      <w:r w:rsidRPr="00B60B9D">
        <w:rPr>
          <w:rFonts w:asciiTheme="minorHAnsi" w:hAnsiTheme="minorHAnsi"/>
        </w:rPr>
        <w:t xml:space="preserve"> Bond, B. (2015). The Role of Teacher Diversity in Improving the Academic Performance of Students of Color. Albert </w:t>
      </w:r>
      <w:proofErr w:type="spellStart"/>
      <w:r w:rsidRPr="00B60B9D">
        <w:rPr>
          <w:rFonts w:asciiTheme="minorHAnsi" w:hAnsiTheme="minorHAnsi"/>
        </w:rPr>
        <w:t>Shanker</w:t>
      </w:r>
      <w:proofErr w:type="spellEnd"/>
      <w:r w:rsidRPr="00B60B9D">
        <w:rPr>
          <w:rFonts w:asciiTheme="minorHAnsi" w:hAnsiTheme="minorHAnsi"/>
        </w:rPr>
        <w:t xml:space="preserve"> Institute.</w:t>
      </w:r>
    </w:p>
  </w:endnote>
  <w:endnote w:id="18">
    <w:p w:rsidR="002E3D26" w:rsidRPr="00B60B9D" w:rsidRDefault="002E3D26" w:rsidP="00253A5B">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Villegas and Irvine. (2010).</w:t>
      </w:r>
    </w:p>
  </w:endnote>
  <w:endnote w:id="19">
    <w:p w:rsidR="002E3D26" w:rsidRPr="00505641" w:rsidRDefault="002E3D26">
      <w:pPr>
        <w:pStyle w:val="EndnoteText"/>
        <w:rPr>
          <w:rFonts w:asciiTheme="minorHAnsi" w:hAnsiTheme="minorHAnsi"/>
        </w:rPr>
      </w:pPr>
      <w:r w:rsidRPr="00505641">
        <w:rPr>
          <w:rStyle w:val="EndnoteReference"/>
          <w:rFonts w:asciiTheme="minorHAnsi" w:hAnsiTheme="minorHAnsi"/>
        </w:rPr>
        <w:endnoteRef/>
      </w:r>
      <w:r w:rsidRPr="00505641">
        <w:rPr>
          <w:rFonts w:asciiTheme="minorHAnsi" w:hAnsiTheme="minorHAnsi"/>
        </w:rPr>
        <w:t xml:space="preserve"> MA DESE (2013).</w:t>
      </w:r>
    </w:p>
  </w:endnote>
  <w:endnote w:id="20">
    <w:p w:rsidR="002E3D26" w:rsidRPr="00B60B9D" w:rsidRDefault="002E3D26">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Edwin Analytics. Staff by Length of Service (ED209).</w:t>
      </w:r>
    </w:p>
  </w:endnote>
  <w:endnote w:id="21">
    <w:p w:rsidR="002E3D26" w:rsidRPr="00B60B9D" w:rsidRDefault="002E3D26" w:rsidP="00662907">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US Census Bureau: American Fact Finder. Massachusetts Educational Attainment. </w:t>
      </w:r>
    </w:p>
  </w:endnote>
  <w:endnote w:id="22">
    <w:p w:rsidR="002E3D26" w:rsidRPr="00B60B9D" w:rsidRDefault="002E3D26" w:rsidP="00662907">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National Center for Education Statistics (2017). The Integrated Postsecondary Education Data System. </w:t>
      </w:r>
    </w:p>
  </w:endnote>
  <w:endnote w:id="23">
    <w:p w:rsidR="002E3D26" w:rsidRPr="00B60B9D" w:rsidRDefault="002E3D26" w:rsidP="00662907">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From ELAR data, not including educator candidates who did not report race/ethnicity</w:t>
      </w:r>
    </w:p>
  </w:endnote>
  <w:endnote w:id="24">
    <w:p w:rsidR="002E3D26" w:rsidRPr="00B60B9D" w:rsidRDefault="002E3D26" w:rsidP="006646A8">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lang w:val="es-ES"/>
        </w:rPr>
        <w:t xml:space="preserve"> </w:t>
      </w:r>
      <w:proofErr w:type="spellStart"/>
      <w:r w:rsidRPr="00B60B9D">
        <w:rPr>
          <w:rFonts w:asciiTheme="minorHAnsi" w:hAnsiTheme="minorHAnsi"/>
          <w:lang w:val="es-ES"/>
        </w:rPr>
        <w:t>Hehir</w:t>
      </w:r>
      <w:proofErr w:type="spellEnd"/>
      <w:r w:rsidRPr="00B60B9D">
        <w:rPr>
          <w:rFonts w:asciiTheme="minorHAnsi" w:hAnsiTheme="minorHAnsi"/>
          <w:lang w:val="es-ES"/>
        </w:rPr>
        <w:t xml:space="preserve">, T., et al. (2014). </w:t>
      </w:r>
      <w:r w:rsidRPr="00B60B9D">
        <w:rPr>
          <w:rFonts w:asciiTheme="minorHAnsi" w:hAnsiTheme="minorHAnsi"/>
        </w:rPr>
        <w:t xml:space="preserve">Review of Special Education in the Commonwealth of Massachusetts: A Synthesis Report. </w:t>
      </w:r>
      <w:hyperlink r:id="rId6" w:history="1">
        <w:r w:rsidRPr="00B60B9D">
          <w:rPr>
            <w:rStyle w:val="Hyperlink"/>
            <w:rFonts w:asciiTheme="minorHAnsi" w:hAnsiTheme="minorHAnsi"/>
          </w:rPr>
          <w:t>http://www.doe.mass.edu/sped/hehir/2014-09synthesis.pdf</w:t>
        </w:r>
      </w:hyperlink>
      <w:r w:rsidRPr="00B60B9D">
        <w:rPr>
          <w:rFonts w:asciiTheme="minorHAnsi" w:hAnsiTheme="minorHAnsi"/>
        </w:rPr>
        <w:t xml:space="preserve">. </w:t>
      </w:r>
    </w:p>
  </w:endnote>
  <w:endnote w:id="25">
    <w:p w:rsidR="002E3D26" w:rsidRPr="00E322A4" w:rsidRDefault="002E3D26" w:rsidP="00BA201C">
      <w:pPr>
        <w:pStyle w:val="EndnoteText"/>
        <w:rPr>
          <w:rFonts w:asciiTheme="minorHAnsi" w:hAnsiTheme="minorHAnsi"/>
        </w:rPr>
      </w:pPr>
      <w:r w:rsidRPr="00B60B9D">
        <w:rPr>
          <w:rStyle w:val="EndnoteReference"/>
          <w:rFonts w:asciiTheme="minorHAnsi" w:hAnsiTheme="minorHAnsi"/>
        </w:rPr>
        <w:endnoteRef/>
      </w:r>
      <w:r w:rsidRPr="00B60B9D">
        <w:rPr>
          <w:rFonts w:asciiTheme="minorHAnsi" w:hAnsiTheme="minorHAnsi"/>
        </w:rPr>
        <w:t xml:space="preserve"> Cowan, </w:t>
      </w:r>
      <w:proofErr w:type="spellStart"/>
      <w:r w:rsidRPr="00B60B9D">
        <w:rPr>
          <w:rFonts w:asciiTheme="minorHAnsi" w:hAnsiTheme="minorHAnsi"/>
        </w:rPr>
        <w:t>Goldhaber</w:t>
      </w:r>
      <w:proofErr w:type="spellEnd"/>
      <w:r w:rsidRPr="00B60B9D">
        <w:rPr>
          <w:rFonts w:asciiTheme="minorHAnsi" w:hAnsiTheme="minorHAnsi"/>
        </w:rPr>
        <w:t>, &amp; Theobald. (2017)</w:t>
      </w:r>
      <w:proofErr w:type="gramStart"/>
      <w:r w:rsidRPr="00B60B9D">
        <w:rPr>
          <w:rFonts w:asciiTheme="minorHAnsi" w:hAnsiTheme="minorHAnsi"/>
        </w:rPr>
        <w:t>.;</w:t>
      </w:r>
      <w:proofErr w:type="gramEnd"/>
      <w:r w:rsidRPr="00B60B9D">
        <w:rPr>
          <w:rFonts w:asciiTheme="minorHAnsi" w:hAnsiTheme="minorHAnsi"/>
        </w:rPr>
        <w:t xml:space="preserve"> Herrmann, M.A. &amp; </w:t>
      </w:r>
      <w:proofErr w:type="spellStart"/>
      <w:r w:rsidRPr="00B60B9D">
        <w:rPr>
          <w:rFonts w:asciiTheme="minorHAnsi" w:hAnsiTheme="minorHAnsi"/>
        </w:rPr>
        <w:t>Rockoff</w:t>
      </w:r>
      <w:proofErr w:type="spellEnd"/>
      <w:r w:rsidRPr="00B60B9D">
        <w:rPr>
          <w:rFonts w:asciiTheme="minorHAnsi" w:hAnsiTheme="minorHAnsi"/>
        </w:rPr>
        <w:t xml:space="preserve">, J.E. (2012). Worker absence and productivity: Evidence from teaching. </w:t>
      </w:r>
      <w:r w:rsidRPr="00B60B9D">
        <w:rPr>
          <w:rFonts w:asciiTheme="minorHAnsi" w:hAnsiTheme="minorHAnsi"/>
          <w:i/>
        </w:rPr>
        <w:t>Journal of Labor Economics, 30</w:t>
      </w:r>
      <w:r w:rsidRPr="00B60B9D">
        <w:rPr>
          <w:rFonts w:asciiTheme="minorHAnsi" w:hAnsiTheme="minorHAnsi"/>
        </w:rPr>
        <w:t>(4), 749</w:t>
      </w:r>
      <w:r w:rsidRPr="00B60B9D">
        <w:rPr>
          <w:rFonts w:asciiTheme="minorHAnsi" w:eastAsia="Helvetica" w:hAnsiTheme="minorHAnsi" w:cs="Helvetica"/>
        </w:rPr>
        <w:t>–</w:t>
      </w:r>
      <w:r w:rsidRPr="00B60B9D">
        <w:rPr>
          <w:rFonts w:asciiTheme="minorHAnsi" w:hAnsiTheme="minorHAnsi"/>
        </w:rPr>
        <w:t>782.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6665"/>
      <w:docPartObj>
        <w:docPartGallery w:val="Page Numbers (Bottom of Page)"/>
        <w:docPartUnique/>
      </w:docPartObj>
    </w:sdtPr>
    <w:sdtEndPr/>
    <w:sdtContent>
      <w:p w:rsidR="002E3D26" w:rsidRDefault="002E3D26">
        <w:pPr>
          <w:pStyle w:val="Footer"/>
          <w:jc w:val="right"/>
        </w:pPr>
        <w:r w:rsidRPr="00626C81">
          <w:rPr>
            <w:rFonts w:asciiTheme="minorHAnsi" w:hAnsiTheme="minorHAnsi"/>
            <w:sz w:val="22"/>
            <w:szCs w:val="22"/>
          </w:rPr>
          <w:fldChar w:fldCharType="begin"/>
        </w:r>
        <w:r w:rsidRPr="00626C81">
          <w:rPr>
            <w:rFonts w:asciiTheme="minorHAnsi" w:hAnsiTheme="minorHAnsi"/>
            <w:sz w:val="22"/>
            <w:szCs w:val="22"/>
          </w:rPr>
          <w:instrText xml:space="preserve"> PAGE   \* MERGEFORMAT </w:instrText>
        </w:r>
        <w:r w:rsidRPr="00626C81">
          <w:rPr>
            <w:rFonts w:asciiTheme="minorHAnsi" w:hAnsiTheme="minorHAnsi"/>
            <w:sz w:val="22"/>
            <w:szCs w:val="22"/>
          </w:rPr>
          <w:fldChar w:fldCharType="separate"/>
        </w:r>
        <w:r w:rsidR="00C31890">
          <w:rPr>
            <w:rFonts w:asciiTheme="minorHAnsi" w:hAnsiTheme="minorHAnsi"/>
            <w:noProof/>
            <w:sz w:val="22"/>
            <w:szCs w:val="22"/>
          </w:rPr>
          <w:t>2</w:t>
        </w:r>
        <w:r w:rsidRPr="00626C81">
          <w:rPr>
            <w:rFonts w:asciiTheme="minorHAnsi" w:hAnsiTheme="minorHAnsi"/>
            <w:sz w:val="22"/>
            <w:szCs w:val="22"/>
          </w:rPr>
          <w:fldChar w:fldCharType="end"/>
        </w:r>
      </w:p>
    </w:sdtContent>
  </w:sdt>
  <w:p w:rsidR="002E3D26" w:rsidRDefault="002E3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6666"/>
      <w:docPartObj>
        <w:docPartGallery w:val="Page Numbers (Bottom of Page)"/>
        <w:docPartUnique/>
      </w:docPartObj>
    </w:sdtPr>
    <w:sdtEndPr/>
    <w:sdtContent>
      <w:p w:rsidR="002E3D26" w:rsidRDefault="002E3D26">
        <w:pPr>
          <w:pStyle w:val="Footer"/>
          <w:jc w:val="right"/>
        </w:pPr>
        <w:r w:rsidRPr="00626C81">
          <w:rPr>
            <w:rFonts w:asciiTheme="minorHAnsi" w:hAnsiTheme="minorHAnsi"/>
            <w:sz w:val="22"/>
            <w:szCs w:val="22"/>
          </w:rPr>
          <w:fldChar w:fldCharType="begin"/>
        </w:r>
        <w:r w:rsidRPr="00626C81">
          <w:rPr>
            <w:rFonts w:asciiTheme="minorHAnsi" w:hAnsiTheme="minorHAnsi"/>
            <w:sz w:val="22"/>
            <w:szCs w:val="22"/>
          </w:rPr>
          <w:instrText xml:space="preserve"> PAGE   \* MERGEFORMAT </w:instrText>
        </w:r>
        <w:r w:rsidRPr="00626C81">
          <w:rPr>
            <w:rFonts w:asciiTheme="minorHAnsi" w:hAnsiTheme="minorHAnsi"/>
            <w:sz w:val="22"/>
            <w:szCs w:val="22"/>
          </w:rPr>
          <w:fldChar w:fldCharType="separate"/>
        </w:r>
        <w:r w:rsidR="00C31890">
          <w:rPr>
            <w:rFonts w:asciiTheme="minorHAnsi" w:hAnsiTheme="minorHAnsi"/>
            <w:noProof/>
            <w:sz w:val="22"/>
            <w:szCs w:val="22"/>
          </w:rPr>
          <w:t>6</w:t>
        </w:r>
        <w:r w:rsidRPr="00626C81">
          <w:rPr>
            <w:rFonts w:asciiTheme="minorHAnsi" w:hAnsiTheme="minorHAnsi"/>
            <w:sz w:val="22"/>
            <w:szCs w:val="22"/>
          </w:rPr>
          <w:fldChar w:fldCharType="end"/>
        </w:r>
      </w:p>
    </w:sdtContent>
  </w:sdt>
  <w:p w:rsidR="002E3D26" w:rsidRDefault="002E3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6667"/>
      <w:docPartObj>
        <w:docPartGallery w:val="Page Numbers (Bottom of Page)"/>
        <w:docPartUnique/>
      </w:docPartObj>
    </w:sdtPr>
    <w:sdtEndPr/>
    <w:sdtContent>
      <w:p w:rsidR="002E3D26" w:rsidRDefault="002E3D26">
        <w:pPr>
          <w:pStyle w:val="Footer"/>
          <w:jc w:val="right"/>
        </w:pPr>
        <w:r w:rsidRPr="00626C81">
          <w:rPr>
            <w:rFonts w:asciiTheme="minorHAnsi" w:hAnsiTheme="minorHAnsi"/>
            <w:sz w:val="22"/>
            <w:szCs w:val="22"/>
          </w:rPr>
          <w:fldChar w:fldCharType="begin"/>
        </w:r>
        <w:r w:rsidRPr="00626C81">
          <w:rPr>
            <w:rFonts w:asciiTheme="minorHAnsi" w:hAnsiTheme="minorHAnsi"/>
            <w:sz w:val="22"/>
            <w:szCs w:val="22"/>
          </w:rPr>
          <w:instrText xml:space="preserve"> PAGE   \* MERGEFORMAT </w:instrText>
        </w:r>
        <w:r w:rsidRPr="00626C81">
          <w:rPr>
            <w:rFonts w:asciiTheme="minorHAnsi" w:hAnsiTheme="minorHAnsi"/>
            <w:sz w:val="22"/>
            <w:szCs w:val="22"/>
          </w:rPr>
          <w:fldChar w:fldCharType="separate"/>
        </w:r>
        <w:r w:rsidR="00E44449">
          <w:rPr>
            <w:rFonts w:asciiTheme="minorHAnsi" w:hAnsiTheme="minorHAnsi"/>
            <w:noProof/>
            <w:sz w:val="22"/>
            <w:szCs w:val="22"/>
          </w:rPr>
          <w:t>28</w:t>
        </w:r>
        <w:r w:rsidRPr="00626C81">
          <w:rPr>
            <w:rFonts w:asciiTheme="minorHAnsi" w:hAnsiTheme="minorHAnsi"/>
            <w:sz w:val="22"/>
            <w:szCs w:val="22"/>
          </w:rPr>
          <w:fldChar w:fldCharType="end"/>
        </w:r>
      </w:p>
    </w:sdtContent>
  </w:sdt>
  <w:p w:rsidR="002E3D26" w:rsidRDefault="002E3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C8" w:rsidRDefault="00ED23C8" w:rsidP="008C4F5C">
      <w:r>
        <w:separator/>
      </w:r>
    </w:p>
  </w:footnote>
  <w:footnote w:type="continuationSeparator" w:id="0">
    <w:p w:rsidR="00ED23C8" w:rsidRDefault="00ED23C8" w:rsidP="008C4F5C">
      <w:r>
        <w:continuationSeparator/>
      </w:r>
    </w:p>
  </w:footnote>
  <w:footnote w:id="1">
    <w:p w:rsidR="002E3D26" w:rsidRPr="004C6D00" w:rsidRDefault="002E3D26">
      <w:pPr>
        <w:pStyle w:val="FootnoteText"/>
        <w:rPr>
          <w:rFonts w:asciiTheme="minorHAnsi" w:hAnsiTheme="minorHAnsi"/>
        </w:rPr>
      </w:pPr>
      <w:r w:rsidRPr="004C6D00">
        <w:rPr>
          <w:rStyle w:val="FootnoteReference"/>
          <w:rFonts w:asciiTheme="minorHAnsi" w:hAnsiTheme="minorHAnsi"/>
        </w:rPr>
        <w:footnoteRef/>
      </w:r>
      <w:r w:rsidRPr="004C6D00">
        <w:rPr>
          <w:rFonts w:asciiTheme="minorHAnsi" w:hAnsiTheme="minorHAnsi"/>
        </w:rPr>
        <w:t xml:space="preserve"> ESSA </w:t>
      </w:r>
      <w:r w:rsidRPr="004C6D00">
        <w:rPr>
          <w:rFonts w:asciiTheme="minorHAnsi" w:hAnsiTheme="minorHAnsi"/>
          <w:color w:val="000000"/>
          <w:shd w:val="clear" w:color="auto" w:fill="FFFFFF"/>
        </w:rPr>
        <w:t>Section 1111(g)(1)(B)</w:t>
      </w:r>
    </w:p>
  </w:footnote>
  <w:footnote w:id="2">
    <w:p w:rsidR="002E3D26" w:rsidRPr="00F004C3" w:rsidRDefault="002E3D26" w:rsidP="00F004C3">
      <w:pPr>
        <w:rPr>
          <w:rFonts w:asciiTheme="minorHAnsi" w:hAnsiTheme="minorHAnsi"/>
          <w:sz w:val="20"/>
          <w:szCs w:val="20"/>
        </w:rPr>
      </w:pPr>
      <w:r w:rsidRPr="00F004C3">
        <w:rPr>
          <w:rStyle w:val="FootnoteReference"/>
          <w:rFonts w:asciiTheme="minorHAnsi" w:hAnsiTheme="minorHAnsi"/>
          <w:sz w:val="20"/>
          <w:szCs w:val="20"/>
        </w:rPr>
        <w:footnoteRef/>
      </w:r>
      <w:r w:rsidRPr="00F004C3">
        <w:rPr>
          <w:rFonts w:asciiTheme="minorHAnsi" w:hAnsiTheme="minorHAnsi"/>
          <w:sz w:val="20"/>
          <w:szCs w:val="20"/>
        </w:rPr>
        <w:t xml:space="preserve"> Administrator ratings were reported at lower rates than teacher ratings: </w:t>
      </w:r>
      <w:r w:rsidRPr="00F004C3">
        <w:rPr>
          <w:rFonts w:asciiTheme="minorHAnsi" w:hAnsiTheme="minorHAnsi"/>
          <w:spacing w:val="-2"/>
          <w:sz w:val="20"/>
          <w:szCs w:val="20"/>
        </w:rPr>
        <w:t xml:space="preserve">95.5 percent of Massachusetts teachers were evaluated last school year compared to </w:t>
      </w:r>
      <w:r>
        <w:rPr>
          <w:rFonts w:asciiTheme="minorHAnsi" w:hAnsiTheme="minorHAnsi"/>
          <w:spacing w:val="-2"/>
          <w:sz w:val="20"/>
          <w:szCs w:val="20"/>
        </w:rPr>
        <w:t>87.2</w:t>
      </w:r>
      <w:r w:rsidRPr="00F004C3">
        <w:rPr>
          <w:rFonts w:asciiTheme="minorHAnsi" w:hAnsiTheme="minorHAnsi"/>
          <w:spacing w:val="-2"/>
          <w:sz w:val="20"/>
          <w:szCs w:val="20"/>
        </w:rPr>
        <w:t xml:space="preserve"> percent of administrators.</w:t>
      </w:r>
      <w:r>
        <w:rPr>
          <w:rFonts w:asciiTheme="minorHAnsi" w:hAnsiTheme="minorHAnsi"/>
          <w:spacing w:val="-2"/>
          <w:sz w:val="20"/>
          <w:szCs w:val="20"/>
        </w:rPr>
        <w:t xml:space="preserve"> </w:t>
      </w:r>
    </w:p>
  </w:footnote>
  <w:footnote w:id="3">
    <w:p w:rsidR="002E3D26" w:rsidRPr="00423AFF" w:rsidRDefault="002E3D26" w:rsidP="00B350CF">
      <w:pPr>
        <w:pStyle w:val="FootnoteText"/>
        <w:rPr>
          <w:rFonts w:asciiTheme="minorHAnsi" w:hAnsiTheme="minorHAnsi"/>
        </w:rPr>
      </w:pPr>
      <w:r w:rsidRPr="00F004C3">
        <w:rPr>
          <w:rStyle w:val="FootnoteReference"/>
          <w:rFonts w:asciiTheme="minorHAnsi" w:hAnsiTheme="minorHAnsi"/>
        </w:rPr>
        <w:footnoteRef/>
      </w:r>
      <w:r w:rsidRPr="00F004C3">
        <w:rPr>
          <w:rFonts w:asciiTheme="minorHAnsi" w:hAnsiTheme="minorHAnsi"/>
        </w:rPr>
        <w:t xml:space="preserve"> Students of color include students who are: Asian; Hispanic/Latino; African American/black; American Indian/Alaskan</w:t>
      </w:r>
      <w:r w:rsidRPr="00B350CF">
        <w:rPr>
          <w:rFonts w:asciiTheme="minorHAnsi" w:hAnsiTheme="minorHAnsi"/>
        </w:rPr>
        <w:t xml:space="preserve"> Native; Multi</w:t>
      </w:r>
      <w:r w:rsidRPr="00B350CF">
        <w:rPr>
          <w:rFonts w:asciiTheme="minorHAnsi" w:eastAsia="Helvetica" w:hAnsiTheme="minorHAnsi" w:cs="Helvetica"/>
        </w:rPr>
        <w:t>-</w:t>
      </w:r>
      <w:r w:rsidRPr="00B350CF">
        <w:rPr>
          <w:rFonts w:asciiTheme="minorHAnsi" w:hAnsiTheme="minorHAnsi"/>
        </w:rPr>
        <w:t>race, non</w:t>
      </w:r>
      <w:r w:rsidRPr="00B350CF">
        <w:rPr>
          <w:rFonts w:asciiTheme="minorHAnsi" w:eastAsia="Helvetica" w:hAnsiTheme="minorHAnsi" w:cs="Helvetica"/>
        </w:rPr>
        <w:t>-</w:t>
      </w:r>
      <w:r w:rsidRPr="00B350CF">
        <w:rPr>
          <w:rFonts w:asciiTheme="minorHAnsi" w:hAnsiTheme="minorHAnsi"/>
        </w:rPr>
        <w:t>Hispanic or Latino; and Native Hawaiian or Pacific Islander. Additional definitions of student</w:t>
      </w:r>
      <w:r>
        <w:rPr>
          <w:rFonts w:asciiTheme="minorHAnsi" w:hAnsiTheme="minorHAnsi"/>
        </w:rPr>
        <w:t xml:space="preserve"> groups are available in Appendix A.</w:t>
      </w:r>
    </w:p>
  </w:footnote>
  <w:footnote w:id="4">
    <w:p w:rsidR="002E3D26" w:rsidRPr="0038179A" w:rsidRDefault="002E3D26" w:rsidP="007C32FE">
      <w:pPr>
        <w:pStyle w:val="FootnoteText"/>
        <w:rPr>
          <w:rFonts w:asciiTheme="minorHAnsi" w:hAnsiTheme="minorHAnsi"/>
        </w:rPr>
      </w:pPr>
      <w:r w:rsidRPr="008E55C5">
        <w:rPr>
          <w:rStyle w:val="FootnoteReference"/>
          <w:rFonts w:asciiTheme="minorHAnsi" w:hAnsiTheme="minorHAnsi"/>
        </w:rPr>
        <w:footnoteRef/>
      </w:r>
      <w:r w:rsidRPr="008E55C5">
        <w:rPr>
          <w:rFonts w:asciiTheme="minorHAnsi" w:hAnsiTheme="minorHAnsi"/>
        </w:rPr>
        <w:t xml:space="preserve"> An educator teaching a core academic subject area who: 1) possesses a Bachelor’s degree; 2) holds an active Massachusetts teaching license; and 3) demonstrates subject matter competency in each of the core subject areas he or she</w:t>
      </w:r>
      <w:r w:rsidRPr="0038179A">
        <w:rPr>
          <w:rFonts w:asciiTheme="minorHAnsi" w:hAnsiTheme="minorHAnsi"/>
        </w:rPr>
        <w:t xml:space="preserve"> </w:t>
      </w:r>
      <w:r>
        <w:rPr>
          <w:rFonts w:asciiTheme="minorHAnsi" w:hAnsiTheme="minorHAnsi"/>
        </w:rPr>
        <w:t>teaches.</w:t>
      </w:r>
    </w:p>
  </w:footnote>
  <w:footnote w:id="5">
    <w:p w:rsidR="002E3D26" w:rsidRDefault="002E3D26">
      <w:pPr>
        <w:pStyle w:val="FootnoteText"/>
      </w:pPr>
      <w:r w:rsidRPr="008E55C5">
        <w:rPr>
          <w:rStyle w:val="FootnoteReference"/>
          <w:rFonts w:asciiTheme="minorHAnsi" w:hAnsiTheme="minorHAnsi"/>
        </w:rPr>
        <w:footnoteRef/>
      </w:r>
      <w:r w:rsidRPr="008E55C5">
        <w:rPr>
          <w:rFonts w:asciiTheme="minorHAnsi" w:hAnsiTheme="minorHAnsi"/>
        </w:rPr>
        <w:t>Note that this data comes from districts who reported October 2015</w:t>
      </w:r>
      <w:r w:rsidRPr="008E55C5">
        <w:rPr>
          <w:rFonts w:asciiTheme="minorHAnsi" w:eastAsia="Helvetica" w:hAnsiTheme="minorHAnsi" w:cs="Helvetica"/>
        </w:rPr>
        <w:t>–</w:t>
      </w:r>
      <w:r w:rsidRPr="008E55C5">
        <w:rPr>
          <w:rFonts w:asciiTheme="minorHAnsi" w:hAnsiTheme="minorHAnsi"/>
        </w:rPr>
        <w:t>16 EPIMS data; about 0.7 percent of districts</w:t>
      </w:r>
      <w:r w:rsidRPr="00434DA1">
        <w:rPr>
          <w:rFonts w:asciiTheme="minorHAnsi" w:hAnsiTheme="minorHAnsi"/>
        </w:rPr>
        <w:t xml:space="preserve"> did not report.</w:t>
      </w:r>
    </w:p>
  </w:footnote>
  <w:footnote w:id="6">
    <w:p w:rsidR="002E3D26" w:rsidRPr="00BC32CF" w:rsidRDefault="002E3D26" w:rsidP="00126C9E">
      <w:pPr>
        <w:pStyle w:val="FootnoteText"/>
        <w:rPr>
          <w:rFonts w:asciiTheme="minorHAnsi" w:hAnsiTheme="minorHAnsi"/>
        </w:rPr>
      </w:pPr>
      <w:r w:rsidRPr="00BC32CF">
        <w:rPr>
          <w:rStyle w:val="FootnoteReference"/>
          <w:rFonts w:asciiTheme="minorHAnsi" w:hAnsiTheme="minorHAnsi"/>
        </w:rPr>
        <w:footnoteRef/>
      </w:r>
      <w:r w:rsidRPr="00BC32CF">
        <w:rPr>
          <w:rFonts w:asciiTheme="minorHAnsi" w:hAnsiTheme="minorHAnsi"/>
        </w:rPr>
        <w:t xml:space="preserve"> The 2014–15 data combines educator evaluation data of teachers and principals</w:t>
      </w:r>
      <w:r>
        <w:rPr>
          <w:rFonts w:asciiTheme="minorHAnsi" w:hAnsiTheme="minorHAnsi"/>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CB6E5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F37C1"/>
    <w:multiLevelType w:val="hybridMultilevel"/>
    <w:tmpl w:val="37926BF4"/>
    <w:lvl w:ilvl="0" w:tplc="0409000F">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0A336E55"/>
    <w:multiLevelType w:val="hybridMultilevel"/>
    <w:tmpl w:val="181AE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25DF2"/>
    <w:multiLevelType w:val="hybridMultilevel"/>
    <w:tmpl w:val="C7FC8746"/>
    <w:lvl w:ilvl="0" w:tplc="4AF2B1F0">
      <w:numFmt w:val="bullet"/>
      <w:lvlText w:val="-"/>
      <w:lvlJc w:val="left"/>
      <w:pPr>
        <w:ind w:left="720" w:hanging="360"/>
      </w:pPr>
      <w:rPr>
        <w:rFonts w:ascii="Calibri" w:eastAsia="Cambr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46BB2"/>
    <w:multiLevelType w:val="hybridMultilevel"/>
    <w:tmpl w:val="9CFA9B54"/>
    <w:lvl w:ilvl="0" w:tplc="882EE942">
      <w:start w:val="1"/>
      <w:numFmt w:val="decimal"/>
      <w:lvlText w:val="%1."/>
      <w:lvlJc w:val="left"/>
      <w:pPr>
        <w:ind w:left="1440" w:hanging="360"/>
      </w:pPr>
      <w:rPr>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921D33"/>
    <w:multiLevelType w:val="hybridMultilevel"/>
    <w:tmpl w:val="AA38D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0E1C31"/>
    <w:multiLevelType w:val="hybridMultilevel"/>
    <w:tmpl w:val="870AF9FC"/>
    <w:lvl w:ilvl="0" w:tplc="B8424514">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F10EE8"/>
    <w:multiLevelType w:val="hybridMultilevel"/>
    <w:tmpl w:val="F7343302"/>
    <w:lvl w:ilvl="0" w:tplc="1018B0D6">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B91C0CEE" w:tentative="1">
      <w:start w:val="1"/>
      <w:numFmt w:val="bullet"/>
      <w:lvlText w:val="•"/>
      <w:lvlJc w:val="left"/>
      <w:pPr>
        <w:tabs>
          <w:tab w:val="num" w:pos="2160"/>
        </w:tabs>
        <w:ind w:left="2160" w:hanging="360"/>
      </w:pPr>
      <w:rPr>
        <w:rFonts w:ascii="Arial" w:hAnsi="Arial" w:hint="default"/>
      </w:rPr>
    </w:lvl>
    <w:lvl w:ilvl="3" w:tplc="7CAEAB42" w:tentative="1">
      <w:start w:val="1"/>
      <w:numFmt w:val="bullet"/>
      <w:lvlText w:val="•"/>
      <w:lvlJc w:val="left"/>
      <w:pPr>
        <w:tabs>
          <w:tab w:val="num" w:pos="2880"/>
        </w:tabs>
        <w:ind w:left="2880" w:hanging="360"/>
      </w:pPr>
      <w:rPr>
        <w:rFonts w:ascii="Arial" w:hAnsi="Arial" w:hint="default"/>
      </w:rPr>
    </w:lvl>
    <w:lvl w:ilvl="4" w:tplc="A73AE570" w:tentative="1">
      <w:start w:val="1"/>
      <w:numFmt w:val="bullet"/>
      <w:lvlText w:val="•"/>
      <w:lvlJc w:val="left"/>
      <w:pPr>
        <w:tabs>
          <w:tab w:val="num" w:pos="3600"/>
        </w:tabs>
        <w:ind w:left="3600" w:hanging="360"/>
      </w:pPr>
      <w:rPr>
        <w:rFonts w:ascii="Arial" w:hAnsi="Arial" w:hint="default"/>
      </w:rPr>
    </w:lvl>
    <w:lvl w:ilvl="5" w:tplc="B0CC25BC" w:tentative="1">
      <w:start w:val="1"/>
      <w:numFmt w:val="bullet"/>
      <w:lvlText w:val="•"/>
      <w:lvlJc w:val="left"/>
      <w:pPr>
        <w:tabs>
          <w:tab w:val="num" w:pos="4320"/>
        </w:tabs>
        <w:ind w:left="4320" w:hanging="360"/>
      </w:pPr>
      <w:rPr>
        <w:rFonts w:ascii="Arial" w:hAnsi="Arial" w:hint="default"/>
      </w:rPr>
    </w:lvl>
    <w:lvl w:ilvl="6" w:tplc="E98AF396" w:tentative="1">
      <w:start w:val="1"/>
      <w:numFmt w:val="bullet"/>
      <w:lvlText w:val="•"/>
      <w:lvlJc w:val="left"/>
      <w:pPr>
        <w:tabs>
          <w:tab w:val="num" w:pos="5040"/>
        </w:tabs>
        <w:ind w:left="5040" w:hanging="360"/>
      </w:pPr>
      <w:rPr>
        <w:rFonts w:ascii="Arial" w:hAnsi="Arial" w:hint="default"/>
      </w:rPr>
    </w:lvl>
    <w:lvl w:ilvl="7" w:tplc="610C8D74" w:tentative="1">
      <w:start w:val="1"/>
      <w:numFmt w:val="bullet"/>
      <w:lvlText w:val="•"/>
      <w:lvlJc w:val="left"/>
      <w:pPr>
        <w:tabs>
          <w:tab w:val="num" w:pos="5760"/>
        </w:tabs>
        <w:ind w:left="5760" w:hanging="360"/>
      </w:pPr>
      <w:rPr>
        <w:rFonts w:ascii="Arial" w:hAnsi="Arial" w:hint="default"/>
      </w:rPr>
    </w:lvl>
    <w:lvl w:ilvl="8" w:tplc="011AAC5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3F1EEA"/>
    <w:multiLevelType w:val="hybridMultilevel"/>
    <w:tmpl w:val="FC1E8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473C12"/>
    <w:multiLevelType w:val="hybridMultilevel"/>
    <w:tmpl w:val="9C16A99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15:restartNumberingAfterBreak="0">
    <w:nsid w:val="208E15B0"/>
    <w:multiLevelType w:val="hybridMultilevel"/>
    <w:tmpl w:val="F3D86B9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130AB3"/>
    <w:multiLevelType w:val="hybridMultilevel"/>
    <w:tmpl w:val="35D0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C2AA8"/>
    <w:multiLevelType w:val="hybridMultilevel"/>
    <w:tmpl w:val="421208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13" w15:restartNumberingAfterBreak="0">
    <w:nsid w:val="292B2204"/>
    <w:multiLevelType w:val="hybridMultilevel"/>
    <w:tmpl w:val="4AB20B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1A51DE"/>
    <w:multiLevelType w:val="hybridMultilevel"/>
    <w:tmpl w:val="CB46C4F0"/>
    <w:lvl w:ilvl="0" w:tplc="B89E276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975CC"/>
    <w:multiLevelType w:val="hybridMultilevel"/>
    <w:tmpl w:val="C3C05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1F69E9"/>
    <w:multiLevelType w:val="hybridMultilevel"/>
    <w:tmpl w:val="BE70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051A9"/>
    <w:multiLevelType w:val="hybridMultilevel"/>
    <w:tmpl w:val="FA58AD7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87066C"/>
    <w:multiLevelType w:val="hybridMultilevel"/>
    <w:tmpl w:val="870AF9FC"/>
    <w:lvl w:ilvl="0" w:tplc="B8424514">
      <w:start w:val="1"/>
      <w:numFmt w:val="decimal"/>
      <w:lvlText w:val="%1)"/>
      <w:lvlJc w:val="left"/>
      <w:pPr>
        <w:ind w:left="1650" w:hanging="9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C77130"/>
    <w:multiLevelType w:val="hybridMultilevel"/>
    <w:tmpl w:val="FFF296D0"/>
    <w:lvl w:ilvl="0" w:tplc="0409000F">
      <w:start w:val="1"/>
      <w:numFmt w:val="decimal"/>
      <w:lvlText w:val="%1."/>
      <w:lvlJc w:val="left"/>
      <w:pPr>
        <w:ind w:left="1620" w:hanging="360"/>
      </w:pPr>
      <w:rPr>
        <w:rFont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402805A6"/>
    <w:multiLevelType w:val="hybridMultilevel"/>
    <w:tmpl w:val="26C6CBB4"/>
    <w:lvl w:ilvl="0" w:tplc="04090001">
      <w:start w:val="3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96F27"/>
    <w:multiLevelType w:val="hybridMultilevel"/>
    <w:tmpl w:val="DCF64890"/>
    <w:lvl w:ilvl="0" w:tplc="6D62ABF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C8330F"/>
    <w:multiLevelType w:val="hybridMultilevel"/>
    <w:tmpl w:val="3F6C5E32"/>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64166B"/>
    <w:multiLevelType w:val="hybridMultilevel"/>
    <w:tmpl w:val="9210E9A0"/>
    <w:lvl w:ilvl="0" w:tplc="B89E2768">
      <w:start w:val="1"/>
      <w:numFmt w:val="bullet"/>
      <w:lvlText w:val=""/>
      <w:lvlJc w:val="left"/>
      <w:pPr>
        <w:ind w:left="720" w:hanging="360"/>
      </w:pPr>
      <w:rPr>
        <w:rFonts w:ascii="Symbol" w:hAnsi="Symbol" w:hint="default"/>
        <w:color w:val="4F81BD"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021814"/>
    <w:multiLevelType w:val="hybridMultilevel"/>
    <w:tmpl w:val="DA4AC23E"/>
    <w:lvl w:ilvl="0" w:tplc="44664B4A">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D09B5"/>
    <w:multiLevelType w:val="hybridMultilevel"/>
    <w:tmpl w:val="3C66A9F6"/>
    <w:lvl w:ilvl="0" w:tplc="06A2EAD8">
      <w:numFmt w:val="bullet"/>
      <w:lvlText w:val=""/>
      <w:lvlJc w:val="left"/>
      <w:pPr>
        <w:ind w:left="720" w:hanging="360"/>
      </w:pPr>
      <w:rPr>
        <w:rFonts w:ascii="Symbol" w:eastAsia="Cambr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D25EDA52">
      <w:numFmt w:val="bullet"/>
      <w:lvlText w:val=""/>
      <w:lvlJc w:val="left"/>
      <w:pPr>
        <w:ind w:left="2160" w:hanging="360"/>
      </w:pPr>
      <w:rPr>
        <w:rFonts w:ascii="Wingdings" w:eastAsia="Cambria" w:hAnsi="Wingdings"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EC411F"/>
    <w:multiLevelType w:val="hybridMultilevel"/>
    <w:tmpl w:val="1AD82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975459"/>
    <w:multiLevelType w:val="hybridMultilevel"/>
    <w:tmpl w:val="07467540"/>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14"/>
  </w:num>
  <w:num w:numId="5">
    <w:abstractNumId w:val="1"/>
  </w:num>
  <w:num w:numId="6">
    <w:abstractNumId w:val="26"/>
  </w:num>
  <w:num w:numId="7">
    <w:abstractNumId w:val="13"/>
  </w:num>
  <w:num w:numId="8">
    <w:abstractNumId w:val="12"/>
  </w:num>
  <w:num w:numId="9">
    <w:abstractNumId w:val="15"/>
  </w:num>
  <w:num w:numId="10">
    <w:abstractNumId w:val="18"/>
  </w:num>
  <w:num w:numId="11">
    <w:abstractNumId w:val="24"/>
  </w:num>
  <w:num w:numId="12">
    <w:abstractNumId w:val="9"/>
  </w:num>
  <w:num w:numId="13">
    <w:abstractNumId w:val="7"/>
  </w:num>
  <w:num w:numId="14">
    <w:abstractNumId w:val="27"/>
  </w:num>
  <w:num w:numId="15">
    <w:abstractNumId w:val="10"/>
  </w:num>
  <w:num w:numId="16">
    <w:abstractNumId w:val="22"/>
  </w:num>
  <w:num w:numId="17">
    <w:abstractNumId w:val="21"/>
  </w:num>
  <w:num w:numId="18">
    <w:abstractNumId w:val="25"/>
  </w:num>
  <w:num w:numId="19">
    <w:abstractNumId w:val="3"/>
  </w:num>
  <w:num w:numId="20">
    <w:abstractNumId w:val="6"/>
  </w:num>
  <w:num w:numId="21">
    <w:abstractNumId w:val="8"/>
  </w:num>
  <w:num w:numId="22">
    <w:abstractNumId w:val="11"/>
  </w:num>
  <w:num w:numId="23">
    <w:abstractNumId w:val="2"/>
  </w:num>
  <w:num w:numId="24">
    <w:abstractNumId w:val="4"/>
  </w:num>
  <w:num w:numId="25">
    <w:abstractNumId w:val="17"/>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es-ES" w:vendorID="64" w:dllVersion="131078" w:nlCheck="1" w:checkStyle="0"/>
  <w:activeWritingStyle w:appName="MSWord" w:lang="en-US"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2049">
      <o:colormru v:ext="edit" colors="#dbe5f1"/>
    </o:shapedefaults>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F5C"/>
    <w:rsid w:val="00002D19"/>
    <w:rsid w:val="00004C6C"/>
    <w:rsid w:val="000078C2"/>
    <w:rsid w:val="00010BDF"/>
    <w:rsid w:val="00012005"/>
    <w:rsid w:val="000121BE"/>
    <w:rsid w:val="000127E5"/>
    <w:rsid w:val="00013C41"/>
    <w:rsid w:val="00013E1A"/>
    <w:rsid w:val="0001468D"/>
    <w:rsid w:val="00016BC7"/>
    <w:rsid w:val="00017D23"/>
    <w:rsid w:val="00017FEC"/>
    <w:rsid w:val="00020070"/>
    <w:rsid w:val="00021CF7"/>
    <w:rsid w:val="000222A4"/>
    <w:rsid w:val="0002289C"/>
    <w:rsid w:val="00023116"/>
    <w:rsid w:val="00023D42"/>
    <w:rsid w:val="000248C7"/>
    <w:rsid w:val="00025C14"/>
    <w:rsid w:val="000307CA"/>
    <w:rsid w:val="00031E08"/>
    <w:rsid w:val="00040CD5"/>
    <w:rsid w:val="000421EF"/>
    <w:rsid w:val="000442A5"/>
    <w:rsid w:val="00050BCB"/>
    <w:rsid w:val="00051514"/>
    <w:rsid w:val="00052A2C"/>
    <w:rsid w:val="00053556"/>
    <w:rsid w:val="000554BE"/>
    <w:rsid w:val="00055941"/>
    <w:rsid w:val="0006136B"/>
    <w:rsid w:val="00062EC0"/>
    <w:rsid w:val="0007091F"/>
    <w:rsid w:val="00071735"/>
    <w:rsid w:val="00074508"/>
    <w:rsid w:val="000751EE"/>
    <w:rsid w:val="00076D6B"/>
    <w:rsid w:val="00080CA1"/>
    <w:rsid w:val="00080CB1"/>
    <w:rsid w:val="00080CED"/>
    <w:rsid w:val="00082635"/>
    <w:rsid w:val="000827EF"/>
    <w:rsid w:val="000832A7"/>
    <w:rsid w:val="00083FD2"/>
    <w:rsid w:val="000845AA"/>
    <w:rsid w:val="00084C83"/>
    <w:rsid w:val="0009033C"/>
    <w:rsid w:val="0009043E"/>
    <w:rsid w:val="00092268"/>
    <w:rsid w:val="00094511"/>
    <w:rsid w:val="00095B08"/>
    <w:rsid w:val="00097C71"/>
    <w:rsid w:val="000A3881"/>
    <w:rsid w:val="000A4726"/>
    <w:rsid w:val="000A5C7C"/>
    <w:rsid w:val="000A5FE5"/>
    <w:rsid w:val="000A695D"/>
    <w:rsid w:val="000A6D67"/>
    <w:rsid w:val="000B0128"/>
    <w:rsid w:val="000B2502"/>
    <w:rsid w:val="000B350B"/>
    <w:rsid w:val="000B3942"/>
    <w:rsid w:val="000B618C"/>
    <w:rsid w:val="000C0E6D"/>
    <w:rsid w:val="000C1CEA"/>
    <w:rsid w:val="000C20E7"/>
    <w:rsid w:val="000D0B33"/>
    <w:rsid w:val="000D1123"/>
    <w:rsid w:val="000D18EB"/>
    <w:rsid w:val="000D3BB1"/>
    <w:rsid w:val="000D3C86"/>
    <w:rsid w:val="000D5018"/>
    <w:rsid w:val="000D5BEC"/>
    <w:rsid w:val="000D5F4D"/>
    <w:rsid w:val="000D62C8"/>
    <w:rsid w:val="000E1DC3"/>
    <w:rsid w:val="000E27D0"/>
    <w:rsid w:val="000E44AF"/>
    <w:rsid w:val="000F30D7"/>
    <w:rsid w:val="000F3176"/>
    <w:rsid w:val="000F32FE"/>
    <w:rsid w:val="000F5588"/>
    <w:rsid w:val="000F75F3"/>
    <w:rsid w:val="00100C8D"/>
    <w:rsid w:val="00101C7E"/>
    <w:rsid w:val="00114067"/>
    <w:rsid w:val="00115E75"/>
    <w:rsid w:val="00115F1A"/>
    <w:rsid w:val="001175C2"/>
    <w:rsid w:val="00120EF0"/>
    <w:rsid w:val="001214C7"/>
    <w:rsid w:val="00121EB9"/>
    <w:rsid w:val="001263C2"/>
    <w:rsid w:val="00126C9E"/>
    <w:rsid w:val="001278E1"/>
    <w:rsid w:val="0013085B"/>
    <w:rsid w:val="00130DAA"/>
    <w:rsid w:val="001323B9"/>
    <w:rsid w:val="001334F8"/>
    <w:rsid w:val="00133B3D"/>
    <w:rsid w:val="0013575B"/>
    <w:rsid w:val="00136FC4"/>
    <w:rsid w:val="00137142"/>
    <w:rsid w:val="001403AF"/>
    <w:rsid w:val="00140A3A"/>
    <w:rsid w:val="0014116E"/>
    <w:rsid w:val="001416D5"/>
    <w:rsid w:val="0014337E"/>
    <w:rsid w:val="00143DB3"/>
    <w:rsid w:val="001451A9"/>
    <w:rsid w:val="0014534B"/>
    <w:rsid w:val="001453D3"/>
    <w:rsid w:val="001459B7"/>
    <w:rsid w:val="001474EC"/>
    <w:rsid w:val="00150D3B"/>
    <w:rsid w:val="0015144A"/>
    <w:rsid w:val="00156192"/>
    <w:rsid w:val="00160B44"/>
    <w:rsid w:val="00162B97"/>
    <w:rsid w:val="00166A5B"/>
    <w:rsid w:val="00167120"/>
    <w:rsid w:val="001704B4"/>
    <w:rsid w:val="001719A6"/>
    <w:rsid w:val="00172411"/>
    <w:rsid w:val="0017548F"/>
    <w:rsid w:val="0017646B"/>
    <w:rsid w:val="00177DDE"/>
    <w:rsid w:val="001804FB"/>
    <w:rsid w:val="00181C76"/>
    <w:rsid w:val="00187745"/>
    <w:rsid w:val="0019168C"/>
    <w:rsid w:val="00197443"/>
    <w:rsid w:val="00197D59"/>
    <w:rsid w:val="001A59E7"/>
    <w:rsid w:val="001A5AA0"/>
    <w:rsid w:val="001A733D"/>
    <w:rsid w:val="001B3697"/>
    <w:rsid w:val="001B37D8"/>
    <w:rsid w:val="001B59D5"/>
    <w:rsid w:val="001B79DA"/>
    <w:rsid w:val="001C50BF"/>
    <w:rsid w:val="001C5EB1"/>
    <w:rsid w:val="001C6EB6"/>
    <w:rsid w:val="001C7B6C"/>
    <w:rsid w:val="001D0E8F"/>
    <w:rsid w:val="001D1B0E"/>
    <w:rsid w:val="001D2A7E"/>
    <w:rsid w:val="001D5202"/>
    <w:rsid w:val="001E0A61"/>
    <w:rsid w:val="001E3603"/>
    <w:rsid w:val="001E39C0"/>
    <w:rsid w:val="001E5A76"/>
    <w:rsid w:val="001E74BE"/>
    <w:rsid w:val="001E7BA1"/>
    <w:rsid w:val="001E7E63"/>
    <w:rsid w:val="001F05B8"/>
    <w:rsid w:val="001F0EE8"/>
    <w:rsid w:val="001F1CD5"/>
    <w:rsid w:val="001F20D9"/>
    <w:rsid w:val="001F63F3"/>
    <w:rsid w:val="002005DA"/>
    <w:rsid w:val="00201E66"/>
    <w:rsid w:val="00202BB1"/>
    <w:rsid w:val="00203264"/>
    <w:rsid w:val="00203FC0"/>
    <w:rsid w:val="002041D5"/>
    <w:rsid w:val="0020426F"/>
    <w:rsid w:val="002056F0"/>
    <w:rsid w:val="00206499"/>
    <w:rsid w:val="00207DB8"/>
    <w:rsid w:val="00212AD9"/>
    <w:rsid w:val="00213422"/>
    <w:rsid w:val="00216738"/>
    <w:rsid w:val="00216CA3"/>
    <w:rsid w:val="00217B59"/>
    <w:rsid w:val="00223907"/>
    <w:rsid w:val="00224AC4"/>
    <w:rsid w:val="00224B54"/>
    <w:rsid w:val="00227446"/>
    <w:rsid w:val="00227F41"/>
    <w:rsid w:val="00230AE8"/>
    <w:rsid w:val="002328FA"/>
    <w:rsid w:val="00233C5D"/>
    <w:rsid w:val="00234C6B"/>
    <w:rsid w:val="00236349"/>
    <w:rsid w:val="0023760D"/>
    <w:rsid w:val="00237EF1"/>
    <w:rsid w:val="00241BF3"/>
    <w:rsid w:val="00241D1B"/>
    <w:rsid w:val="002434C7"/>
    <w:rsid w:val="002444B0"/>
    <w:rsid w:val="00244CF6"/>
    <w:rsid w:val="0024532E"/>
    <w:rsid w:val="002461DB"/>
    <w:rsid w:val="00251261"/>
    <w:rsid w:val="00251394"/>
    <w:rsid w:val="00251C1F"/>
    <w:rsid w:val="00252F2E"/>
    <w:rsid w:val="00253042"/>
    <w:rsid w:val="00253160"/>
    <w:rsid w:val="00253A5B"/>
    <w:rsid w:val="00254D71"/>
    <w:rsid w:val="002557A5"/>
    <w:rsid w:val="002576CA"/>
    <w:rsid w:val="00260C47"/>
    <w:rsid w:val="00261D4D"/>
    <w:rsid w:val="0026489D"/>
    <w:rsid w:val="00265E28"/>
    <w:rsid w:val="00267C56"/>
    <w:rsid w:val="0027050C"/>
    <w:rsid w:val="00271E66"/>
    <w:rsid w:val="002720C6"/>
    <w:rsid w:val="00272736"/>
    <w:rsid w:val="002732D5"/>
    <w:rsid w:val="0027475A"/>
    <w:rsid w:val="00275D0D"/>
    <w:rsid w:val="00276BC7"/>
    <w:rsid w:val="00276EFA"/>
    <w:rsid w:val="00280A94"/>
    <w:rsid w:val="002821A0"/>
    <w:rsid w:val="00286195"/>
    <w:rsid w:val="00286D7F"/>
    <w:rsid w:val="00290ABD"/>
    <w:rsid w:val="0029150E"/>
    <w:rsid w:val="002916B4"/>
    <w:rsid w:val="00291D8C"/>
    <w:rsid w:val="0029318A"/>
    <w:rsid w:val="00293B20"/>
    <w:rsid w:val="00295B93"/>
    <w:rsid w:val="002A40B7"/>
    <w:rsid w:val="002A422D"/>
    <w:rsid w:val="002A454E"/>
    <w:rsid w:val="002B0408"/>
    <w:rsid w:val="002B2A53"/>
    <w:rsid w:val="002B6825"/>
    <w:rsid w:val="002B7265"/>
    <w:rsid w:val="002C0333"/>
    <w:rsid w:val="002C6BA7"/>
    <w:rsid w:val="002C7BE7"/>
    <w:rsid w:val="002D221F"/>
    <w:rsid w:val="002D3491"/>
    <w:rsid w:val="002D4A2C"/>
    <w:rsid w:val="002D7D30"/>
    <w:rsid w:val="002E05A5"/>
    <w:rsid w:val="002E1290"/>
    <w:rsid w:val="002E2158"/>
    <w:rsid w:val="002E2955"/>
    <w:rsid w:val="002E2D0C"/>
    <w:rsid w:val="002E3D26"/>
    <w:rsid w:val="002E414A"/>
    <w:rsid w:val="002E7763"/>
    <w:rsid w:val="002F0593"/>
    <w:rsid w:val="002F240C"/>
    <w:rsid w:val="002F249F"/>
    <w:rsid w:val="002F38B6"/>
    <w:rsid w:val="002F50FA"/>
    <w:rsid w:val="003023A0"/>
    <w:rsid w:val="003024FD"/>
    <w:rsid w:val="003045DC"/>
    <w:rsid w:val="0031014A"/>
    <w:rsid w:val="00312894"/>
    <w:rsid w:val="0031516C"/>
    <w:rsid w:val="00317759"/>
    <w:rsid w:val="003234B2"/>
    <w:rsid w:val="00323798"/>
    <w:rsid w:val="00323AF5"/>
    <w:rsid w:val="003248C1"/>
    <w:rsid w:val="00327CBC"/>
    <w:rsid w:val="00330249"/>
    <w:rsid w:val="00333AFC"/>
    <w:rsid w:val="00333BDF"/>
    <w:rsid w:val="00337211"/>
    <w:rsid w:val="003372F8"/>
    <w:rsid w:val="003428BE"/>
    <w:rsid w:val="003432ED"/>
    <w:rsid w:val="00343BE7"/>
    <w:rsid w:val="0034546D"/>
    <w:rsid w:val="00345981"/>
    <w:rsid w:val="003475AE"/>
    <w:rsid w:val="00350912"/>
    <w:rsid w:val="00351E0A"/>
    <w:rsid w:val="003526EC"/>
    <w:rsid w:val="00357246"/>
    <w:rsid w:val="003576AF"/>
    <w:rsid w:val="00361825"/>
    <w:rsid w:val="0036224E"/>
    <w:rsid w:val="003631B3"/>
    <w:rsid w:val="00366F62"/>
    <w:rsid w:val="00367EB9"/>
    <w:rsid w:val="00371253"/>
    <w:rsid w:val="00371A60"/>
    <w:rsid w:val="0037227B"/>
    <w:rsid w:val="0037249F"/>
    <w:rsid w:val="00375BAA"/>
    <w:rsid w:val="003770B7"/>
    <w:rsid w:val="00380D98"/>
    <w:rsid w:val="0038179A"/>
    <w:rsid w:val="003818E5"/>
    <w:rsid w:val="003830C3"/>
    <w:rsid w:val="00385FE1"/>
    <w:rsid w:val="0038770D"/>
    <w:rsid w:val="00390374"/>
    <w:rsid w:val="003926A0"/>
    <w:rsid w:val="00393F1D"/>
    <w:rsid w:val="0039431A"/>
    <w:rsid w:val="00395B03"/>
    <w:rsid w:val="003A1A44"/>
    <w:rsid w:val="003A2095"/>
    <w:rsid w:val="003A2F0D"/>
    <w:rsid w:val="003A5470"/>
    <w:rsid w:val="003A57C3"/>
    <w:rsid w:val="003A7BC6"/>
    <w:rsid w:val="003B09B6"/>
    <w:rsid w:val="003B187F"/>
    <w:rsid w:val="003B29B6"/>
    <w:rsid w:val="003B38F8"/>
    <w:rsid w:val="003B6598"/>
    <w:rsid w:val="003B7214"/>
    <w:rsid w:val="003C2283"/>
    <w:rsid w:val="003C2F46"/>
    <w:rsid w:val="003C34F6"/>
    <w:rsid w:val="003C42F1"/>
    <w:rsid w:val="003C4B1D"/>
    <w:rsid w:val="003C5534"/>
    <w:rsid w:val="003D06DC"/>
    <w:rsid w:val="003D164B"/>
    <w:rsid w:val="003D2B70"/>
    <w:rsid w:val="003D479D"/>
    <w:rsid w:val="003D4949"/>
    <w:rsid w:val="003E0C9B"/>
    <w:rsid w:val="003E4689"/>
    <w:rsid w:val="003E4AA6"/>
    <w:rsid w:val="003F1DDF"/>
    <w:rsid w:val="003F2777"/>
    <w:rsid w:val="00400A5D"/>
    <w:rsid w:val="0040165F"/>
    <w:rsid w:val="00402886"/>
    <w:rsid w:val="00404D1A"/>
    <w:rsid w:val="004160E1"/>
    <w:rsid w:val="00416256"/>
    <w:rsid w:val="004172A8"/>
    <w:rsid w:val="00420A75"/>
    <w:rsid w:val="0042313D"/>
    <w:rsid w:val="00423AFF"/>
    <w:rsid w:val="00426B19"/>
    <w:rsid w:val="00430285"/>
    <w:rsid w:val="0043202D"/>
    <w:rsid w:val="00432170"/>
    <w:rsid w:val="00434DA1"/>
    <w:rsid w:val="00436DFA"/>
    <w:rsid w:val="00440B41"/>
    <w:rsid w:val="00441AF8"/>
    <w:rsid w:val="0044485E"/>
    <w:rsid w:val="00445643"/>
    <w:rsid w:val="00446B82"/>
    <w:rsid w:val="0044795A"/>
    <w:rsid w:val="00450BB3"/>
    <w:rsid w:val="00451ABD"/>
    <w:rsid w:val="00452DEB"/>
    <w:rsid w:val="004533B5"/>
    <w:rsid w:val="00457ACA"/>
    <w:rsid w:val="004603CE"/>
    <w:rsid w:val="00461A3E"/>
    <w:rsid w:val="00461E2F"/>
    <w:rsid w:val="0046464E"/>
    <w:rsid w:val="004703E2"/>
    <w:rsid w:val="004731A1"/>
    <w:rsid w:val="004768DF"/>
    <w:rsid w:val="00481AC4"/>
    <w:rsid w:val="00482E72"/>
    <w:rsid w:val="004839C7"/>
    <w:rsid w:val="00483A9E"/>
    <w:rsid w:val="00483BF4"/>
    <w:rsid w:val="00484EEF"/>
    <w:rsid w:val="004853F7"/>
    <w:rsid w:val="00485827"/>
    <w:rsid w:val="00485E81"/>
    <w:rsid w:val="00486193"/>
    <w:rsid w:val="0048727D"/>
    <w:rsid w:val="00493E97"/>
    <w:rsid w:val="00497C21"/>
    <w:rsid w:val="004A05D6"/>
    <w:rsid w:val="004A1733"/>
    <w:rsid w:val="004A3576"/>
    <w:rsid w:val="004A4FF9"/>
    <w:rsid w:val="004A5B53"/>
    <w:rsid w:val="004B3240"/>
    <w:rsid w:val="004B34B1"/>
    <w:rsid w:val="004B4567"/>
    <w:rsid w:val="004B676B"/>
    <w:rsid w:val="004C052E"/>
    <w:rsid w:val="004C143F"/>
    <w:rsid w:val="004C25B7"/>
    <w:rsid w:val="004C2A33"/>
    <w:rsid w:val="004C4301"/>
    <w:rsid w:val="004C6812"/>
    <w:rsid w:val="004C6D00"/>
    <w:rsid w:val="004C76E9"/>
    <w:rsid w:val="004D0730"/>
    <w:rsid w:val="004D08C6"/>
    <w:rsid w:val="004D17E6"/>
    <w:rsid w:val="004D44F9"/>
    <w:rsid w:val="004D4E03"/>
    <w:rsid w:val="004D5ECE"/>
    <w:rsid w:val="004D6624"/>
    <w:rsid w:val="004D77D1"/>
    <w:rsid w:val="004D7DB4"/>
    <w:rsid w:val="004E42CA"/>
    <w:rsid w:val="004E560A"/>
    <w:rsid w:val="004E67CF"/>
    <w:rsid w:val="004F135F"/>
    <w:rsid w:val="004F25C9"/>
    <w:rsid w:val="004F4558"/>
    <w:rsid w:val="004F5985"/>
    <w:rsid w:val="004F6704"/>
    <w:rsid w:val="00501F1A"/>
    <w:rsid w:val="00504B7A"/>
    <w:rsid w:val="00505641"/>
    <w:rsid w:val="005071E1"/>
    <w:rsid w:val="00507893"/>
    <w:rsid w:val="00510013"/>
    <w:rsid w:val="00510BFD"/>
    <w:rsid w:val="00513CAA"/>
    <w:rsid w:val="00520B90"/>
    <w:rsid w:val="0052274F"/>
    <w:rsid w:val="00523BE6"/>
    <w:rsid w:val="00523E95"/>
    <w:rsid w:val="005246B5"/>
    <w:rsid w:val="00526772"/>
    <w:rsid w:val="00531538"/>
    <w:rsid w:val="00531864"/>
    <w:rsid w:val="00531BBE"/>
    <w:rsid w:val="00531FC2"/>
    <w:rsid w:val="00532795"/>
    <w:rsid w:val="00534F5F"/>
    <w:rsid w:val="005352AF"/>
    <w:rsid w:val="005355C6"/>
    <w:rsid w:val="005356E1"/>
    <w:rsid w:val="00535986"/>
    <w:rsid w:val="0053632B"/>
    <w:rsid w:val="00536589"/>
    <w:rsid w:val="00537E2B"/>
    <w:rsid w:val="00541017"/>
    <w:rsid w:val="00543BE4"/>
    <w:rsid w:val="005522ED"/>
    <w:rsid w:val="0055367B"/>
    <w:rsid w:val="00555474"/>
    <w:rsid w:val="0055614B"/>
    <w:rsid w:val="005567EE"/>
    <w:rsid w:val="0055687A"/>
    <w:rsid w:val="00564687"/>
    <w:rsid w:val="005662B2"/>
    <w:rsid w:val="005664E9"/>
    <w:rsid w:val="00570850"/>
    <w:rsid w:val="00570D3D"/>
    <w:rsid w:val="00570F79"/>
    <w:rsid w:val="0057306E"/>
    <w:rsid w:val="00573497"/>
    <w:rsid w:val="005750E6"/>
    <w:rsid w:val="005763FB"/>
    <w:rsid w:val="00576D6E"/>
    <w:rsid w:val="0057729F"/>
    <w:rsid w:val="005772CA"/>
    <w:rsid w:val="00577745"/>
    <w:rsid w:val="00581C5C"/>
    <w:rsid w:val="0058375B"/>
    <w:rsid w:val="00583AD9"/>
    <w:rsid w:val="00590B41"/>
    <w:rsid w:val="00592D26"/>
    <w:rsid w:val="00592E2C"/>
    <w:rsid w:val="00593452"/>
    <w:rsid w:val="00595997"/>
    <w:rsid w:val="005A225D"/>
    <w:rsid w:val="005A486F"/>
    <w:rsid w:val="005A4A46"/>
    <w:rsid w:val="005A6163"/>
    <w:rsid w:val="005A69E2"/>
    <w:rsid w:val="005A74C4"/>
    <w:rsid w:val="005B2711"/>
    <w:rsid w:val="005B36A5"/>
    <w:rsid w:val="005B435D"/>
    <w:rsid w:val="005B50F2"/>
    <w:rsid w:val="005B54EC"/>
    <w:rsid w:val="005B5C0E"/>
    <w:rsid w:val="005C02AD"/>
    <w:rsid w:val="005C0C17"/>
    <w:rsid w:val="005C23D7"/>
    <w:rsid w:val="005C467B"/>
    <w:rsid w:val="005C6CA0"/>
    <w:rsid w:val="005C754D"/>
    <w:rsid w:val="005D08F1"/>
    <w:rsid w:val="005D23EC"/>
    <w:rsid w:val="005D29F9"/>
    <w:rsid w:val="005D4FCB"/>
    <w:rsid w:val="005D6C2A"/>
    <w:rsid w:val="005E0804"/>
    <w:rsid w:val="005E3AFA"/>
    <w:rsid w:val="005E74C2"/>
    <w:rsid w:val="005F100A"/>
    <w:rsid w:val="005F2331"/>
    <w:rsid w:val="005F2F47"/>
    <w:rsid w:val="005F44ED"/>
    <w:rsid w:val="00603E92"/>
    <w:rsid w:val="00604765"/>
    <w:rsid w:val="0060487D"/>
    <w:rsid w:val="00604FEA"/>
    <w:rsid w:val="00605B35"/>
    <w:rsid w:val="00605BCD"/>
    <w:rsid w:val="00606294"/>
    <w:rsid w:val="00606473"/>
    <w:rsid w:val="006067E1"/>
    <w:rsid w:val="00606BA9"/>
    <w:rsid w:val="00607AC2"/>
    <w:rsid w:val="00607AD0"/>
    <w:rsid w:val="006120A6"/>
    <w:rsid w:val="0061653E"/>
    <w:rsid w:val="006174D8"/>
    <w:rsid w:val="00621E89"/>
    <w:rsid w:val="00623070"/>
    <w:rsid w:val="0062343F"/>
    <w:rsid w:val="00624199"/>
    <w:rsid w:val="00625DF4"/>
    <w:rsid w:val="00626594"/>
    <w:rsid w:val="00626C81"/>
    <w:rsid w:val="00630B8B"/>
    <w:rsid w:val="00632385"/>
    <w:rsid w:val="0063542C"/>
    <w:rsid w:val="00635687"/>
    <w:rsid w:val="006374A9"/>
    <w:rsid w:val="0064005A"/>
    <w:rsid w:val="00640658"/>
    <w:rsid w:val="0064252E"/>
    <w:rsid w:val="006425EF"/>
    <w:rsid w:val="006427D9"/>
    <w:rsid w:val="00642A68"/>
    <w:rsid w:val="00642D38"/>
    <w:rsid w:val="00643F86"/>
    <w:rsid w:val="00646A7F"/>
    <w:rsid w:val="0064765D"/>
    <w:rsid w:val="00650585"/>
    <w:rsid w:val="0065096C"/>
    <w:rsid w:val="00650A4D"/>
    <w:rsid w:val="0065170D"/>
    <w:rsid w:val="00651DD2"/>
    <w:rsid w:val="00652D15"/>
    <w:rsid w:val="00662907"/>
    <w:rsid w:val="006646A8"/>
    <w:rsid w:val="0066470D"/>
    <w:rsid w:val="00670287"/>
    <w:rsid w:val="00672A05"/>
    <w:rsid w:val="0067496E"/>
    <w:rsid w:val="00685EEF"/>
    <w:rsid w:val="0069118B"/>
    <w:rsid w:val="0069161B"/>
    <w:rsid w:val="0069259E"/>
    <w:rsid w:val="00693EC8"/>
    <w:rsid w:val="00696D71"/>
    <w:rsid w:val="006A283D"/>
    <w:rsid w:val="006A3248"/>
    <w:rsid w:val="006A3472"/>
    <w:rsid w:val="006A3488"/>
    <w:rsid w:val="006A42C2"/>
    <w:rsid w:val="006A4882"/>
    <w:rsid w:val="006A7CC9"/>
    <w:rsid w:val="006B252D"/>
    <w:rsid w:val="006B37FB"/>
    <w:rsid w:val="006B504D"/>
    <w:rsid w:val="006B7183"/>
    <w:rsid w:val="006B7A91"/>
    <w:rsid w:val="006C026C"/>
    <w:rsid w:val="006C15F6"/>
    <w:rsid w:val="006C17BB"/>
    <w:rsid w:val="006C2B18"/>
    <w:rsid w:val="006C3EB1"/>
    <w:rsid w:val="006C530B"/>
    <w:rsid w:val="006C7E58"/>
    <w:rsid w:val="006D0AD4"/>
    <w:rsid w:val="006D1E79"/>
    <w:rsid w:val="006D2F3C"/>
    <w:rsid w:val="006D3C02"/>
    <w:rsid w:val="006D3C6E"/>
    <w:rsid w:val="006D7055"/>
    <w:rsid w:val="006E13BC"/>
    <w:rsid w:val="006E3A20"/>
    <w:rsid w:val="006E48AD"/>
    <w:rsid w:val="006E72A4"/>
    <w:rsid w:val="006F19B2"/>
    <w:rsid w:val="006F320E"/>
    <w:rsid w:val="006F34C4"/>
    <w:rsid w:val="006F3BED"/>
    <w:rsid w:val="006F5BE4"/>
    <w:rsid w:val="00702ECE"/>
    <w:rsid w:val="00703B91"/>
    <w:rsid w:val="00704238"/>
    <w:rsid w:val="007049E9"/>
    <w:rsid w:val="00704EE9"/>
    <w:rsid w:val="00707592"/>
    <w:rsid w:val="00712BDD"/>
    <w:rsid w:val="00713725"/>
    <w:rsid w:val="0072144F"/>
    <w:rsid w:val="007215BA"/>
    <w:rsid w:val="0072186A"/>
    <w:rsid w:val="00722682"/>
    <w:rsid w:val="0072314E"/>
    <w:rsid w:val="00723B48"/>
    <w:rsid w:val="00724A69"/>
    <w:rsid w:val="00725B6B"/>
    <w:rsid w:val="00730DC0"/>
    <w:rsid w:val="0073409B"/>
    <w:rsid w:val="0073533D"/>
    <w:rsid w:val="007354A6"/>
    <w:rsid w:val="00736BC2"/>
    <w:rsid w:val="00740ABD"/>
    <w:rsid w:val="00740C86"/>
    <w:rsid w:val="00741454"/>
    <w:rsid w:val="00743B66"/>
    <w:rsid w:val="007446A6"/>
    <w:rsid w:val="00745662"/>
    <w:rsid w:val="00745F4A"/>
    <w:rsid w:val="00751970"/>
    <w:rsid w:val="00751E52"/>
    <w:rsid w:val="007574C3"/>
    <w:rsid w:val="00757F27"/>
    <w:rsid w:val="00760953"/>
    <w:rsid w:val="00760F40"/>
    <w:rsid w:val="00763B45"/>
    <w:rsid w:val="007644FE"/>
    <w:rsid w:val="00765119"/>
    <w:rsid w:val="00766020"/>
    <w:rsid w:val="0076630E"/>
    <w:rsid w:val="00773C71"/>
    <w:rsid w:val="00773DBF"/>
    <w:rsid w:val="00773E23"/>
    <w:rsid w:val="00773F67"/>
    <w:rsid w:val="007757FA"/>
    <w:rsid w:val="00777619"/>
    <w:rsid w:val="00780C50"/>
    <w:rsid w:val="007811EE"/>
    <w:rsid w:val="007828E8"/>
    <w:rsid w:val="00783257"/>
    <w:rsid w:val="0078335B"/>
    <w:rsid w:val="00783B30"/>
    <w:rsid w:val="00786CD7"/>
    <w:rsid w:val="007919D9"/>
    <w:rsid w:val="0079484A"/>
    <w:rsid w:val="00796670"/>
    <w:rsid w:val="007A06E6"/>
    <w:rsid w:val="007A144F"/>
    <w:rsid w:val="007A2176"/>
    <w:rsid w:val="007A3753"/>
    <w:rsid w:val="007A3841"/>
    <w:rsid w:val="007A5CCE"/>
    <w:rsid w:val="007A65C2"/>
    <w:rsid w:val="007B006A"/>
    <w:rsid w:val="007B082C"/>
    <w:rsid w:val="007B4512"/>
    <w:rsid w:val="007B45D7"/>
    <w:rsid w:val="007B532A"/>
    <w:rsid w:val="007B5943"/>
    <w:rsid w:val="007B64F5"/>
    <w:rsid w:val="007B68BA"/>
    <w:rsid w:val="007C32FE"/>
    <w:rsid w:val="007C45E4"/>
    <w:rsid w:val="007C4F39"/>
    <w:rsid w:val="007C5851"/>
    <w:rsid w:val="007D1527"/>
    <w:rsid w:val="007D23F1"/>
    <w:rsid w:val="007D3E80"/>
    <w:rsid w:val="007D3F6A"/>
    <w:rsid w:val="007D47BF"/>
    <w:rsid w:val="007D484C"/>
    <w:rsid w:val="007D554D"/>
    <w:rsid w:val="007E009C"/>
    <w:rsid w:val="007E26BF"/>
    <w:rsid w:val="007E4A57"/>
    <w:rsid w:val="007E76FC"/>
    <w:rsid w:val="007F3ECF"/>
    <w:rsid w:val="007F5787"/>
    <w:rsid w:val="007F72A4"/>
    <w:rsid w:val="0080066B"/>
    <w:rsid w:val="00802462"/>
    <w:rsid w:val="008029A2"/>
    <w:rsid w:val="00804D10"/>
    <w:rsid w:val="00806970"/>
    <w:rsid w:val="00807178"/>
    <w:rsid w:val="00807AD0"/>
    <w:rsid w:val="00811F42"/>
    <w:rsid w:val="00812A35"/>
    <w:rsid w:val="00812C16"/>
    <w:rsid w:val="00813BF2"/>
    <w:rsid w:val="0081782F"/>
    <w:rsid w:val="00821985"/>
    <w:rsid w:val="00822BFE"/>
    <w:rsid w:val="00822C26"/>
    <w:rsid w:val="00825581"/>
    <w:rsid w:val="008308D4"/>
    <w:rsid w:val="00831234"/>
    <w:rsid w:val="008344B0"/>
    <w:rsid w:val="00836D81"/>
    <w:rsid w:val="0084000F"/>
    <w:rsid w:val="00847F5B"/>
    <w:rsid w:val="008540F3"/>
    <w:rsid w:val="008556A4"/>
    <w:rsid w:val="008561E0"/>
    <w:rsid w:val="00857E9D"/>
    <w:rsid w:val="00863DE1"/>
    <w:rsid w:val="0086418C"/>
    <w:rsid w:val="00865454"/>
    <w:rsid w:val="00865533"/>
    <w:rsid w:val="00865BDC"/>
    <w:rsid w:val="008678BF"/>
    <w:rsid w:val="008705EE"/>
    <w:rsid w:val="0087198E"/>
    <w:rsid w:val="00872958"/>
    <w:rsid w:val="0087437D"/>
    <w:rsid w:val="00876D38"/>
    <w:rsid w:val="00881270"/>
    <w:rsid w:val="0088271A"/>
    <w:rsid w:val="008829FF"/>
    <w:rsid w:val="00887C0A"/>
    <w:rsid w:val="00893A6F"/>
    <w:rsid w:val="00893EA0"/>
    <w:rsid w:val="008950DD"/>
    <w:rsid w:val="00895579"/>
    <w:rsid w:val="00897076"/>
    <w:rsid w:val="008A30AB"/>
    <w:rsid w:val="008A36AF"/>
    <w:rsid w:val="008A4001"/>
    <w:rsid w:val="008A5802"/>
    <w:rsid w:val="008A6D10"/>
    <w:rsid w:val="008A748B"/>
    <w:rsid w:val="008B0F71"/>
    <w:rsid w:val="008B51D1"/>
    <w:rsid w:val="008B537E"/>
    <w:rsid w:val="008B5517"/>
    <w:rsid w:val="008B5A52"/>
    <w:rsid w:val="008C0C4D"/>
    <w:rsid w:val="008C4916"/>
    <w:rsid w:val="008C4B8B"/>
    <w:rsid w:val="008C4F5C"/>
    <w:rsid w:val="008C7184"/>
    <w:rsid w:val="008D1E9F"/>
    <w:rsid w:val="008D3796"/>
    <w:rsid w:val="008D4FBA"/>
    <w:rsid w:val="008D6949"/>
    <w:rsid w:val="008E0010"/>
    <w:rsid w:val="008E3C7F"/>
    <w:rsid w:val="008E55C5"/>
    <w:rsid w:val="008E7398"/>
    <w:rsid w:val="008F56EF"/>
    <w:rsid w:val="008F5879"/>
    <w:rsid w:val="00902D2C"/>
    <w:rsid w:val="00903681"/>
    <w:rsid w:val="0090411D"/>
    <w:rsid w:val="009059AB"/>
    <w:rsid w:val="0091001E"/>
    <w:rsid w:val="0091295A"/>
    <w:rsid w:val="00916EE0"/>
    <w:rsid w:val="009178E0"/>
    <w:rsid w:val="009207A0"/>
    <w:rsid w:val="00921E81"/>
    <w:rsid w:val="00923E87"/>
    <w:rsid w:val="00924688"/>
    <w:rsid w:val="009248F8"/>
    <w:rsid w:val="00926993"/>
    <w:rsid w:val="009334BA"/>
    <w:rsid w:val="00934773"/>
    <w:rsid w:val="0093655D"/>
    <w:rsid w:val="009366C6"/>
    <w:rsid w:val="00936C4E"/>
    <w:rsid w:val="00936CE8"/>
    <w:rsid w:val="00936EE7"/>
    <w:rsid w:val="0094069A"/>
    <w:rsid w:val="00941E48"/>
    <w:rsid w:val="00942394"/>
    <w:rsid w:val="0094511F"/>
    <w:rsid w:val="00945C92"/>
    <w:rsid w:val="00946411"/>
    <w:rsid w:val="00946B17"/>
    <w:rsid w:val="009508E1"/>
    <w:rsid w:val="00951384"/>
    <w:rsid w:val="00951759"/>
    <w:rsid w:val="00951C50"/>
    <w:rsid w:val="00954F5E"/>
    <w:rsid w:val="00955966"/>
    <w:rsid w:val="00955BCC"/>
    <w:rsid w:val="00962E35"/>
    <w:rsid w:val="00963E5E"/>
    <w:rsid w:val="00964217"/>
    <w:rsid w:val="009724D1"/>
    <w:rsid w:val="00972C16"/>
    <w:rsid w:val="0097325C"/>
    <w:rsid w:val="0097482D"/>
    <w:rsid w:val="0097585E"/>
    <w:rsid w:val="00976D89"/>
    <w:rsid w:val="009777DB"/>
    <w:rsid w:val="009810FA"/>
    <w:rsid w:val="00982162"/>
    <w:rsid w:val="00983145"/>
    <w:rsid w:val="00983216"/>
    <w:rsid w:val="00983C3B"/>
    <w:rsid w:val="00984F99"/>
    <w:rsid w:val="0099000D"/>
    <w:rsid w:val="00992ADD"/>
    <w:rsid w:val="00992F91"/>
    <w:rsid w:val="009932A3"/>
    <w:rsid w:val="00996470"/>
    <w:rsid w:val="00997204"/>
    <w:rsid w:val="0099796D"/>
    <w:rsid w:val="009A4086"/>
    <w:rsid w:val="009A5A43"/>
    <w:rsid w:val="009A6393"/>
    <w:rsid w:val="009B346C"/>
    <w:rsid w:val="009B3506"/>
    <w:rsid w:val="009B35F2"/>
    <w:rsid w:val="009B4456"/>
    <w:rsid w:val="009B5138"/>
    <w:rsid w:val="009B5BE4"/>
    <w:rsid w:val="009B5DF2"/>
    <w:rsid w:val="009B618A"/>
    <w:rsid w:val="009C140D"/>
    <w:rsid w:val="009C3FE7"/>
    <w:rsid w:val="009C60C7"/>
    <w:rsid w:val="009C6DD8"/>
    <w:rsid w:val="009D281E"/>
    <w:rsid w:val="009D468E"/>
    <w:rsid w:val="009D5FC7"/>
    <w:rsid w:val="009D6022"/>
    <w:rsid w:val="009E054F"/>
    <w:rsid w:val="009E0D36"/>
    <w:rsid w:val="009E11D6"/>
    <w:rsid w:val="009E2B3A"/>
    <w:rsid w:val="009E3924"/>
    <w:rsid w:val="009E4148"/>
    <w:rsid w:val="009E6240"/>
    <w:rsid w:val="009F0199"/>
    <w:rsid w:val="009F519D"/>
    <w:rsid w:val="009F54AF"/>
    <w:rsid w:val="009F7EE7"/>
    <w:rsid w:val="009F7F18"/>
    <w:rsid w:val="00A02C50"/>
    <w:rsid w:val="00A02EE7"/>
    <w:rsid w:val="00A04C5B"/>
    <w:rsid w:val="00A04CD7"/>
    <w:rsid w:val="00A11786"/>
    <w:rsid w:val="00A123C8"/>
    <w:rsid w:val="00A12BFF"/>
    <w:rsid w:val="00A14BFA"/>
    <w:rsid w:val="00A15FD0"/>
    <w:rsid w:val="00A20BEA"/>
    <w:rsid w:val="00A22931"/>
    <w:rsid w:val="00A24571"/>
    <w:rsid w:val="00A24B6F"/>
    <w:rsid w:val="00A25969"/>
    <w:rsid w:val="00A25AB0"/>
    <w:rsid w:val="00A26836"/>
    <w:rsid w:val="00A32296"/>
    <w:rsid w:val="00A3316F"/>
    <w:rsid w:val="00A33436"/>
    <w:rsid w:val="00A41786"/>
    <w:rsid w:val="00A41A42"/>
    <w:rsid w:val="00A41B52"/>
    <w:rsid w:val="00A43C81"/>
    <w:rsid w:val="00A45650"/>
    <w:rsid w:val="00A50751"/>
    <w:rsid w:val="00A510FA"/>
    <w:rsid w:val="00A5718F"/>
    <w:rsid w:val="00A613B0"/>
    <w:rsid w:val="00A619B6"/>
    <w:rsid w:val="00A635AE"/>
    <w:rsid w:val="00A63A70"/>
    <w:rsid w:val="00A7299E"/>
    <w:rsid w:val="00A74137"/>
    <w:rsid w:val="00A7432B"/>
    <w:rsid w:val="00A74533"/>
    <w:rsid w:val="00A8176C"/>
    <w:rsid w:val="00A81F07"/>
    <w:rsid w:val="00A85A0A"/>
    <w:rsid w:val="00AA590C"/>
    <w:rsid w:val="00AB0AB3"/>
    <w:rsid w:val="00AB4325"/>
    <w:rsid w:val="00AB4675"/>
    <w:rsid w:val="00AB7489"/>
    <w:rsid w:val="00AB7E58"/>
    <w:rsid w:val="00AC143D"/>
    <w:rsid w:val="00AD2BDD"/>
    <w:rsid w:val="00AD396E"/>
    <w:rsid w:val="00AD409F"/>
    <w:rsid w:val="00AD44D8"/>
    <w:rsid w:val="00AD4E47"/>
    <w:rsid w:val="00AD52F2"/>
    <w:rsid w:val="00AD5D68"/>
    <w:rsid w:val="00AD5DAB"/>
    <w:rsid w:val="00AD7E7F"/>
    <w:rsid w:val="00AE669B"/>
    <w:rsid w:val="00AF26D5"/>
    <w:rsid w:val="00AF4C51"/>
    <w:rsid w:val="00AF64A8"/>
    <w:rsid w:val="00AF768B"/>
    <w:rsid w:val="00B007AE"/>
    <w:rsid w:val="00B01902"/>
    <w:rsid w:val="00B021E3"/>
    <w:rsid w:val="00B03860"/>
    <w:rsid w:val="00B054CB"/>
    <w:rsid w:val="00B05614"/>
    <w:rsid w:val="00B06774"/>
    <w:rsid w:val="00B10E08"/>
    <w:rsid w:val="00B12507"/>
    <w:rsid w:val="00B155CD"/>
    <w:rsid w:val="00B15FAC"/>
    <w:rsid w:val="00B160D8"/>
    <w:rsid w:val="00B164A2"/>
    <w:rsid w:val="00B16765"/>
    <w:rsid w:val="00B20018"/>
    <w:rsid w:val="00B20153"/>
    <w:rsid w:val="00B24A02"/>
    <w:rsid w:val="00B254D3"/>
    <w:rsid w:val="00B317C0"/>
    <w:rsid w:val="00B31B07"/>
    <w:rsid w:val="00B333E4"/>
    <w:rsid w:val="00B33E82"/>
    <w:rsid w:val="00B34E28"/>
    <w:rsid w:val="00B350CF"/>
    <w:rsid w:val="00B401BD"/>
    <w:rsid w:val="00B40360"/>
    <w:rsid w:val="00B41202"/>
    <w:rsid w:val="00B42792"/>
    <w:rsid w:val="00B4402E"/>
    <w:rsid w:val="00B443F5"/>
    <w:rsid w:val="00B447E4"/>
    <w:rsid w:val="00B44F57"/>
    <w:rsid w:val="00B46D94"/>
    <w:rsid w:val="00B50883"/>
    <w:rsid w:val="00B50894"/>
    <w:rsid w:val="00B51CA1"/>
    <w:rsid w:val="00B53A89"/>
    <w:rsid w:val="00B55489"/>
    <w:rsid w:val="00B56462"/>
    <w:rsid w:val="00B60B9D"/>
    <w:rsid w:val="00B61C52"/>
    <w:rsid w:val="00B633E0"/>
    <w:rsid w:val="00B65C0C"/>
    <w:rsid w:val="00B66ADB"/>
    <w:rsid w:val="00B679C4"/>
    <w:rsid w:val="00B70235"/>
    <w:rsid w:val="00B737E4"/>
    <w:rsid w:val="00B73A30"/>
    <w:rsid w:val="00B73DD6"/>
    <w:rsid w:val="00B75633"/>
    <w:rsid w:val="00B76728"/>
    <w:rsid w:val="00B7741A"/>
    <w:rsid w:val="00B77DDD"/>
    <w:rsid w:val="00B81447"/>
    <w:rsid w:val="00B814AA"/>
    <w:rsid w:val="00B81AEB"/>
    <w:rsid w:val="00B8238A"/>
    <w:rsid w:val="00B85A1A"/>
    <w:rsid w:val="00B85C70"/>
    <w:rsid w:val="00B865A1"/>
    <w:rsid w:val="00B86A90"/>
    <w:rsid w:val="00B92444"/>
    <w:rsid w:val="00B93D31"/>
    <w:rsid w:val="00B949BC"/>
    <w:rsid w:val="00B973BF"/>
    <w:rsid w:val="00BA1912"/>
    <w:rsid w:val="00BA201C"/>
    <w:rsid w:val="00BA6E10"/>
    <w:rsid w:val="00BA783B"/>
    <w:rsid w:val="00BA7EBB"/>
    <w:rsid w:val="00BB00FC"/>
    <w:rsid w:val="00BB28B1"/>
    <w:rsid w:val="00BB482B"/>
    <w:rsid w:val="00BB4985"/>
    <w:rsid w:val="00BB5977"/>
    <w:rsid w:val="00BC18A6"/>
    <w:rsid w:val="00BC32CF"/>
    <w:rsid w:val="00BC6626"/>
    <w:rsid w:val="00BD2694"/>
    <w:rsid w:val="00BD37B5"/>
    <w:rsid w:val="00BD5CCE"/>
    <w:rsid w:val="00BD5E9C"/>
    <w:rsid w:val="00BE171C"/>
    <w:rsid w:val="00BE258E"/>
    <w:rsid w:val="00BE267F"/>
    <w:rsid w:val="00BE33DA"/>
    <w:rsid w:val="00BE4270"/>
    <w:rsid w:val="00BE526B"/>
    <w:rsid w:val="00BF23E3"/>
    <w:rsid w:val="00BF2C72"/>
    <w:rsid w:val="00BF4DF6"/>
    <w:rsid w:val="00BF5AB5"/>
    <w:rsid w:val="00BF70DB"/>
    <w:rsid w:val="00BF7810"/>
    <w:rsid w:val="00BF7E79"/>
    <w:rsid w:val="00C007C0"/>
    <w:rsid w:val="00C044DE"/>
    <w:rsid w:val="00C061FC"/>
    <w:rsid w:val="00C1104A"/>
    <w:rsid w:val="00C11550"/>
    <w:rsid w:val="00C11A80"/>
    <w:rsid w:val="00C131A1"/>
    <w:rsid w:val="00C14238"/>
    <w:rsid w:val="00C148D4"/>
    <w:rsid w:val="00C14F88"/>
    <w:rsid w:val="00C16BD8"/>
    <w:rsid w:val="00C208D3"/>
    <w:rsid w:val="00C2140C"/>
    <w:rsid w:val="00C23120"/>
    <w:rsid w:val="00C2619B"/>
    <w:rsid w:val="00C2651C"/>
    <w:rsid w:val="00C30DA5"/>
    <w:rsid w:val="00C316FD"/>
    <w:rsid w:val="00C31890"/>
    <w:rsid w:val="00C3548B"/>
    <w:rsid w:val="00C35493"/>
    <w:rsid w:val="00C35E2E"/>
    <w:rsid w:val="00C363F0"/>
    <w:rsid w:val="00C411E5"/>
    <w:rsid w:val="00C42500"/>
    <w:rsid w:val="00C45883"/>
    <w:rsid w:val="00C46E69"/>
    <w:rsid w:val="00C500BC"/>
    <w:rsid w:val="00C528D6"/>
    <w:rsid w:val="00C53884"/>
    <w:rsid w:val="00C54487"/>
    <w:rsid w:val="00C56EA6"/>
    <w:rsid w:val="00C57776"/>
    <w:rsid w:val="00C61127"/>
    <w:rsid w:val="00C623C1"/>
    <w:rsid w:val="00C6254D"/>
    <w:rsid w:val="00C67635"/>
    <w:rsid w:val="00C74A34"/>
    <w:rsid w:val="00C75AEE"/>
    <w:rsid w:val="00C75BDC"/>
    <w:rsid w:val="00C82266"/>
    <w:rsid w:val="00C82DE3"/>
    <w:rsid w:val="00C832BE"/>
    <w:rsid w:val="00C86726"/>
    <w:rsid w:val="00C86750"/>
    <w:rsid w:val="00C91749"/>
    <w:rsid w:val="00C93B55"/>
    <w:rsid w:val="00C95126"/>
    <w:rsid w:val="00C95E5E"/>
    <w:rsid w:val="00CA00D4"/>
    <w:rsid w:val="00CA079F"/>
    <w:rsid w:val="00CA0933"/>
    <w:rsid w:val="00CA14CE"/>
    <w:rsid w:val="00CA1FC7"/>
    <w:rsid w:val="00CA39FE"/>
    <w:rsid w:val="00CA4D1D"/>
    <w:rsid w:val="00CA63C9"/>
    <w:rsid w:val="00CA68BD"/>
    <w:rsid w:val="00CA77C4"/>
    <w:rsid w:val="00CB0EC8"/>
    <w:rsid w:val="00CB3BCD"/>
    <w:rsid w:val="00CB5567"/>
    <w:rsid w:val="00CB57AD"/>
    <w:rsid w:val="00CB612B"/>
    <w:rsid w:val="00CB6929"/>
    <w:rsid w:val="00CB69F3"/>
    <w:rsid w:val="00CB6FFC"/>
    <w:rsid w:val="00CB7B6E"/>
    <w:rsid w:val="00CC4B0E"/>
    <w:rsid w:val="00CC7B48"/>
    <w:rsid w:val="00CC7B66"/>
    <w:rsid w:val="00CD222C"/>
    <w:rsid w:val="00CD4487"/>
    <w:rsid w:val="00CD7114"/>
    <w:rsid w:val="00CD74F6"/>
    <w:rsid w:val="00CD7753"/>
    <w:rsid w:val="00CD7B07"/>
    <w:rsid w:val="00CE049F"/>
    <w:rsid w:val="00CE0892"/>
    <w:rsid w:val="00CE707B"/>
    <w:rsid w:val="00CF0141"/>
    <w:rsid w:val="00CF01EA"/>
    <w:rsid w:val="00CF3CC9"/>
    <w:rsid w:val="00CF475D"/>
    <w:rsid w:val="00CF71E4"/>
    <w:rsid w:val="00D04DA5"/>
    <w:rsid w:val="00D11DEC"/>
    <w:rsid w:val="00D14388"/>
    <w:rsid w:val="00D162EA"/>
    <w:rsid w:val="00D171BA"/>
    <w:rsid w:val="00D17BCC"/>
    <w:rsid w:val="00D207F9"/>
    <w:rsid w:val="00D20A90"/>
    <w:rsid w:val="00D20F8D"/>
    <w:rsid w:val="00D21C23"/>
    <w:rsid w:val="00D2200B"/>
    <w:rsid w:val="00D22441"/>
    <w:rsid w:val="00D232B2"/>
    <w:rsid w:val="00D25264"/>
    <w:rsid w:val="00D25815"/>
    <w:rsid w:val="00D31B8B"/>
    <w:rsid w:val="00D34141"/>
    <w:rsid w:val="00D34657"/>
    <w:rsid w:val="00D41038"/>
    <w:rsid w:val="00D41E68"/>
    <w:rsid w:val="00D4487E"/>
    <w:rsid w:val="00D4575C"/>
    <w:rsid w:val="00D50C95"/>
    <w:rsid w:val="00D51375"/>
    <w:rsid w:val="00D514D1"/>
    <w:rsid w:val="00D52DA1"/>
    <w:rsid w:val="00D532D9"/>
    <w:rsid w:val="00D55847"/>
    <w:rsid w:val="00D5649E"/>
    <w:rsid w:val="00D60D34"/>
    <w:rsid w:val="00D613D7"/>
    <w:rsid w:val="00D616F5"/>
    <w:rsid w:val="00D61ABA"/>
    <w:rsid w:val="00D6428A"/>
    <w:rsid w:val="00D644BF"/>
    <w:rsid w:val="00D64A4F"/>
    <w:rsid w:val="00D64A82"/>
    <w:rsid w:val="00D66244"/>
    <w:rsid w:val="00D66C84"/>
    <w:rsid w:val="00D70044"/>
    <w:rsid w:val="00D70325"/>
    <w:rsid w:val="00D714A0"/>
    <w:rsid w:val="00D73FCF"/>
    <w:rsid w:val="00D75030"/>
    <w:rsid w:val="00D81B41"/>
    <w:rsid w:val="00D84A88"/>
    <w:rsid w:val="00D85167"/>
    <w:rsid w:val="00D86FF6"/>
    <w:rsid w:val="00D92210"/>
    <w:rsid w:val="00D92BF5"/>
    <w:rsid w:val="00D93674"/>
    <w:rsid w:val="00D948B3"/>
    <w:rsid w:val="00D95AFF"/>
    <w:rsid w:val="00D96E3E"/>
    <w:rsid w:val="00D9750D"/>
    <w:rsid w:val="00DA041D"/>
    <w:rsid w:val="00DA0669"/>
    <w:rsid w:val="00DA08CA"/>
    <w:rsid w:val="00DA725B"/>
    <w:rsid w:val="00DB5E66"/>
    <w:rsid w:val="00DB619B"/>
    <w:rsid w:val="00DB7031"/>
    <w:rsid w:val="00DB766A"/>
    <w:rsid w:val="00DC0AF2"/>
    <w:rsid w:val="00DC145E"/>
    <w:rsid w:val="00DC3562"/>
    <w:rsid w:val="00DC52D7"/>
    <w:rsid w:val="00DC61D8"/>
    <w:rsid w:val="00DC7B12"/>
    <w:rsid w:val="00DD2FFD"/>
    <w:rsid w:val="00DD3462"/>
    <w:rsid w:val="00DD4B89"/>
    <w:rsid w:val="00DE1E21"/>
    <w:rsid w:val="00DE28D6"/>
    <w:rsid w:val="00DE5180"/>
    <w:rsid w:val="00DE59B5"/>
    <w:rsid w:val="00DF1082"/>
    <w:rsid w:val="00DF2EAE"/>
    <w:rsid w:val="00DF441A"/>
    <w:rsid w:val="00DF6D67"/>
    <w:rsid w:val="00DF6DA1"/>
    <w:rsid w:val="00DF755F"/>
    <w:rsid w:val="00DF77D6"/>
    <w:rsid w:val="00E00C19"/>
    <w:rsid w:val="00E013CB"/>
    <w:rsid w:val="00E03C99"/>
    <w:rsid w:val="00E03FB3"/>
    <w:rsid w:val="00E044D8"/>
    <w:rsid w:val="00E0724F"/>
    <w:rsid w:val="00E107C3"/>
    <w:rsid w:val="00E11402"/>
    <w:rsid w:val="00E119D5"/>
    <w:rsid w:val="00E12115"/>
    <w:rsid w:val="00E126FB"/>
    <w:rsid w:val="00E174E3"/>
    <w:rsid w:val="00E258A4"/>
    <w:rsid w:val="00E2621A"/>
    <w:rsid w:val="00E26976"/>
    <w:rsid w:val="00E2758A"/>
    <w:rsid w:val="00E322A4"/>
    <w:rsid w:val="00E3397F"/>
    <w:rsid w:val="00E33D05"/>
    <w:rsid w:val="00E342E1"/>
    <w:rsid w:val="00E36914"/>
    <w:rsid w:val="00E41CAC"/>
    <w:rsid w:val="00E44449"/>
    <w:rsid w:val="00E44ED3"/>
    <w:rsid w:val="00E45B63"/>
    <w:rsid w:val="00E466D6"/>
    <w:rsid w:val="00E47470"/>
    <w:rsid w:val="00E47504"/>
    <w:rsid w:val="00E47EFA"/>
    <w:rsid w:val="00E47FB8"/>
    <w:rsid w:val="00E50FC2"/>
    <w:rsid w:val="00E53604"/>
    <w:rsid w:val="00E56872"/>
    <w:rsid w:val="00E608F9"/>
    <w:rsid w:val="00E61CFE"/>
    <w:rsid w:val="00E63D0D"/>
    <w:rsid w:val="00E6513D"/>
    <w:rsid w:val="00E706C8"/>
    <w:rsid w:val="00E74A27"/>
    <w:rsid w:val="00E76BEB"/>
    <w:rsid w:val="00E76EE4"/>
    <w:rsid w:val="00E8168A"/>
    <w:rsid w:val="00E91973"/>
    <w:rsid w:val="00E91C77"/>
    <w:rsid w:val="00E92682"/>
    <w:rsid w:val="00E967C9"/>
    <w:rsid w:val="00EA212B"/>
    <w:rsid w:val="00EA2390"/>
    <w:rsid w:val="00EA37A4"/>
    <w:rsid w:val="00EA4887"/>
    <w:rsid w:val="00EA4CB3"/>
    <w:rsid w:val="00EA54E0"/>
    <w:rsid w:val="00EA57AF"/>
    <w:rsid w:val="00EA72E3"/>
    <w:rsid w:val="00EB00B8"/>
    <w:rsid w:val="00EB3650"/>
    <w:rsid w:val="00EB6F94"/>
    <w:rsid w:val="00EB7077"/>
    <w:rsid w:val="00EC1CA1"/>
    <w:rsid w:val="00EC22DC"/>
    <w:rsid w:val="00EC2660"/>
    <w:rsid w:val="00EC5C82"/>
    <w:rsid w:val="00EC6113"/>
    <w:rsid w:val="00EC7BEA"/>
    <w:rsid w:val="00ED0A38"/>
    <w:rsid w:val="00ED1A61"/>
    <w:rsid w:val="00ED1E2C"/>
    <w:rsid w:val="00ED23C8"/>
    <w:rsid w:val="00ED266F"/>
    <w:rsid w:val="00ED35C5"/>
    <w:rsid w:val="00ED5BAA"/>
    <w:rsid w:val="00ED6F5C"/>
    <w:rsid w:val="00ED7083"/>
    <w:rsid w:val="00EE0664"/>
    <w:rsid w:val="00EE16BF"/>
    <w:rsid w:val="00EF126C"/>
    <w:rsid w:val="00EF1FD2"/>
    <w:rsid w:val="00EF2FE3"/>
    <w:rsid w:val="00EF429C"/>
    <w:rsid w:val="00EF445E"/>
    <w:rsid w:val="00EF4C0A"/>
    <w:rsid w:val="00EF6B4B"/>
    <w:rsid w:val="00F004C3"/>
    <w:rsid w:val="00F019E5"/>
    <w:rsid w:val="00F01DEE"/>
    <w:rsid w:val="00F02306"/>
    <w:rsid w:val="00F02D83"/>
    <w:rsid w:val="00F02DD8"/>
    <w:rsid w:val="00F02DF0"/>
    <w:rsid w:val="00F03DA6"/>
    <w:rsid w:val="00F04BEA"/>
    <w:rsid w:val="00F059DC"/>
    <w:rsid w:val="00F079F3"/>
    <w:rsid w:val="00F139E4"/>
    <w:rsid w:val="00F153F4"/>
    <w:rsid w:val="00F17A0C"/>
    <w:rsid w:val="00F20541"/>
    <w:rsid w:val="00F208F6"/>
    <w:rsid w:val="00F251D7"/>
    <w:rsid w:val="00F256BA"/>
    <w:rsid w:val="00F2591F"/>
    <w:rsid w:val="00F33A40"/>
    <w:rsid w:val="00F36E22"/>
    <w:rsid w:val="00F37007"/>
    <w:rsid w:val="00F5285E"/>
    <w:rsid w:val="00F52A6A"/>
    <w:rsid w:val="00F5475D"/>
    <w:rsid w:val="00F56A6E"/>
    <w:rsid w:val="00F574A0"/>
    <w:rsid w:val="00F60769"/>
    <w:rsid w:val="00F614ED"/>
    <w:rsid w:val="00F65E15"/>
    <w:rsid w:val="00F66DD8"/>
    <w:rsid w:val="00F67316"/>
    <w:rsid w:val="00F67F70"/>
    <w:rsid w:val="00F70026"/>
    <w:rsid w:val="00F74FBA"/>
    <w:rsid w:val="00F7543D"/>
    <w:rsid w:val="00F75C0C"/>
    <w:rsid w:val="00F812B5"/>
    <w:rsid w:val="00F81BA3"/>
    <w:rsid w:val="00F82111"/>
    <w:rsid w:val="00F83D5E"/>
    <w:rsid w:val="00F91E72"/>
    <w:rsid w:val="00F922A8"/>
    <w:rsid w:val="00F97495"/>
    <w:rsid w:val="00FA06E9"/>
    <w:rsid w:val="00FA1759"/>
    <w:rsid w:val="00FA1F92"/>
    <w:rsid w:val="00FA3E8A"/>
    <w:rsid w:val="00FB0BAB"/>
    <w:rsid w:val="00FB1F34"/>
    <w:rsid w:val="00FB334E"/>
    <w:rsid w:val="00FB44A0"/>
    <w:rsid w:val="00FB4D85"/>
    <w:rsid w:val="00FB59D7"/>
    <w:rsid w:val="00FB6947"/>
    <w:rsid w:val="00FB776C"/>
    <w:rsid w:val="00FC332E"/>
    <w:rsid w:val="00FC3DAA"/>
    <w:rsid w:val="00FC5951"/>
    <w:rsid w:val="00FC5FE0"/>
    <w:rsid w:val="00FC64D7"/>
    <w:rsid w:val="00FC7B7D"/>
    <w:rsid w:val="00FD3F59"/>
    <w:rsid w:val="00FD5403"/>
    <w:rsid w:val="00FD7268"/>
    <w:rsid w:val="00FE3544"/>
    <w:rsid w:val="00FE4810"/>
    <w:rsid w:val="00FE5DBF"/>
    <w:rsid w:val="00FE6078"/>
    <w:rsid w:val="00FE654F"/>
    <w:rsid w:val="00FE7432"/>
    <w:rsid w:val="00FF0CD7"/>
    <w:rsid w:val="00FF16D4"/>
    <w:rsid w:val="00FF31FF"/>
    <w:rsid w:val="00FF5065"/>
    <w:rsid w:val="00FF6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5f1"/>
    </o:shapedefaults>
    <o:shapelayout v:ext="edit">
      <o:idmap v:ext="edit" data="1"/>
    </o:shapelayout>
  </w:shapeDefaults>
  <w:decimalSymbol w:val="."/>
  <w:listSeparator w:val=","/>
  <w14:docId w14:val="69724B0A"/>
  <w15:docId w15:val="{30250C55-9130-4814-B95E-62DDEE15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4F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4F5C"/>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253A5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253A5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F5C"/>
    <w:rPr>
      <w:rFonts w:ascii="Cambria" w:eastAsia="Times New Roman" w:hAnsi="Cambria" w:cs="Times New Roman"/>
      <w:b/>
      <w:bCs/>
      <w:color w:val="365F91"/>
      <w:sz w:val="28"/>
      <w:szCs w:val="28"/>
    </w:rPr>
  </w:style>
  <w:style w:type="table" w:styleId="TableGrid">
    <w:name w:val="Table Grid"/>
    <w:basedOn w:val="TableNormal"/>
    <w:uiPriority w:val="59"/>
    <w:rsid w:val="008C4F5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F5C"/>
    <w:pPr>
      <w:ind w:left="720"/>
      <w:contextualSpacing/>
    </w:pPr>
  </w:style>
  <w:style w:type="character" w:styleId="Hyperlink">
    <w:name w:val="Hyperlink"/>
    <w:basedOn w:val="DefaultParagraphFont"/>
    <w:uiPriority w:val="99"/>
    <w:rsid w:val="008C4F5C"/>
    <w:rPr>
      <w:color w:val="0000FF"/>
      <w:u w:val="single"/>
    </w:rPr>
  </w:style>
  <w:style w:type="character" w:styleId="FootnoteReference">
    <w:name w:val="footnote reference"/>
    <w:basedOn w:val="DefaultParagraphFont"/>
    <w:uiPriority w:val="99"/>
    <w:rsid w:val="008C4F5C"/>
    <w:rPr>
      <w:vertAlign w:val="superscript"/>
    </w:rPr>
  </w:style>
  <w:style w:type="paragraph" w:styleId="ListBullet">
    <w:name w:val="List Bullet"/>
    <w:basedOn w:val="Normal"/>
    <w:uiPriority w:val="99"/>
    <w:unhideWhenUsed/>
    <w:rsid w:val="00872958"/>
    <w:pPr>
      <w:numPr>
        <w:numId w:val="2"/>
      </w:numPr>
      <w:contextualSpacing/>
    </w:pPr>
  </w:style>
  <w:style w:type="character" w:styleId="CommentReference">
    <w:name w:val="annotation reference"/>
    <w:basedOn w:val="DefaultParagraphFont"/>
    <w:uiPriority w:val="99"/>
    <w:unhideWhenUsed/>
    <w:rsid w:val="00DF6D67"/>
    <w:rPr>
      <w:sz w:val="16"/>
      <w:szCs w:val="16"/>
    </w:rPr>
  </w:style>
  <w:style w:type="paragraph" w:styleId="CommentText">
    <w:name w:val="annotation text"/>
    <w:basedOn w:val="Normal"/>
    <w:link w:val="CommentTextChar"/>
    <w:uiPriority w:val="99"/>
    <w:unhideWhenUsed/>
    <w:rsid w:val="00DF6D67"/>
    <w:rPr>
      <w:sz w:val="20"/>
      <w:szCs w:val="20"/>
    </w:rPr>
  </w:style>
  <w:style w:type="character" w:customStyle="1" w:styleId="CommentTextChar">
    <w:name w:val="Comment Text Char"/>
    <w:basedOn w:val="DefaultParagraphFont"/>
    <w:link w:val="CommentText"/>
    <w:uiPriority w:val="99"/>
    <w:rsid w:val="00DF6D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D67"/>
    <w:rPr>
      <w:b/>
      <w:bCs/>
    </w:rPr>
  </w:style>
  <w:style w:type="character" w:customStyle="1" w:styleId="CommentSubjectChar">
    <w:name w:val="Comment Subject Char"/>
    <w:basedOn w:val="CommentTextChar"/>
    <w:link w:val="CommentSubject"/>
    <w:uiPriority w:val="99"/>
    <w:semiHidden/>
    <w:rsid w:val="00DF6D6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F6D67"/>
    <w:rPr>
      <w:rFonts w:ascii="Tahoma" w:hAnsi="Tahoma" w:cs="Tahoma"/>
      <w:sz w:val="16"/>
      <w:szCs w:val="16"/>
    </w:rPr>
  </w:style>
  <w:style w:type="character" w:customStyle="1" w:styleId="BalloonTextChar">
    <w:name w:val="Balloon Text Char"/>
    <w:basedOn w:val="DefaultParagraphFont"/>
    <w:link w:val="BalloonText"/>
    <w:uiPriority w:val="99"/>
    <w:semiHidden/>
    <w:rsid w:val="00DF6D67"/>
    <w:rPr>
      <w:rFonts w:ascii="Tahoma" w:eastAsia="Times New Roman" w:hAnsi="Tahoma" w:cs="Tahoma"/>
      <w:sz w:val="16"/>
      <w:szCs w:val="16"/>
    </w:rPr>
  </w:style>
  <w:style w:type="table" w:customStyle="1" w:styleId="LightList-Accent11">
    <w:name w:val="Light List - Accent 11"/>
    <w:basedOn w:val="TableNormal"/>
    <w:uiPriority w:val="61"/>
    <w:rsid w:val="00343BE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nhideWhenUsed/>
    <w:rsid w:val="007E009C"/>
    <w:pPr>
      <w:tabs>
        <w:tab w:val="center" w:pos="4680"/>
        <w:tab w:val="right" w:pos="9360"/>
      </w:tabs>
    </w:pPr>
  </w:style>
  <w:style w:type="character" w:customStyle="1" w:styleId="HeaderChar">
    <w:name w:val="Header Char"/>
    <w:basedOn w:val="DefaultParagraphFont"/>
    <w:link w:val="Header"/>
    <w:rsid w:val="007E00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E009C"/>
    <w:pPr>
      <w:tabs>
        <w:tab w:val="center" w:pos="4680"/>
        <w:tab w:val="right" w:pos="9360"/>
      </w:tabs>
    </w:pPr>
  </w:style>
  <w:style w:type="character" w:customStyle="1" w:styleId="FooterChar">
    <w:name w:val="Footer Char"/>
    <w:basedOn w:val="DefaultParagraphFont"/>
    <w:link w:val="Footer"/>
    <w:uiPriority w:val="99"/>
    <w:rsid w:val="007E009C"/>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DA725B"/>
    <w:pPr>
      <w:spacing w:line="276" w:lineRule="auto"/>
      <w:outlineLvl w:val="9"/>
    </w:pPr>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unhideWhenUsed/>
    <w:qFormat/>
    <w:rsid w:val="009777DB"/>
    <w:pPr>
      <w:tabs>
        <w:tab w:val="right" w:leader="dot" w:pos="4526"/>
      </w:tabs>
      <w:spacing w:after="100"/>
    </w:pPr>
  </w:style>
  <w:style w:type="paragraph" w:customStyle="1" w:styleId="Default">
    <w:name w:val="Default"/>
    <w:rsid w:val="00DA725B"/>
    <w:pPr>
      <w:autoSpaceDE w:val="0"/>
      <w:autoSpaceDN w:val="0"/>
      <w:adjustRightInd w:val="0"/>
      <w:spacing w:after="0" w:line="240" w:lineRule="auto"/>
    </w:pPr>
    <w:rPr>
      <w:rFonts w:ascii="Calibri" w:eastAsia="Times New Roman" w:hAnsi="Calibri" w:cs="Calibri"/>
      <w:color w:val="000000"/>
      <w:sz w:val="24"/>
      <w:szCs w:val="24"/>
    </w:rPr>
  </w:style>
  <w:style w:type="paragraph" w:styleId="FootnoteText">
    <w:name w:val="footnote text"/>
    <w:basedOn w:val="Normal"/>
    <w:link w:val="FootnoteTextChar"/>
    <w:uiPriority w:val="99"/>
    <w:rsid w:val="00DA725B"/>
    <w:rPr>
      <w:sz w:val="20"/>
      <w:szCs w:val="20"/>
    </w:rPr>
  </w:style>
  <w:style w:type="character" w:customStyle="1" w:styleId="FootnoteTextChar">
    <w:name w:val="Footnote Text Char"/>
    <w:basedOn w:val="DefaultParagraphFont"/>
    <w:link w:val="FootnoteText"/>
    <w:uiPriority w:val="99"/>
    <w:rsid w:val="00DA725B"/>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253A5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253A5B"/>
    <w:rPr>
      <w:rFonts w:asciiTheme="majorHAnsi" w:eastAsiaTheme="majorEastAsia" w:hAnsiTheme="majorHAnsi" w:cstheme="majorBidi"/>
      <w:b/>
      <w:bCs/>
      <w:i/>
      <w:iCs/>
      <w:color w:val="4F81BD" w:themeColor="accent1"/>
      <w:sz w:val="24"/>
      <w:szCs w:val="24"/>
    </w:rPr>
  </w:style>
  <w:style w:type="character" w:styleId="Emphasis">
    <w:name w:val="Emphasis"/>
    <w:basedOn w:val="DefaultParagraphFont"/>
    <w:uiPriority w:val="20"/>
    <w:qFormat/>
    <w:rsid w:val="00253A5B"/>
    <w:rPr>
      <w:b/>
      <w:bCs/>
      <w:i w:val="0"/>
      <w:iCs w:val="0"/>
    </w:rPr>
  </w:style>
  <w:style w:type="paragraph" w:styleId="NormalWeb">
    <w:name w:val="Normal (Web)"/>
    <w:basedOn w:val="Normal"/>
    <w:uiPriority w:val="99"/>
    <w:semiHidden/>
    <w:unhideWhenUsed/>
    <w:rsid w:val="005A225D"/>
    <w:pPr>
      <w:spacing w:before="100" w:beforeAutospacing="1" w:after="100" w:afterAutospacing="1"/>
    </w:pPr>
    <w:rPr>
      <w:rFonts w:eastAsiaTheme="minorHAnsi"/>
    </w:rPr>
  </w:style>
  <w:style w:type="paragraph" w:styleId="TOC2">
    <w:name w:val="toc 2"/>
    <w:basedOn w:val="Normal"/>
    <w:next w:val="Normal"/>
    <w:autoRedefine/>
    <w:uiPriority w:val="39"/>
    <w:unhideWhenUsed/>
    <w:qFormat/>
    <w:rsid w:val="00C832BE"/>
    <w:pPr>
      <w:spacing w:after="100"/>
      <w:ind w:left="240"/>
    </w:pPr>
  </w:style>
  <w:style w:type="paragraph" w:styleId="TOC3">
    <w:name w:val="toc 3"/>
    <w:basedOn w:val="Normal"/>
    <w:next w:val="Normal"/>
    <w:autoRedefine/>
    <w:uiPriority w:val="39"/>
    <w:semiHidden/>
    <w:unhideWhenUsed/>
    <w:qFormat/>
    <w:rsid w:val="00C832BE"/>
    <w:pPr>
      <w:spacing w:after="100" w:line="276" w:lineRule="auto"/>
      <w:ind w:left="440"/>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A14BFA"/>
    <w:rPr>
      <w:color w:val="808080"/>
    </w:rPr>
  </w:style>
  <w:style w:type="character" w:styleId="FollowedHyperlink">
    <w:name w:val="FollowedHyperlink"/>
    <w:basedOn w:val="DefaultParagraphFont"/>
    <w:uiPriority w:val="99"/>
    <w:semiHidden/>
    <w:unhideWhenUsed/>
    <w:rsid w:val="00172411"/>
    <w:rPr>
      <w:color w:val="800080" w:themeColor="followedHyperlink"/>
      <w:u w:val="single"/>
    </w:rPr>
  </w:style>
  <w:style w:type="paragraph" w:styleId="EndnoteText">
    <w:name w:val="endnote text"/>
    <w:basedOn w:val="Normal"/>
    <w:link w:val="EndnoteTextChar"/>
    <w:uiPriority w:val="99"/>
    <w:unhideWhenUsed/>
    <w:rsid w:val="004A4FF9"/>
    <w:rPr>
      <w:sz w:val="20"/>
      <w:szCs w:val="20"/>
    </w:rPr>
  </w:style>
  <w:style w:type="character" w:customStyle="1" w:styleId="EndnoteTextChar">
    <w:name w:val="Endnote Text Char"/>
    <w:basedOn w:val="DefaultParagraphFont"/>
    <w:link w:val="EndnoteText"/>
    <w:uiPriority w:val="99"/>
    <w:rsid w:val="004A4FF9"/>
    <w:rPr>
      <w:rFonts w:ascii="Times New Roman" w:eastAsia="Times New Roman" w:hAnsi="Times New Roman" w:cs="Times New Roman"/>
      <w:sz w:val="20"/>
      <w:szCs w:val="20"/>
    </w:rPr>
  </w:style>
  <w:style w:type="character" w:styleId="EndnoteReference">
    <w:name w:val="endnote reference"/>
    <w:basedOn w:val="DefaultParagraphFont"/>
    <w:uiPriority w:val="99"/>
    <w:unhideWhenUsed/>
    <w:rsid w:val="004A4FF9"/>
    <w:rPr>
      <w:vertAlign w:val="superscript"/>
    </w:rPr>
  </w:style>
  <w:style w:type="paragraph" w:styleId="DocumentMap">
    <w:name w:val="Document Map"/>
    <w:basedOn w:val="Normal"/>
    <w:link w:val="DocumentMapChar"/>
    <w:uiPriority w:val="99"/>
    <w:semiHidden/>
    <w:unhideWhenUsed/>
    <w:rsid w:val="00237EF1"/>
  </w:style>
  <w:style w:type="character" w:customStyle="1" w:styleId="DocumentMapChar">
    <w:name w:val="Document Map Char"/>
    <w:basedOn w:val="DefaultParagraphFont"/>
    <w:link w:val="DocumentMap"/>
    <w:uiPriority w:val="99"/>
    <w:semiHidden/>
    <w:rsid w:val="00237EF1"/>
    <w:rPr>
      <w:rFonts w:ascii="Times New Roman" w:eastAsia="Times New Roman" w:hAnsi="Times New Roman" w:cs="Times New Roman"/>
      <w:sz w:val="24"/>
      <w:szCs w:val="24"/>
    </w:rPr>
  </w:style>
  <w:style w:type="paragraph" w:customStyle="1" w:styleId="AgencyTitle">
    <w:name w:val="Agency Title"/>
    <w:basedOn w:val="Normal"/>
    <w:semiHidden/>
    <w:rsid w:val="00A24571"/>
    <w:rPr>
      <w:rFonts w:ascii="Arial" w:hAnsi="Arial"/>
      <w:b/>
      <w:sz w:val="18"/>
    </w:rPr>
  </w:style>
  <w:style w:type="paragraph" w:customStyle="1" w:styleId="arial9">
    <w:name w:val="arial9"/>
    <w:basedOn w:val="Normal"/>
    <w:semiHidden/>
    <w:rsid w:val="00A24571"/>
    <w:pPr>
      <w:ind w:right="-108"/>
    </w:pPr>
    <w:rPr>
      <w:rFonts w:ascii="Arial" w:hAnsi="Arial"/>
      <w:sz w:val="18"/>
    </w:rPr>
  </w:style>
  <w:style w:type="paragraph" w:styleId="Revision">
    <w:name w:val="Revision"/>
    <w:hidden/>
    <w:uiPriority w:val="99"/>
    <w:semiHidden/>
    <w:rsid w:val="00C3548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9959">
      <w:bodyDiv w:val="1"/>
      <w:marLeft w:val="0"/>
      <w:marRight w:val="0"/>
      <w:marTop w:val="0"/>
      <w:marBottom w:val="0"/>
      <w:divBdr>
        <w:top w:val="none" w:sz="0" w:space="0" w:color="auto"/>
        <w:left w:val="none" w:sz="0" w:space="0" w:color="auto"/>
        <w:bottom w:val="none" w:sz="0" w:space="0" w:color="auto"/>
        <w:right w:val="none" w:sz="0" w:space="0" w:color="auto"/>
      </w:divBdr>
    </w:div>
    <w:div w:id="32275356">
      <w:bodyDiv w:val="1"/>
      <w:marLeft w:val="0"/>
      <w:marRight w:val="0"/>
      <w:marTop w:val="0"/>
      <w:marBottom w:val="0"/>
      <w:divBdr>
        <w:top w:val="none" w:sz="0" w:space="0" w:color="auto"/>
        <w:left w:val="none" w:sz="0" w:space="0" w:color="auto"/>
        <w:bottom w:val="none" w:sz="0" w:space="0" w:color="auto"/>
        <w:right w:val="none" w:sz="0" w:space="0" w:color="auto"/>
      </w:divBdr>
    </w:div>
    <w:div w:id="145099149">
      <w:bodyDiv w:val="1"/>
      <w:marLeft w:val="0"/>
      <w:marRight w:val="0"/>
      <w:marTop w:val="0"/>
      <w:marBottom w:val="0"/>
      <w:divBdr>
        <w:top w:val="none" w:sz="0" w:space="0" w:color="auto"/>
        <w:left w:val="none" w:sz="0" w:space="0" w:color="auto"/>
        <w:bottom w:val="none" w:sz="0" w:space="0" w:color="auto"/>
        <w:right w:val="none" w:sz="0" w:space="0" w:color="auto"/>
      </w:divBdr>
    </w:div>
    <w:div w:id="226573486">
      <w:bodyDiv w:val="1"/>
      <w:marLeft w:val="0"/>
      <w:marRight w:val="0"/>
      <w:marTop w:val="0"/>
      <w:marBottom w:val="0"/>
      <w:divBdr>
        <w:top w:val="none" w:sz="0" w:space="0" w:color="auto"/>
        <w:left w:val="none" w:sz="0" w:space="0" w:color="auto"/>
        <w:bottom w:val="none" w:sz="0" w:space="0" w:color="auto"/>
        <w:right w:val="none" w:sz="0" w:space="0" w:color="auto"/>
      </w:divBdr>
    </w:div>
    <w:div w:id="266812222">
      <w:bodyDiv w:val="1"/>
      <w:marLeft w:val="0"/>
      <w:marRight w:val="0"/>
      <w:marTop w:val="0"/>
      <w:marBottom w:val="0"/>
      <w:divBdr>
        <w:top w:val="none" w:sz="0" w:space="0" w:color="auto"/>
        <w:left w:val="none" w:sz="0" w:space="0" w:color="auto"/>
        <w:bottom w:val="none" w:sz="0" w:space="0" w:color="auto"/>
        <w:right w:val="none" w:sz="0" w:space="0" w:color="auto"/>
      </w:divBdr>
    </w:div>
    <w:div w:id="280888430">
      <w:bodyDiv w:val="1"/>
      <w:marLeft w:val="0"/>
      <w:marRight w:val="0"/>
      <w:marTop w:val="0"/>
      <w:marBottom w:val="0"/>
      <w:divBdr>
        <w:top w:val="none" w:sz="0" w:space="0" w:color="auto"/>
        <w:left w:val="none" w:sz="0" w:space="0" w:color="auto"/>
        <w:bottom w:val="none" w:sz="0" w:space="0" w:color="auto"/>
        <w:right w:val="none" w:sz="0" w:space="0" w:color="auto"/>
      </w:divBdr>
    </w:div>
    <w:div w:id="312876117">
      <w:bodyDiv w:val="1"/>
      <w:marLeft w:val="0"/>
      <w:marRight w:val="0"/>
      <w:marTop w:val="0"/>
      <w:marBottom w:val="0"/>
      <w:divBdr>
        <w:top w:val="none" w:sz="0" w:space="0" w:color="auto"/>
        <w:left w:val="none" w:sz="0" w:space="0" w:color="auto"/>
        <w:bottom w:val="none" w:sz="0" w:space="0" w:color="auto"/>
        <w:right w:val="none" w:sz="0" w:space="0" w:color="auto"/>
      </w:divBdr>
    </w:div>
    <w:div w:id="312955294">
      <w:bodyDiv w:val="1"/>
      <w:marLeft w:val="0"/>
      <w:marRight w:val="0"/>
      <w:marTop w:val="0"/>
      <w:marBottom w:val="0"/>
      <w:divBdr>
        <w:top w:val="none" w:sz="0" w:space="0" w:color="auto"/>
        <w:left w:val="none" w:sz="0" w:space="0" w:color="auto"/>
        <w:bottom w:val="none" w:sz="0" w:space="0" w:color="auto"/>
        <w:right w:val="none" w:sz="0" w:space="0" w:color="auto"/>
      </w:divBdr>
    </w:div>
    <w:div w:id="361589347">
      <w:bodyDiv w:val="1"/>
      <w:marLeft w:val="0"/>
      <w:marRight w:val="0"/>
      <w:marTop w:val="0"/>
      <w:marBottom w:val="0"/>
      <w:divBdr>
        <w:top w:val="none" w:sz="0" w:space="0" w:color="auto"/>
        <w:left w:val="none" w:sz="0" w:space="0" w:color="auto"/>
        <w:bottom w:val="none" w:sz="0" w:space="0" w:color="auto"/>
        <w:right w:val="none" w:sz="0" w:space="0" w:color="auto"/>
      </w:divBdr>
    </w:div>
    <w:div w:id="590503697">
      <w:bodyDiv w:val="1"/>
      <w:marLeft w:val="0"/>
      <w:marRight w:val="0"/>
      <w:marTop w:val="0"/>
      <w:marBottom w:val="0"/>
      <w:divBdr>
        <w:top w:val="none" w:sz="0" w:space="0" w:color="auto"/>
        <w:left w:val="none" w:sz="0" w:space="0" w:color="auto"/>
        <w:bottom w:val="none" w:sz="0" w:space="0" w:color="auto"/>
        <w:right w:val="none" w:sz="0" w:space="0" w:color="auto"/>
      </w:divBdr>
    </w:div>
    <w:div w:id="678891015">
      <w:bodyDiv w:val="1"/>
      <w:marLeft w:val="0"/>
      <w:marRight w:val="0"/>
      <w:marTop w:val="0"/>
      <w:marBottom w:val="0"/>
      <w:divBdr>
        <w:top w:val="none" w:sz="0" w:space="0" w:color="auto"/>
        <w:left w:val="none" w:sz="0" w:space="0" w:color="auto"/>
        <w:bottom w:val="none" w:sz="0" w:space="0" w:color="auto"/>
        <w:right w:val="none" w:sz="0" w:space="0" w:color="auto"/>
      </w:divBdr>
    </w:div>
    <w:div w:id="735932108">
      <w:bodyDiv w:val="1"/>
      <w:marLeft w:val="0"/>
      <w:marRight w:val="0"/>
      <w:marTop w:val="0"/>
      <w:marBottom w:val="0"/>
      <w:divBdr>
        <w:top w:val="none" w:sz="0" w:space="0" w:color="auto"/>
        <w:left w:val="none" w:sz="0" w:space="0" w:color="auto"/>
        <w:bottom w:val="none" w:sz="0" w:space="0" w:color="auto"/>
        <w:right w:val="none" w:sz="0" w:space="0" w:color="auto"/>
      </w:divBdr>
    </w:div>
    <w:div w:id="737099201">
      <w:bodyDiv w:val="1"/>
      <w:marLeft w:val="0"/>
      <w:marRight w:val="0"/>
      <w:marTop w:val="0"/>
      <w:marBottom w:val="0"/>
      <w:divBdr>
        <w:top w:val="none" w:sz="0" w:space="0" w:color="auto"/>
        <w:left w:val="none" w:sz="0" w:space="0" w:color="auto"/>
        <w:bottom w:val="none" w:sz="0" w:space="0" w:color="auto"/>
        <w:right w:val="none" w:sz="0" w:space="0" w:color="auto"/>
      </w:divBdr>
    </w:div>
    <w:div w:id="747313403">
      <w:bodyDiv w:val="1"/>
      <w:marLeft w:val="0"/>
      <w:marRight w:val="0"/>
      <w:marTop w:val="0"/>
      <w:marBottom w:val="0"/>
      <w:divBdr>
        <w:top w:val="none" w:sz="0" w:space="0" w:color="auto"/>
        <w:left w:val="none" w:sz="0" w:space="0" w:color="auto"/>
        <w:bottom w:val="none" w:sz="0" w:space="0" w:color="auto"/>
        <w:right w:val="none" w:sz="0" w:space="0" w:color="auto"/>
      </w:divBdr>
    </w:div>
    <w:div w:id="878391976">
      <w:bodyDiv w:val="1"/>
      <w:marLeft w:val="0"/>
      <w:marRight w:val="0"/>
      <w:marTop w:val="0"/>
      <w:marBottom w:val="0"/>
      <w:divBdr>
        <w:top w:val="none" w:sz="0" w:space="0" w:color="auto"/>
        <w:left w:val="none" w:sz="0" w:space="0" w:color="auto"/>
        <w:bottom w:val="none" w:sz="0" w:space="0" w:color="auto"/>
        <w:right w:val="none" w:sz="0" w:space="0" w:color="auto"/>
      </w:divBdr>
    </w:div>
    <w:div w:id="916089930">
      <w:bodyDiv w:val="1"/>
      <w:marLeft w:val="0"/>
      <w:marRight w:val="0"/>
      <w:marTop w:val="0"/>
      <w:marBottom w:val="0"/>
      <w:divBdr>
        <w:top w:val="none" w:sz="0" w:space="0" w:color="auto"/>
        <w:left w:val="none" w:sz="0" w:space="0" w:color="auto"/>
        <w:bottom w:val="none" w:sz="0" w:space="0" w:color="auto"/>
        <w:right w:val="none" w:sz="0" w:space="0" w:color="auto"/>
      </w:divBdr>
    </w:div>
    <w:div w:id="923993748">
      <w:bodyDiv w:val="1"/>
      <w:marLeft w:val="0"/>
      <w:marRight w:val="0"/>
      <w:marTop w:val="0"/>
      <w:marBottom w:val="0"/>
      <w:divBdr>
        <w:top w:val="none" w:sz="0" w:space="0" w:color="auto"/>
        <w:left w:val="none" w:sz="0" w:space="0" w:color="auto"/>
        <w:bottom w:val="none" w:sz="0" w:space="0" w:color="auto"/>
        <w:right w:val="none" w:sz="0" w:space="0" w:color="auto"/>
      </w:divBdr>
    </w:div>
    <w:div w:id="995647437">
      <w:bodyDiv w:val="1"/>
      <w:marLeft w:val="0"/>
      <w:marRight w:val="0"/>
      <w:marTop w:val="0"/>
      <w:marBottom w:val="0"/>
      <w:divBdr>
        <w:top w:val="none" w:sz="0" w:space="0" w:color="auto"/>
        <w:left w:val="none" w:sz="0" w:space="0" w:color="auto"/>
        <w:bottom w:val="none" w:sz="0" w:space="0" w:color="auto"/>
        <w:right w:val="none" w:sz="0" w:space="0" w:color="auto"/>
      </w:divBdr>
    </w:div>
    <w:div w:id="1102797248">
      <w:bodyDiv w:val="1"/>
      <w:marLeft w:val="0"/>
      <w:marRight w:val="0"/>
      <w:marTop w:val="0"/>
      <w:marBottom w:val="0"/>
      <w:divBdr>
        <w:top w:val="none" w:sz="0" w:space="0" w:color="auto"/>
        <w:left w:val="none" w:sz="0" w:space="0" w:color="auto"/>
        <w:bottom w:val="none" w:sz="0" w:space="0" w:color="auto"/>
        <w:right w:val="none" w:sz="0" w:space="0" w:color="auto"/>
      </w:divBdr>
    </w:div>
    <w:div w:id="1104543786">
      <w:bodyDiv w:val="1"/>
      <w:marLeft w:val="0"/>
      <w:marRight w:val="0"/>
      <w:marTop w:val="0"/>
      <w:marBottom w:val="0"/>
      <w:divBdr>
        <w:top w:val="none" w:sz="0" w:space="0" w:color="auto"/>
        <w:left w:val="none" w:sz="0" w:space="0" w:color="auto"/>
        <w:bottom w:val="none" w:sz="0" w:space="0" w:color="auto"/>
        <w:right w:val="none" w:sz="0" w:space="0" w:color="auto"/>
      </w:divBdr>
    </w:div>
    <w:div w:id="1131901057">
      <w:bodyDiv w:val="1"/>
      <w:marLeft w:val="0"/>
      <w:marRight w:val="0"/>
      <w:marTop w:val="0"/>
      <w:marBottom w:val="0"/>
      <w:divBdr>
        <w:top w:val="none" w:sz="0" w:space="0" w:color="auto"/>
        <w:left w:val="none" w:sz="0" w:space="0" w:color="auto"/>
        <w:bottom w:val="none" w:sz="0" w:space="0" w:color="auto"/>
        <w:right w:val="none" w:sz="0" w:space="0" w:color="auto"/>
      </w:divBdr>
    </w:div>
    <w:div w:id="1138377506">
      <w:bodyDiv w:val="1"/>
      <w:marLeft w:val="0"/>
      <w:marRight w:val="0"/>
      <w:marTop w:val="0"/>
      <w:marBottom w:val="0"/>
      <w:divBdr>
        <w:top w:val="none" w:sz="0" w:space="0" w:color="auto"/>
        <w:left w:val="none" w:sz="0" w:space="0" w:color="auto"/>
        <w:bottom w:val="none" w:sz="0" w:space="0" w:color="auto"/>
        <w:right w:val="none" w:sz="0" w:space="0" w:color="auto"/>
      </w:divBdr>
    </w:div>
    <w:div w:id="1189566488">
      <w:bodyDiv w:val="1"/>
      <w:marLeft w:val="0"/>
      <w:marRight w:val="0"/>
      <w:marTop w:val="0"/>
      <w:marBottom w:val="0"/>
      <w:divBdr>
        <w:top w:val="none" w:sz="0" w:space="0" w:color="auto"/>
        <w:left w:val="none" w:sz="0" w:space="0" w:color="auto"/>
        <w:bottom w:val="none" w:sz="0" w:space="0" w:color="auto"/>
        <w:right w:val="none" w:sz="0" w:space="0" w:color="auto"/>
      </w:divBdr>
    </w:div>
    <w:div w:id="1311449173">
      <w:bodyDiv w:val="1"/>
      <w:marLeft w:val="0"/>
      <w:marRight w:val="0"/>
      <w:marTop w:val="0"/>
      <w:marBottom w:val="0"/>
      <w:divBdr>
        <w:top w:val="none" w:sz="0" w:space="0" w:color="auto"/>
        <w:left w:val="none" w:sz="0" w:space="0" w:color="auto"/>
        <w:bottom w:val="none" w:sz="0" w:space="0" w:color="auto"/>
        <w:right w:val="none" w:sz="0" w:space="0" w:color="auto"/>
      </w:divBdr>
    </w:div>
    <w:div w:id="1323464676">
      <w:bodyDiv w:val="1"/>
      <w:marLeft w:val="0"/>
      <w:marRight w:val="0"/>
      <w:marTop w:val="0"/>
      <w:marBottom w:val="0"/>
      <w:divBdr>
        <w:top w:val="none" w:sz="0" w:space="0" w:color="auto"/>
        <w:left w:val="none" w:sz="0" w:space="0" w:color="auto"/>
        <w:bottom w:val="none" w:sz="0" w:space="0" w:color="auto"/>
        <w:right w:val="none" w:sz="0" w:space="0" w:color="auto"/>
      </w:divBdr>
    </w:div>
    <w:div w:id="1335760819">
      <w:bodyDiv w:val="1"/>
      <w:marLeft w:val="0"/>
      <w:marRight w:val="0"/>
      <w:marTop w:val="0"/>
      <w:marBottom w:val="0"/>
      <w:divBdr>
        <w:top w:val="none" w:sz="0" w:space="0" w:color="auto"/>
        <w:left w:val="none" w:sz="0" w:space="0" w:color="auto"/>
        <w:bottom w:val="none" w:sz="0" w:space="0" w:color="auto"/>
        <w:right w:val="none" w:sz="0" w:space="0" w:color="auto"/>
      </w:divBdr>
    </w:div>
    <w:div w:id="1373265770">
      <w:bodyDiv w:val="1"/>
      <w:marLeft w:val="0"/>
      <w:marRight w:val="0"/>
      <w:marTop w:val="0"/>
      <w:marBottom w:val="0"/>
      <w:divBdr>
        <w:top w:val="none" w:sz="0" w:space="0" w:color="auto"/>
        <w:left w:val="none" w:sz="0" w:space="0" w:color="auto"/>
        <w:bottom w:val="none" w:sz="0" w:space="0" w:color="auto"/>
        <w:right w:val="none" w:sz="0" w:space="0" w:color="auto"/>
      </w:divBdr>
    </w:div>
    <w:div w:id="1405682497">
      <w:bodyDiv w:val="1"/>
      <w:marLeft w:val="0"/>
      <w:marRight w:val="0"/>
      <w:marTop w:val="0"/>
      <w:marBottom w:val="0"/>
      <w:divBdr>
        <w:top w:val="none" w:sz="0" w:space="0" w:color="auto"/>
        <w:left w:val="none" w:sz="0" w:space="0" w:color="auto"/>
        <w:bottom w:val="none" w:sz="0" w:space="0" w:color="auto"/>
        <w:right w:val="none" w:sz="0" w:space="0" w:color="auto"/>
      </w:divBdr>
    </w:div>
    <w:div w:id="1458376479">
      <w:bodyDiv w:val="1"/>
      <w:marLeft w:val="0"/>
      <w:marRight w:val="0"/>
      <w:marTop w:val="0"/>
      <w:marBottom w:val="0"/>
      <w:divBdr>
        <w:top w:val="none" w:sz="0" w:space="0" w:color="auto"/>
        <w:left w:val="none" w:sz="0" w:space="0" w:color="auto"/>
        <w:bottom w:val="none" w:sz="0" w:space="0" w:color="auto"/>
        <w:right w:val="none" w:sz="0" w:space="0" w:color="auto"/>
      </w:divBdr>
    </w:div>
    <w:div w:id="1484353117">
      <w:bodyDiv w:val="1"/>
      <w:marLeft w:val="0"/>
      <w:marRight w:val="0"/>
      <w:marTop w:val="0"/>
      <w:marBottom w:val="0"/>
      <w:divBdr>
        <w:top w:val="none" w:sz="0" w:space="0" w:color="auto"/>
        <w:left w:val="none" w:sz="0" w:space="0" w:color="auto"/>
        <w:bottom w:val="none" w:sz="0" w:space="0" w:color="auto"/>
        <w:right w:val="none" w:sz="0" w:space="0" w:color="auto"/>
      </w:divBdr>
    </w:div>
    <w:div w:id="1570144069">
      <w:bodyDiv w:val="1"/>
      <w:marLeft w:val="0"/>
      <w:marRight w:val="0"/>
      <w:marTop w:val="0"/>
      <w:marBottom w:val="0"/>
      <w:divBdr>
        <w:top w:val="none" w:sz="0" w:space="0" w:color="auto"/>
        <w:left w:val="none" w:sz="0" w:space="0" w:color="auto"/>
        <w:bottom w:val="none" w:sz="0" w:space="0" w:color="auto"/>
        <w:right w:val="none" w:sz="0" w:space="0" w:color="auto"/>
      </w:divBdr>
    </w:div>
    <w:div w:id="1589653945">
      <w:bodyDiv w:val="1"/>
      <w:marLeft w:val="0"/>
      <w:marRight w:val="0"/>
      <w:marTop w:val="0"/>
      <w:marBottom w:val="0"/>
      <w:divBdr>
        <w:top w:val="none" w:sz="0" w:space="0" w:color="auto"/>
        <w:left w:val="none" w:sz="0" w:space="0" w:color="auto"/>
        <w:bottom w:val="none" w:sz="0" w:space="0" w:color="auto"/>
        <w:right w:val="none" w:sz="0" w:space="0" w:color="auto"/>
      </w:divBdr>
    </w:div>
    <w:div w:id="1752852762">
      <w:bodyDiv w:val="1"/>
      <w:marLeft w:val="0"/>
      <w:marRight w:val="0"/>
      <w:marTop w:val="0"/>
      <w:marBottom w:val="0"/>
      <w:divBdr>
        <w:top w:val="none" w:sz="0" w:space="0" w:color="auto"/>
        <w:left w:val="none" w:sz="0" w:space="0" w:color="auto"/>
        <w:bottom w:val="none" w:sz="0" w:space="0" w:color="auto"/>
        <w:right w:val="none" w:sz="0" w:space="0" w:color="auto"/>
      </w:divBdr>
    </w:div>
    <w:div w:id="1852064057">
      <w:bodyDiv w:val="1"/>
      <w:marLeft w:val="0"/>
      <w:marRight w:val="0"/>
      <w:marTop w:val="0"/>
      <w:marBottom w:val="0"/>
      <w:divBdr>
        <w:top w:val="none" w:sz="0" w:space="0" w:color="auto"/>
        <w:left w:val="none" w:sz="0" w:space="0" w:color="auto"/>
        <w:bottom w:val="none" w:sz="0" w:space="0" w:color="auto"/>
        <w:right w:val="none" w:sz="0" w:space="0" w:color="auto"/>
      </w:divBdr>
    </w:div>
    <w:div w:id="1874806083">
      <w:bodyDiv w:val="1"/>
      <w:marLeft w:val="0"/>
      <w:marRight w:val="0"/>
      <w:marTop w:val="0"/>
      <w:marBottom w:val="0"/>
      <w:divBdr>
        <w:top w:val="none" w:sz="0" w:space="0" w:color="auto"/>
        <w:left w:val="none" w:sz="0" w:space="0" w:color="auto"/>
        <w:bottom w:val="none" w:sz="0" w:space="0" w:color="auto"/>
        <w:right w:val="none" w:sz="0" w:space="0" w:color="auto"/>
      </w:divBdr>
    </w:div>
    <w:div w:id="1894080809">
      <w:bodyDiv w:val="1"/>
      <w:marLeft w:val="0"/>
      <w:marRight w:val="0"/>
      <w:marTop w:val="0"/>
      <w:marBottom w:val="0"/>
      <w:divBdr>
        <w:top w:val="none" w:sz="0" w:space="0" w:color="auto"/>
        <w:left w:val="none" w:sz="0" w:space="0" w:color="auto"/>
        <w:bottom w:val="none" w:sz="0" w:space="0" w:color="auto"/>
        <w:right w:val="none" w:sz="0" w:space="0" w:color="auto"/>
      </w:divBdr>
    </w:div>
    <w:div w:id="1994092227">
      <w:bodyDiv w:val="1"/>
      <w:marLeft w:val="0"/>
      <w:marRight w:val="0"/>
      <w:marTop w:val="0"/>
      <w:marBottom w:val="0"/>
      <w:divBdr>
        <w:top w:val="none" w:sz="0" w:space="0" w:color="auto"/>
        <w:left w:val="none" w:sz="0" w:space="0" w:color="auto"/>
        <w:bottom w:val="none" w:sz="0" w:space="0" w:color="auto"/>
        <w:right w:val="none" w:sz="0" w:space="0" w:color="auto"/>
      </w:divBdr>
    </w:div>
    <w:div w:id="2000964823">
      <w:bodyDiv w:val="1"/>
      <w:marLeft w:val="0"/>
      <w:marRight w:val="0"/>
      <w:marTop w:val="0"/>
      <w:marBottom w:val="0"/>
      <w:divBdr>
        <w:top w:val="none" w:sz="0" w:space="0" w:color="auto"/>
        <w:left w:val="none" w:sz="0" w:space="0" w:color="auto"/>
        <w:bottom w:val="none" w:sz="0" w:space="0" w:color="auto"/>
        <w:right w:val="none" w:sz="0" w:space="0" w:color="auto"/>
      </w:divBdr>
    </w:div>
    <w:div w:id="202011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educators/equitableaccess/" TargetMode="External"/><Relationship Id="rId18" Type="http://schemas.openxmlformats.org/officeDocument/2006/relationships/footer" Target="footer1.xml"/><Relationship Id="rId26" Type="http://schemas.openxmlformats.org/officeDocument/2006/relationships/image" Target="media/image4.png"/><Relationship Id="rId39" Type="http://schemas.openxmlformats.org/officeDocument/2006/relationships/hyperlink" Target="http://www.doe.mass.edu/ell/look-act.html" TargetMode="External"/><Relationship Id="rId21" Type="http://schemas.openxmlformats.org/officeDocument/2006/relationships/hyperlink" Target="http://www.doe.mass.edu/educators/equitableaccess/plan.pdf" TargetMode="External"/><Relationship Id="rId34" Type="http://schemas.openxmlformats.org/officeDocument/2006/relationships/hyperlink" Target="http://www.doe.mass.edu/educators/mentor/2017/inductionmentoring.docx" TargetMode="External"/><Relationship Id="rId42" Type="http://schemas.openxmlformats.org/officeDocument/2006/relationships/hyperlink" Target="http://www.doe.mass.edu/frameworks/" TargetMode="External"/><Relationship Id="rId47" Type="http://schemas.openxmlformats.org/officeDocument/2006/relationships/hyperlink" Target="http://www.doe.mass.edu/ell/" TargetMode="External"/><Relationship Id="rId50" Type="http://schemas.openxmlformats.org/officeDocument/2006/relationships/hyperlink" Target="http://www.doe.mass.edu/mcas/growth/" TargetMode="External"/><Relationship Id="rId55" Type="http://schemas.openxmlformats.org/officeDocument/2006/relationships/image" Target="media/image9.png"/><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doe.mass.edu/research/reports/2017/10teacher-equity.pdf" TargetMode="External"/><Relationship Id="rId29" Type="http://schemas.openxmlformats.org/officeDocument/2006/relationships/hyperlink" Target="http://www.doe.mass.edu/educators/mentor/resources.html" TargetMode="Externa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hyperlink" Target="http://www.doe.mass.edu/edwin/analytics/" TargetMode="External"/><Relationship Id="rId37" Type="http://schemas.openxmlformats.org/officeDocument/2006/relationships/hyperlink" Target="http://www.doe.mass.edu/edeval/guidebook/" TargetMode="External"/><Relationship Id="rId40" Type="http://schemas.openxmlformats.org/officeDocument/2006/relationships/hyperlink" Target="http://www.doe.mass.edu/candi/observation/" TargetMode="External"/><Relationship Id="rId45" Type="http://schemas.openxmlformats.org/officeDocument/2006/relationships/hyperlink" Target="http://www.doe.mass.edu/lawsregs/603cmr7.html?section=02" TargetMode="External"/><Relationship Id="rId53" Type="http://schemas.openxmlformats.org/officeDocument/2006/relationships/image" Target="media/image7.png"/><Relationship Id="rId58" Type="http://schemas.openxmlformats.org/officeDocument/2006/relationships/image" Target="media/image12.png"/><Relationship Id="rId5" Type="http://schemas.openxmlformats.org/officeDocument/2006/relationships/customXml" Target="../customXml/item5.xml"/><Relationship Id="rId61" Type="http://schemas.openxmlformats.org/officeDocument/2006/relationships/image" Target="media/image15.png"/><Relationship Id="rId19" Type="http://schemas.openxmlformats.org/officeDocument/2006/relationships/hyperlink" Target="http://www.doe.mass.edu/leadingthenation/" TargetMode="External"/><Relationship Id="rId14" Type="http://schemas.openxmlformats.org/officeDocument/2006/relationships/hyperlink" Target="http://www.doe.mass.edu/educators/equitableaccess/" TargetMode="External"/><Relationship Id="rId22" Type="http://schemas.openxmlformats.org/officeDocument/2006/relationships/hyperlink" Target="http://www.doe.mass.edu/educators/equitableaccess/2017equityupdate.docx" TargetMode="External"/><Relationship Id="rId27" Type="http://schemas.openxmlformats.org/officeDocument/2006/relationships/image" Target="media/image5.png"/><Relationship Id="rId30" Type="http://schemas.openxmlformats.org/officeDocument/2006/relationships/hyperlink" Target="http://www.doe.mass.edu/research/reports/2017/10teacher-equity.pdf" TargetMode="External"/><Relationship Id="rId35" Type="http://schemas.openxmlformats.org/officeDocument/2006/relationships/hyperlink" Target="https://seemcollaborative.gosignmeup.com/public/course/browse?viewstate=eyJWaWV3TGlzdFR5cGUiOiJUaWxlSnVseSIsIlBhZ2UiOjEsIlBhZ2VTaXplIjoxMCwiT3JkZXJCeUZpZWxkIjoiU3lzdGVtRGVmYXVsdCIsIk9yZGVyQnlEaXJlY3Rpb24iOiJBc2NlbmRpbmciLCJDb3Vyc2VBY3RpdmVTdGF0ZSI6IkN1cnJl" TargetMode="External"/><Relationship Id="rId43" Type="http://schemas.openxmlformats.org/officeDocument/2006/relationships/hyperlink" Target="http://www.doe.mass.edu/edprep/" TargetMode="External"/><Relationship Id="rId48" Type="http://schemas.openxmlformats.org/officeDocument/2006/relationships/hyperlink" Target="http://www.doe.mass.edu/edeval/" TargetMode="External"/><Relationship Id="rId56" Type="http://schemas.openxmlformats.org/officeDocument/2006/relationships/image" Target="media/image10.png"/><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www.doe.mass.edu/edeval/model/PartIII_AppxC.docx" TargetMode="External"/><Relationship Id="rId25" Type="http://schemas.openxmlformats.org/officeDocument/2006/relationships/image" Target="media/image3.png"/><Relationship Id="rId33" Type="http://schemas.openxmlformats.org/officeDocument/2006/relationships/image" Target="media/image6.png"/><Relationship Id="rId38" Type="http://schemas.openxmlformats.org/officeDocument/2006/relationships/hyperlink" Target="https://www.nctq.org/dmsView/MA_NCTQ_ESSA_Educator_Equity_Analysis" TargetMode="External"/><Relationship Id="rId46" Type="http://schemas.openxmlformats.org/officeDocument/2006/relationships/hyperlink" Target="http://www.doe.mass.edu/lawsregs/603cmr35.html?section=02" TargetMode="External"/><Relationship Id="rId59" Type="http://schemas.openxmlformats.org/officeDocument/2006/relationships/image" Target="media/image13.png"/><Relationship Id="rId20" Type="http://schemas.openxmlformats.org/officeDocument/2006/relationships/hyperlink" Target="http://www.doe.mass.edu/titlei/essa/state-plan.html" TargetMode="External"/><Relationship Id="rId41" Type="http://schemas.openxmlformats.org/officeDocument/2006/relationships/hyperlink" Target="http://www.doe.mass.edu/edeval/resources/calibration/tool/" TargetMode="External"/><Relationship Id="rId54" Type="http://schemas.openxmlformats.org/officeDocument/2006/relationships/image" Target="media/image8.png"/><Relationship Id="rId62"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2.ed.gov/documents/essa-act-of-1965.pdf" TargetMode="External"/><Relationship Id="rId23" Type="http://schemas.openxmlformats.org/officeDocument/2006/relationships/footer" Target="footer2.xml"/><Relationship Id="rId28" Type="http://schemas.openxmlformats.org/officeDocument/2006/relationships/hyperlink" Target="http://www.doe.mass.edu/educators/mentor/2017/inductionmentoring.docx" TargetMode="External"/><Relationship Id="rId36" Type="http://schemas.openxmlformats.org/officeDocument/2006/relationships/hyperlink" Target="http://www.doe.mass.edu/sped/hehir/2014-09synthesis.pdf" TargetMode="External"/><Relationship Id="rId49" Type="http://schemas.openxmlformats.org/officeDocument/2006/relationships/hyperlink" Target="http://www.doe.mass.edu/lawsregs/603cmr7.html?section=15" TargetMode="External"/><Relationship Id="rId57" Type="http://schemas.openxmlformats.org/officeDocument/2006/relationships/image" Target="media/image11.png"/><Relationship Id="rId10" Type="http://schemas.openxmlformats.org/officeDocument/2006/relationships/footnotes" Target="footnotes.xml"/><Relationship Id="rId31" Type="http://schemas.openxmlformats.org/officeDocument/2006/relationships/hyperlink" Target="http://www.doe.mass.edu/edwin/gateway/slereport-supp.html" TargetMode="External"/><Relationship Id="rId44" Type="http://schemas.openxmlformats.org/officeDocument/2006/relationships/hyperlink" Target="http://www.doe.mass.edu/edprep/EPIC/" TargetMode="External"/><Relationship Id="rId52" Type="http://schemas.openxmlformats.org/officeDocument/2006/relationships/hyperlink" Target="https://malegislature.gov/Laws/GeneralLaws/PartI/TitleXII/Chapter69/Section1B" TargetMode="External"/><Relationship Id="rId60" Type="http://schemas.openxmlformats.org/officeDocument/2006/relationships/image" Target="media/image14.png"/><Relationship Id="rId4" Type="http://schemas.openxmlformats.org/officeDocument/2006/relationships/customXml" Target="../customXml/item4.xml"/><Relationship Id="rId9"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www.nber.org/papers/w17243.pdf" TargetMode="External"/><Relationship Id="rId2" Type="http://schemas.openxmlformats.org/officeDocument/2006/relationships/hyperlink" Target="http://www.doe.mass.edu/research/reports/2013-12EducatorReport.pdf" TargetMode="External"/><Relationship Id="rId1" Type="http://schemas.openxmlformats.org/officeDocument/2006/relationships/hyperlink" Target="http://www.doe.mass.edu/research/reports/2017/10teacher-equity.pdf" TargetMode="External"/><Relationship Id="rId6" Type="http://schemas.openxmlformats.org/officeDocument/2006/relationships/hyperlink" Target="http://www.doe.mass.edu/sped/hehir/2014-09synthesis.pdf" TargetMode="External"/><Relationship Id="rId5" Type="http://schemas.openxmlformats.org/officeDocument/2006/relationships/hyperlink" Target="http://www.air.org/sites/default/files/downloads/report/Massachusetts-Study-of-Teacher-Supply-and-Demand-December-2015_rev.pdf" TargetMode="External"/><Relationship Id="rId4" Type="http://schemas.openxmlformats.org/officeDocument/2006/relationships/hyperlink" Target="http://www.air.org/sites/default/files/downloads/report/Massachusetts-Study-of-Teacher-Supply-and-Demand-December-2015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DESE-231-41551</_dlc_DocId>
    <_dlc_DocIdUrl xmlns="733efe1c-5bbe-4968-87dc-d400e65c879f">
      <Url>https://sharepoint.doemass.org/ese/webteam/cps/_layouts/DocIdRedir.aspx?ID=DESE-231-41551</Url>
      <Description>DESE-231-41551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34CD1D-84AC-478C-BBBF-6CF835801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934BC0-0709-4239-B389-14242FC7D90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E57A0EA-E019-46D1-8234-3BA52D83C186}">
  <ds:schemaRefs>
    <ds:schemaRef ds:uri="http://schemas.microsoft.com/sharepoint/events"/>
  </ds:schemaRefs>
</ds:datastoreItem>
</file>

<file path=customXml/itemProps4.xml><?xml version="1.0" encoding="utf-8"?>
<ds:datastoreItem xmlns:ds="http://schemas.openxmlformats.org/officeDocument/2006/customXml" ds:itemID="{B2127151-70C0-4644-8589-97F8CD5B369D}">
  <ds:schemaRefs>
    <ds:schemaRef ds:uri="http://schemas.microsoft.com/sharepoint/v3/contenttype/forms"/>
  </ds:schemaRefs>
</ds:datastoreItem>
</file>

<file path=customXml/itemProps5.xml><?xml version="1.0" encoding="utf-8"?>
<ds:datastoreItem xmlns:ds="http://schemas.openxmlformats.org/officeDocument/2006/customXml" ds:itemID="{DC5C4454-42BC-4DC5-A18E-44AB1C2E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8466</Words>
  <Characters>49362</Characters>
  <Application>Microsoft Office Word</Application>
  <DocSecurity>0</DocSecurity>
  <Lines>1645</Lines>
  <Paragraphs>760</Paragraphs>
  <ScaleCrop>false</ScaleCrop>
  <HeadingPairs>
    <vt:vector size="2" baseType="variant">
      <vt:variant>
        <vt:lpstr>Title</vt:lpstr>
      </vt:variant>
      <vt:variant>
        <vt:i4>1</vt:i4>
      </vt:variant>
    </vt:vector>
  </HeadingPairs>
  <TitlesOfParts>
    <vt:vector size="1" baseType="lpstr">
      <vt:lpstr>2018 Equity Update</vt:lpstr>
    </vt:vector>
  </TitlesOfParts>
  <Company/>
  <LinksUpToDate>false</LinksUpToDate>
  <CharactersWithSpaces>57068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Equity Update</dc:title>
  <dc:creator>DESE</dc:creator>
  <cp:lastModifiedBy>Zou, Dong</cp:lastModifiedBy>
  <cp:revision>6</cp:revision>
  <dcterms:created xsi:type="dcterms:W3CDTF">2018-04-27T16:52:00Z</dcterms:created>
  <dcterms:modified xsi:type="dcterms:W3CDTF">2018-04-27T18:30:00Z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27 2018</vt:lpwstr>
  </property>
</Properties>
</file>