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9EB5" w14:textId="2375594B" w:rsidR="00AF5F28" w:rsidRPr="00F110D6" w:rsidRDefault="009C324E" w:rsidP="00C07FA4">
      <w:pPr>
        <w:pStyle w:val="Heading1"/>
        <w:spacing w:before="0" w:after="0" w:line="240" w:lineRule="auto"/>
        <w:contextualSpacing/>
        <w:rPr>
          <w:rFonts w:asciiTheme="minorHAnsi" w:hAnsiTheme="minorHAnsi" w:cs="Arial"/>
          <w:b w:val="0"/>
          <w:color w:val="4F81BD" w:themeColor="accent1"/>
          <w:sz w:val="24"/>
          <w:szCs w:val="24"/>
        </w:rPr>
      </w:pPr>
      <w:r>
        <w:rPr>
          <w:rFonts w:asciiTheme="minorHAnsi" w:hAnsiTheme="minorHAnsi" w:cs="Arial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57728" behindDoc="1" locked="0" layoutInCell="0" allowOverlap="0" wp14:anchorId="02109EF7" wp14:editId="198BCDD0">
                <wp:simplePos x="0" y="0"/>
                <wp:positionH relativeFrom="margin">
                  <wp:posOffset>2871470</wp:posOffset>
                </wp:positionH>
                <wp:positionV relativeFrom="paragraph">
                  <wp:posOffset>-43815</wp:posOffset>
                </wp:positionV>
                <wp:extent cx="3848100" cy="3227705"/>
                <wp:effectExtent l="4445" t="9525" r="5080" b="1270"/>
                <wp:wrapTight wrapText="left">
                  <wp:wrapPolygon edited="0">
                    <wp:start x="1654" y="0"/>
                    <wp:lineTo x="1183" y="76"/>
                    <wp:lineTo x="0" y="1003"/>
                    <wp:lineTo x="-78" y="2316"/>
                    <wp:lineTo x="-78" y="19904"/>
                    <wp:lineTo x="474" y="20984"/>
                    <wp:lineTo x="1419" y="21524"/>
                    <wp:lineTo x="1654" y="21524"/>
                    <wp:lineTo x="19868" y="21524"/>
                    <wp:lineTo x="20103" y="21524"/>
                    <wp:lineTo x="21048" y="20984"/>
                    <wp:lineTo x="21600" y="19904"/>
                    <wp:lineTo x="21600" y="2316"/>
                    <wp:lineTo x="21522" y="1003"/>
                    <wp:lineTo x="20338" y="76"/>
                    <wp:lineTo x="19868" y="0"/>
                    <wp:lineTo x="1654" y="0"/>
                  </wp:wrapPolygon>
                </wp:wrapTight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48100" cy="3227705"/>
                        </a:xfrm>
                        <a:prstGeom prst="roundRect">
                          <a:avLst>
                            <a:gd name="adj" fmla="val 10153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109F05" w14:textId="77777777" w:rsidR="00A85207" w:rsidRPr="00F110D6" w:rsidRDefault="00A85207" w:rsidP="00A85207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10D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Overview of the MA Equity Plan</w:t>
                            </w:r>
                          </w:p>
                          <w:p w14:paraId="02109F06" w14:textId="77777777" w:rsidR="00A85207" w:rsidRPr="00F110D6" w:rsidRDefault="00F110D6" w:rsidP="00A85207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4"/>
                                <w:szCs w:val="4"/>
                              </w:rPr>
                            </w:pPr>
                            <w:r w:rsidRPr="00F110D6">
                              <w:rPr>
                                <w:rFonts w:cs="Arial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02109F07" w14:textId="77777777" w:rsidR="00A85207" w:rsidRPr="00F110D6" w:rsidRDefault="00A85207" w:rsidP="00A852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F110D6">
                              <w:rPr>
                                <w:rFonts w:cs="Arial"/>
                              </w:rPr>
                              <w:t xml:space="preserve">Response to July 2014 USED requirement of state plans to ensure </w:t>
                            </w:r>
                            <w:r w:rsidRPr="00F110D6">
                              <w:rPr>
                                <w:rFonts w:cs="Arial"/>
                                <w:b/>
                              </w:rPr>
                              <w:t>equal access to excellent educators</w:t>
                            </w:r>
                            <w:r w:rsidRPr="00F110D6">
                              <w:rPr>
                                <w:rFonts w:cs="Arial"/>
                              </w:rPr>
                              <w:t xml:space="preserve"> for low income and minority students</w:t>
                            </w:r>
                          </w:p>
                          <w:p w14:paraId="02109F08" w14:textId="77777777" w:rsidR="00A85207" w:rsidRPr="00F110D6" w:rsidRDefault="00A85207" w:rsidP="00A852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F110D6">
                              <w:rPr>
                                <w:rFonts w:cs="Arial"/>
                              </w:rPr>
                              <w:t xml:space="preserve">About increasing student experiences with excellent educators; </w:t>
                            </w:r>
                            <w:r w:rsidRPr="00F110D6">
                              <w:rPr>
                                <w:rFonts w:cs="Arial"/>
                                <w:b/>
                              </w:rPr>
                              <w:t>not about redistributing teachers</w:t>
                            </w:r>
                          </w:p>
                          <w:p w14:paraId="02109F09" w14:textId="77777777" w:rsidR="00A85207" w:rsidRPr="00F110D6" w:rsidRDefault="00A85207" w:rsidP="00A852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F110D6">
                              <w:rPr>
                                <w:rFonts w:cs="Arial"/>
                              </w:rPr>
                              <w:t>Defines “</w:t>
                            </w:r>
                            <w:r w:rsidRPr="00F110D6">
                              <w:rPr>
                                <w:rFonts w:cs="Arial"/>
                                <w:b/>
                              </w:rPr>
                              <w:t xml:space="preserve">excellent educator” </w:t>
                            </w:r>
                            <w:r w:rsidRPr="00F110D6">
                              <w:rPr>
                                <w:rFonts w:cs="Arial"/>
                              </w:rPr>
                              <w:t>as a combination of characteristics, which often include student impact, experience, and highly qualified status; definition not based on a “one size fits all” metric or formula</w:t>
                            </w:r>
                          </w:p>
                          <w:p w14:paraId="02109F0A" w14:textId="77777777" w:rsidR="00A85207" w:rsidRPr="00F110D6" w:rsidRDefault="00A85207" w:rsidP="00A852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F110D6">
                              <w:rPr>
                                <w:rFonts w:cs="Arial"/>
                              </w:rPr>
                              <w:t>Promotes equitable access through diverse approaches; does not require specific additional actions from districts/schools</w:t>
                            </w:r>
                          </w:p>
                          <w:p w14:paraId="02109F0B" w14:textId="77777777" w:rsidR="00A85207" w:rsidRPr="00F110D6" w:rsidRDefault="00A85207" w:rsidP="00A852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F110D6">
                              <w:rPr>
                                <w:rFonts w:cs="Arial"/>
                              </w:rPr>
                              <w:t>ESE will continue to provide updates to and solicit feedback from stakeholders</w:t>
                            </w:r>
                          </w:p>
                          <w:p w14:paraId="02109F0C" w14:textId="77777777" w:rsidR="00C07FA4" w:rsidRPr="00A85207" w:rsidRDefault="00C07FA4" w:rsidP="00A8520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09EF7" id="AutoShape 6" o:spid="_x0000_s1026" style="position:absolute;margin-left:226.1pt;margin-top:-3.45pt;width:303pt;height:254.15pt;flip:y;z-index:-251658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6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" o:allowincell="f" o:allowoverlap="f" fillcolor="#d3dfee [820]" stroked="f" strokecolor="#e36c0a [2409]" strokeweight="1pt">
                <v:shadow type="perspective" color="#31849b [2408]" origin=",.5" offset="0,-123pt" matrix=",,,-1"/>
                <v:textbox inset="0,0,0,0">
                  <w:txbxContent>
                    <w:p w14:paraId="02109F05" w14:textId="77777777" w:rsidR="00A85207" w:rsidRPr="00F110D6" w:rsidRDefault="00A85207" w:rsidP="00A85207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110D6">
                        <w:rPr>
                          <w:rFonts w:cs="Arial"/>
                          <w:b/>
                          <w:sz w:val="24"/>
                          <w:szCs w:val="24"/>
                        </w:rPr>
                        <w:t>Overview of the MA Equity Plan</w:t>
                      </w:r>
                    </w:p>
                    <w:p w14:paraId="02109F06" w14:textId="77777777" w:rsidR="00A85207" w:rsidRPr="00F110D6" w:rsidRDefault="00F110D6" w:rsidP="00A85207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4"/>
                          <w:szCs w:val="4"/>
                        </w:rPr>
                      </w:pPr>
                      <w:r w:rsidRPr="00F110D6">
                        <w:rPr>
                          <w:rFonts w:cs="Arial"/>
                          <w:b/>
                          <w:sz w:val="4"/>
                          <w:szCs w:val="4"/>
                        </w:rPr>
                        <w:t xml:space="preserve"> </w:t>
                      </w:r>
                    </w:p>
                    <w:p w14:paraId="02109F07" w14:textId="77777777" w:rsidR="00A85207" w:rsidRPr="00F110D6" w:rsidRDefault="00A85207" w:rsidP="00A852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F110D6">
                        <w:rPr>
                          <w:rFonts w:cs="Arial"/>
                        </w:rPr>
                        <w:t xml:space="preserve">Response to July 2014 USED requirement of state plans to ensure </w:t>
                      </w:r>
                      <w:r w:rsidRPr="00F110D6">
                        <w:rPr>
                          <w:rFonts w:cs="Arial"/>
                          <w:b/>
                        </w:rPr>
                        <w:t>equal access to excellent educators</w:t>
                      </w:r>
                      <w:r w:rsidRPr="00F110D6">
                        <w:rPr>
                          <w:rFonts w:cs="Arial"/>
                        </w:rPr>
                        <w:t xml:space="preserve"> for low income and minority students</w:t>
                      </w:r>
                    </w:p>
                    <w:p w14:paraId="02109F08" w14:textId="77777777" w:rsidR="00A85207" w:rsidRPr="00F110D6" w:rsidRDefault="00A85207" w:rsidP="00A852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F110D6">
                        <w:rPr>
                          <w:rFonts w:cs="Arial"/>
                        </w:rPr>
                        <w:t xml:space="preserve">About increasing student experiences with excellent educators; </w:t>
                      </w:r>
                      <w:r w:rsidRPr="00F110D6">
                        <w:rPr>
                          <w:rFonts w:cs="Arial"/>
                          <w:b/>
                        </w:rPr>
                        <w:t>not about redistributing teachers</w:t>
                      </w:r>
                    </w:p>
                    <w:p w14:paraId="02109F09" w14:textId="77777777" w:rsidR="00A85207" w:rsidRPr="00F110D6" w:rsidRDefault="00A85207" w:rsidP="00A852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F110D6">
                        <w:rPr>
                          <w:rFonts w:cs="Arial"/>
                        </w:rPr>
                        <w:t>Defines “</w:t>
                      </w:r>
                      <w:r w:rsidRPr="00F110D6">
                        <w:rPr>
                          <w:rFonts w:cs="Arial"/>
                          <w:b/>
                        </w:rPr>
                        <w:t xml:space="preserve">excellent educator” </w:t>
                      </w:r>
                      <w:r w:rsidRPr="00F110D6">
                        <w:rPr>
                          <w:rFonts w:cs="Arial"/>
                        </w:rPr>
                        <w:t>as a combination of characteristics, which often include student impact, experience, and highly qualified status; definition not based on a “one size fits all” metric or formula</w:t>
                      </w:r>
                    </w:p>
                    <w:p w14:paraId="02109F0A" w14:textId="77777777" w:rsidR="00A85207" w:rsidRPr="00F110D6" w:rsidRDefault="00A85207" w:rsidP="00A852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F110D6">
                        <w:rPr>
                          <w:rFonts w:cs="Arial"/>
                        </w:rPr>
                        <w:t>Promotes equitable access through diverse approaches; does not require specific additional actions from districts/schools</w:t>
                      </w:r>
                    </w:p>
                    <w:p w14:paraId="02109F0B" w14:textId="77777777" w:rsidR="00A85207" w:rsidRPr="00F110D6" w:rsidRDefault="00A85207" w:rsidP="00A852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F110D6">
                        <w:rPr>
                          <w:rFonts w:cs="Arial"/>
                        </w:rPr>
                        <w:t>ESE will continue to provide updates to and solicit feedback from stakeholders</w:t>
                      </w:r>
                    </w:p>
                    <w:p w14:paraId="02109F0C" w14:textId="77777777" w:rsidR="00C07FA4" w:rsidRPr="00A85207" w:rsidRDefault="00C07FA4" w:rsidP="00A8520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ight" side="left" anchorx="margin"/>
              </v:roundrect>
            </w:pict>
          </mc:Fallback>
        </mc:AlternateContent>
      </w:r>
      <w:r w:rsidR="006C2022" w:rsidRPr="00F110D6">
        <w:rPr>
          <w:rFonts w:asciiTheme="minorHAnsi" w:hAnsiTheme="minorHAnsi" w:cs="Arial"/>
          <w:b w:val="0"/>
          <w:color w:val="4F81BD" w:themeColor="accent1"/>
          <w:sz w:val="24"/>
          <w:szCs w:val="24"/>
        </w:rPr>
        <w:t>The</w:t>
      </w:r>
      <w:r w:rsidR="00F93B2A">
        <w:rPr>
          <w:rFonts w:asciiTheme="minorHAnsi" w:hAnsiTheme="minorHAnsi" w:cs="Arial"/>
          <w:b w:val="0"/>
          <w:sz w:val="24"/>
          <w:szCs w:val="24"/>
        </w:rPr>
        <w:t xml:space="preserve"> </w:t>
      </w:r>
      <w:hyperlink r:id="rId12" w:history="1">
        <w:r w:rsidR="00F93B2A">
          <w:rPr>
            <w:rStyle w:val="Hyperlink"/>
            <w:rFonts w:asciiTheme="minorHAnsi" w:hAnsiTheme="minorHAnsi" w:cs="Arial"/>
            <w:b w:val="0"/>
            <w:sz w:val="24"/>
            <w:szCs w:val="24"/>
          </w:rPr>
          <w:t>Massachusetts Equity Plan for 2015 - 2019</w:t>
        </w:r>
      </w:hyperlink>
      <w:bookmarkStart w:id="0" w:name="_GoBack"/>
      <w:bookmarkEnd w:id="0"/>
      <w:r w:rsidR="00F93B2A">
        <w:rPr>
          <w:rFonts w:asciiTheme="minorHAnsi" w:hAnsiTheme="minorHAnsi" w:cs="Arial"/>
          <w:b w:val="0"/>
          <w:color w:val="4F81BD" w:themeColor="accent1"/>
          <w:sz w:val="24"/>
          <w:szCs w:val="24"/>
        </w:rPr>
        <w:t xml:space="preserve"> </w:t>
      </w:r>
      <w:r w:rsidR="006C2022" w:rsidRPr="00F110D6">
        <w:rPr>
          <w:rFonts w:asciiTheme="minorHAnsi" w:hAnsiTheme="minorHAnsi" w:cs="Arial"/>
          <w:b w:val="0"/>
          <w:color w:val="4F81BD" w:themeColor="accent1"/>
          <w:sz w:val="24"/>
          <w:szCs w:val="24"/>
        </w:rPr>
        <w:t xml:space="preserve">details ESE’s plan to close gaps </w:t>
      </w:r>
      <w:r w:rsidR="00AF5F28" w:rsidRPr="00F110D6">
        <w:rPr>
          <w:rFonts w:asciiTheme="minorHAnsi" w:hAnsiTheme="minorHAnsi" w:cs="Arial"/>
          <w:b w:val="0"/>
          <w:color w:val="4F81BD" w:themeColor="accent1"/>
          <w:sz w:val="24"/>
          <w:szCs w:val="24"/>
        </w:rPr>
        <w:t>in access to excellent teachers and school l</w:t>
      </w:r>
      <w:r w:rsidR="00C07FA4" w:rsidRPr="00F110D6">
        <w:rPr>
          <w:rFonts w:asciiTheme="minorHAnsi" w:hAnsiTheme="minorHAnsi" w:cs="Arial"/>
          <w:b w:val="0"/>
          <w:color w:val="4F81BD" w:themeColor="accent1"/>
          <w:sz w:val="24"/>
          <w:szCs w:val="24"/>
        </w:rPr>
        <w:t xml:space="preserve">eaders. Data analysis shows low </w:t>
      </w:r>
      <w:r w:rsidR="00AF5F28" w:rsidRPr="00F110D6">
        <w:rPr>
          <w:rFonts w:asciiTheme="minorHAnsi" w:hAnsiTheme="minorHAnsi" w:cs="Arial"/>
          <w:b w:val="0"/>
          <w:color w:val="4F81BD" w:themeColor="accent1"/>
          <w:sz w:val="24"/>
          <w:szCs w:val="24"/>
        </w:rPr>
        <w:t>income and minority students have less exposure to experienced, prepared, and effective educators.</w:t>
      </w:r>
    </w:p>
    <w:p w14:paraId="02109EB6" w14:textId="1F40BD43" w:rsidR="00C07FA4" w:rsidRDefault="009C324E" w:rsidP="00C07FA4">
      <w:pPr>
        <w:spacing w:after="0" w:line="240" w:lineRule="auto"/>
        <w:contextualSpacing/>
        <w:rPr>
          <w:color w:val="FFFFFF" w:themeColor="background1"/>
          <w:sz w:val="8"/>
          <w:szCs w:val="8"/>
        </w:rPr>
      </w:pPr>
      <w:r>
        <w:rPr>
          <w:rFonts w:ascii="Calibri" w:hAnsi="Calibri"/>
          <w:bCs/>
          <w:i/>
          <w:noProof/>
          <w:sz w:val="20"/>
          <w:szCs w:val="20"/>
        </w:rPr>
        <mc:AlternateContent>
          <mc:Choice Requires="wps">
            <w:drawing>
              <wp:anchor distT="91440" distB="91440" distL="91440" distR="91440" simplePos="0" relativeHeight="251663872" behindDoc="1" locked="0" layoutInCell="0" allowOverlap="0" wp14:anchorId="02109EF8" wp14:editId="3461993E">
                <wp:simplePos x="0" y="0"/>
                <wp:positionH relativeFrom="margin">
                  <wp:posOffset>-3810</wp:posOffset>
                </wp:positionH>
                <wp:positionV relativeFrom="paragraph">
                  <wp:posOffset>102235</wp:posOffset>
                </wp:positionV>
                <wp:extent cx="2653030" cy="1779270"/>
                <wp:effectExtent l="5715" t="10160" r="8255" b="10795"/>
                <wp:wrapTight wrapText="left">
                  <wp:wrapPolygon edited="0">
                    <wp:start x="1613" y="-116"/>
                    <wp:lineTo x="853" y="0"/>
                    <wp:lineTo x="-93" y="1064"/>
                    <wp:lineTo x="-93" y="19711"/>
                    <wp:lineTo x="93" y="20660"/>
                    <wp:lineTo x="946" y="21484"/>
                    <wp:lineTo x="1044" y="21484"/>
                    <wp:lineTo x="20463" y="21484"/>
                    <wp:lineTo x="20556" y="21484"/>
                    <wp:lineTo x="21507" y="20660"/>
                    <wp:lineTo x="21693" y="18763"/>
                    <wp:lineTo x="21693" y="1179"/>
                    <wp:lineTo x="20556" y="0"/>
                    <wp:lineTo x="19894" y="-116"/>
                    <wp:lineTo x="1613" y="-116"/>
                  </wp:wrapPolygon>
                </wp:wrapTight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53030" cy="1779270"/>
                        </a:xfrm>
                        <a:prstGeom prst="roundRect">
                          <a:avLst>
                            <a:gd name="adj" fmla="val 101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109F0D" w14:textId="77777777" w:rsidR="00A85207" w:rsidRPr="00840868" w:rsidRDefault="00A85207" w:rsidP="00A85207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4086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Stakeholders Involved in Development of the Plan</w:t>
                            </w:r>
                          </w:p>
                          <w:p w14:paraId="02109F0E" w14:textId="77777777" w:rsidR="00A85207" w:rsidRPr="00840868" w:rsidRDefault="00A85207" w:rsidP="00A85207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40868">
                              <w:rPr>
                                <w:rFonts w:cs="Arial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2109F0F" w14:textId="77777777" w:rsidR="00A85207" w:rsidRPr="00840868" w:rsidRDefault="00A85207" w:rsidP="00A85207">
                            <w:pPr>
                              <w:pStyle w:val="FootnoteText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contextualSpacing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40868">
                              <w:rPr>
                                <w:rFonts w:asciiTheme="minorHAnsi" w:hAnsiTheme="minorHAnsi" w:cs="Arial"/>
                              </w:rPr>
                              <w:t>District and school leaders</w:t>
                            </w:r>
                          </w:p>
                          <w:p w14:paraId="02109F10" w14:textId="77777777" w:rsidR="00A85207" w:rsidRPr="00840868" w:rsidRDefault="00A85207" w:rsidP="00A85207">
                            <w:pPr>
                              <w:pStyle w:val="FootnoteText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contextualSpacing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40868">
                              <w:rPr>
                                <w:rFonts w:asciiTheme="minorHAnsi" w:hAnsiTheme="minorHAnsi" w:cs="Arial"/>
                              </w:rPr>
                              <w:t>Teachers</w:t>
                            </w:r>
                          </w:p>
                          <w:p w14:paraId="02109F11" w14:textId="77777777" w:rsidR="00A85207" w:rsidRPr="00840868" w:rsidRDefault="00A85207" w:rsidP="00A85207">
                            <w:pPr>
                              <w:pStyle w:val="FootnoteText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contextualSpacing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40868">
                              <w:rPr>
                                <w:rFonts w:asciiTheme="minorHAnsi" w:hAnsiTheme="minorHAnsi" w:cs="Arial"/>
                              </w:rPr>
                              <w:t>Other school personnel</w:t>
                            </w:r>
                          </w:p>
                          <w:p w14:paraId="02109F12" w14:textId="77777777" w:rsidR="00A85207" w:rsidRPr="00840868" w:rsidRDefault="00A85207" w:rsidP="00A85207">
                            <w:pPr>
                              <w:pStyle w:val="FootnoteText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contextualSpacing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40868">
                              <w:rPr>
                                <w:rFonts w:asciiTheme="minorHAnsi" w:hAnsiTheme="minorHAnsi" w:cs="Arial"/>
                              </w:rPr>
                              <w:t>Parents</w:t>
                            </w:r>
                          </w:p>
                          <w:p w14:paraId="02109F13" w14:textId="77777777" w:rsidR="00A85207" w:rsidRPr="00840868" w:rsidRDefault="00905A55" w:rsidP="00A85207">
                            <w:pPr>
                              <w:pStyle w:val="FootnoteText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contextualSpacing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Representatives of English Language Learners and Students with Disabilities</w:t>
                            </w:r>
                          </w:p>
                          <w:p w14:paraId="02109F14" w14:textId="77777777" w:rsidR="00A85207" w:rsidRPr="00840868" w:rsidRDefault="00A85207" w:rsidP="00A85207">
                            <w:pPr>
                              <w:pStyle w:val="FootnoteText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contextualSpacing/>
                              <w:rPr>
                                <w:rFonts w:asciiTheme="minorHAnsi" w:hAnsiTheme="minorHAnsi" w:cs="Arial"/>
                              </w:rPr>
                            </w:pPr>
                            <w:r w:rsidRPr="00840868">
                              <w:rPr>
                                <w:rFonts w:asciiTheme="minorHAnsi" w:hAnsiTheme="minorHAnsi" w:cs="Arial"/>
                              </w:rPr>
                              <w:t>Educator Preparation Programs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09EF8" id="AutoShape 14" o:spid="_x0000_s1027" style="position:absolute;margin-left:-.3pt;margin-top:8.05pt;width:208.9pt;height:140.1pt;flip:y;z-index:-2516526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6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" o:allowincell="f" o:allowoverlap="f" fillcolor="white [3201]" strokecolor="#4f81bd [3204]" strokeweight=".5pt">
                <v:shadow color="#868686"/>
                <v:textbox inset="0,0,0,0">
                  <w:txbxContent>
                    <w:p w14:paraId="02109F0D" w14:textId="77777777" w:rsidR="00A85207" w:rsidRPr="00840868" w:rsidRDefault="00A85207" w:rsidP="00A85207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40868">
                        <w:rPr>
                          <w:rFonts w:cs="Arial"/>
                          <w:b/>
                          <w:sz w:val="24"/>
                          <w:szCs w:val="24"/>
                        </w:rPr>
                        <w:t>Stakeholders Involved in Development of the Plan</w:t>
                      </w:r>
                    </w:p>
                    <w:p w14:paraId="02109F0E" w14:textId="77777777" w:rsidR="00A85207" w:rsidRPr="00840868" w:rsidRDefault="00A85207" w:rsidP="00A85207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8"/>
                          <w:szCs w:val="8"/>
                        </w:rPr>
                      </w:pPr>
                      <w:r w:rsidRPr="00840868">
                        <w:rPr>
                          <w:rFonts w:cs="Arial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  <w:p w14:paraId="02109F0F" w14:textId="77777777" w:rsidR="00A85207" w:rsidRPr="00840868" w:rsidRDefault="00A85207" w:rsidP="00A85207">
                      <w:pPr>
                        <w:pStyle w:val="FootnoteText"/>
                        <w:numPr>
                          <w:ilvl w:val="0"/>
                          <w:numId w:val="20"/>
                        </w:numPr>
                        <w:spacing w:before="0"/>
                        <w:contextualSpacing/>
                        <w:rPr>
                          <w:rFonts w:asciiTheme="minorHAnsi" w:hAnsiTheme="minorHAnsi" w:cs="Arial"/>
                          <w:b/>
                        </w:rPr>
                      </w:pPr>
                      <w:r w:rsidRPr="00840868">
                        <w:rPr>
                          <w:rFonts w:asciiTheme="minorHAnsi" w:hAnsiTheme="minorHAnsi" w:cs="Arial"/>
                        </w:rPr>
                        <w:t>District and school leaders</w:t>
                      </w:r>
                    </w:p>
                    <w:p w14:paraId="02109F10" w14:textId="77777777" w:rsidR="00A85207" w:rsidRPr="00840868" w:rsidRDefault="00A85207" w:rsidP="00A85207">
                      <w:pPr>
                        <w:pStyle w:val="FootnoteText"/>
                        <w:numPr>
                          <w:ilvl w:val="0"/>
                          <w:numId w:val="20"/>
                        </w:numPr>
                        <w:spacing w:before="0"/>
                        <w:contextualSpacing/>
                        <w:rPr>
                          <w:rFonts w:asciiTheme="minorHAnsi" w:hAnsiTheme="minorHAnsi" w:cs="Arial"/>
                          <w:b/>
                        </w:rPr>
                      </w:pPr>
                      <w:r w:rsidRPr="00840868">
                        <w:rPr>
                          <w:rFonts w:asciiTheme="minorHAnsi" w:hAnsiTheme="minorHAnsi" w:cs="Arial"/>
                        </w:rPr>
                        <w:t>Teachers</w:t>
                      </w:r>
                    </w:p>
                    <w:p w14:paraId="02109F11" w14:textId="77777777" w:rsidR="00A85207" w:rsidRPr="00840868" w:rsidRDefault="00A85207" w:rsidP="00A85207">
                      <w:pPr>
                        <w:pStyle w:val="FootnoteText"/>
                        <w:numPr>
                          <w:ilvl w:val="0"/>
                          <w:numId w:val="20"/>
                        </w:numPr>
                        <w:spacing w:before="0"/>
                        <w:contextualSpacing/>
                        <w:rPr>
                          <w:rFonts w:asciiTheme="minorHAnsi" w:hAnsiTheme="minorHAnsi" w:cs="Arial"/>
                          <w:b/>
                        </w:rPr>
                      </w:pPr>
                      <w:r w:rsidRPr="00840868">
                        <w:rPr>
                          <w:rFonts w:asciiTheme="minorHAnsi" w:hAnsiTheme="minorHAnsi" w:cs="Arial"/>
                        </w:rPr>
                        <w:t>Other school personnel</w:t>
                      </w:r>
                    </w:p>
                    <w:p w14:paraId="02109F12" w14:textId="77777777" w:rsidR="00A85207" w:rsidRPr="00840868" w:rsidRDefault="00A85207" w:rsidP="00A85207">
                      <w:pPr>
                        <w:pStyle w:val="FootnoteText"/>
                        <w:numPr>
                          <w:ilvl w:val="0"/>
                          <w:numId w:val="20"/>
                        </w:numPr>
                        <w:spacing w:before="0"/>
                        <w:contextualSpacing/>
                        <w:rPr>
                          <w:rFonts w:asciiTheme="minorHAnsi" w:hAnsiTheme="minorHAnsi" w:cs="Arial"/>
                          <w:b/>
                        </w:rPr>
                      </w:pPr>
                      <w:r w:rsidRPr="00840868">
                        <w:rPr>
                          <w:rFonts w:asciiTheme="minorHAnsi" w:hAnsiTheme="minorHAnsi" w:cs="Arial"/>
                        </w:rPr>
                        <w:t>Parents</w:t>
                      </w:r>
                    </w:p>
                    <w:p w14:paraId="02109F13" w14:textId="77777777" w:rsidR="00A85207" w:rsidRPr="00840868" w:rsidRDefault="00905A55" w:rsidP="00A85207">
                      <w:pPr>
                        <w:pStyle w:val="FootnoteText"/>
                        <w:numPr>
                          <w:ilvl w:val="0"/>
                          <w:numId w:val="20"/>
                        </w:numPr>
                        <w:spacing w:before="0"/>
                        <w:contextualSpacing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Representatives of English Language Learners and Students with Disabilities</w:t>
                      </w:r>
                    </w:p>
                    <w:p w14:paraId="02109F14" w14:textId="77777777" w:rsidR="00A85207" w:rsidRPr="00840868" w:rsidRDefault="00A85207" w:rsidP="00A85207">
                      <w:pPr>
                        <w:pStyle w:val="FootnoteText"/>
                        <w:numPr>
                          <w:ilvl w:val="0"/>
                          <w:numId w:val="20"/>
                        </w:numPr>
                        <w:spacing w:before="0"/>
                        <w:contextualSpacing/>
                        <w:rPr>
                          <w:rFonts w:asciiTheme="minorHAnsi" w:hAnsiTheme="minorHAnsi" w:cs="Arial"/>
                        </w:rPr>
                      </w:pPr>
                      <w:r w:rsidRPr="00840868">
                        <w:rPr>
                          <w:rFonts w:asciiTheme="minorHAnsi" w:hAnsiTheme="minorHAnsi" w:cs="Arial"/>
                        </w:rPr>
                        <w:t>Educator Preparation Programs</w:t>
                      </w:r>
                    </w:p>
                  </w:txbxContent>
                </v:textbox>
                <w10:wrap type="tight" side="left" anchorx="margin"/>
              </v:roundrect>
            </w:pict>
          </mc:Fallback>
        </mc:AlternateContent>
      </w:r>
      <w:r w:rsidR="00C07FA4" w:rsidRPr="00C07FA4">
        <w:rPr>
          <w:color w:val="FFFFFF" w:themeColor="background1"/>
          <w:sz w:val="8"/>
          <w:szCs w:val="8"/>
        </w:rPr>
        <w:t xml:space="preserve">  </w:t>
      </w:r>
    </w:p>
    <w:p w14:paraId="02109EB7" w14:textId="77777777" w:rsidR="00A85207" w:rsidRDefault="00A85207" w:rsidP="00C07FA4">
      <w:pPr>
        <w:spacing w:after="0" w:line="240" w:lineRule="auto"/>
        <w:contextualSpacing/>
        <w:rPr>
          <w:color w:val="FFFFFF" w:themeColor="background1"/>
          <w:sz w:val="8"/>
          <w:szCs w:val="8"/>
        </w:rPr>
      </w:pPr>
    </w:p>
    <w:p w14:paraId="02109EB8" w14:textId="77777777" w:rsidR="00A85207" w:rsidRDefault="00A85207" w:rsidP="00C07FA4">
      <w:pPr>
        <w:spacing w:after="0" w:line="240" w:lineRule="auto"/>
        <w:contextualSpacing/>
        <w:rPr>
          <w:color w:val="FFFFFF" w:themeColor="background1"/>
          <w:sz w:val="8"/>
          <w:szCs w:val="8"/>
        </w:rPr>
      </w:pPr>
    </w:p>
    <w:p w14:paraId="02109EB9" w14:textId="77777777" w:rsidR="00A85207" w:rsidRDefault="00A85207" w:rsidP="00C07FA4">
      <w:pPr>
        <w:spacing w:after="0" w:line="240" w:lineRule="auto"/>
        <w:contextualSpacing/>
        <w:rPr>
          <w:color w:val="FFFFFF" w:themeColor="background1"/>
          <w:sz w:val="8"/>
          <w:szCs w:val="8"/>
        </w:rPr>
      </w:pPr>
    </w:p>
    <w:p w14:paraId="02109EBA" w14:textId="77777777" w:rsidR="00A85207" w:rsidRPr="00C07FA4" w:rsidRDefault="00A85207" w:rsidP="00C07FA4">
      <w:pPr>
        <w:spacing w:after="0" w:line="240" w:lineRule="auto"/>
        <w:contextualSpacing/>
        <w:rPr>
          <w:color w:val="FFFFFF" w:themeColor="background1"/>
          <w:sz w:val="8"/>
          <w:szCs w:val="8"/>
        </w:rPr>
      </w:pPr>
      <w:r>
        <w:rPr>
          <w:noProof/>
          <w:color w:val="FFFFFF" w:themeColor="background1"/>
          <w:sz w:val="8"/>
          <w:szCs w:val="8"/>
        </w:rPr>
        <w:drawing>
          <wp:anchor distT="0" distB="0" distL="114300" distR="114300" simplePos="0" relativeHeight="251659776" behindDoc="1" locked="0" layoutInCell="1" allowOverlap="1" wp14:anchorId="02109EF9" wp14:editId="02109EFA">
            <wp:simplePos x="0" y="0"/>
            <wp:positionH relativeFrom="column">
              <wp:posOffset>180975</wp:posOffset>
            </wp:positionH>
            <wp:positionV relativeFrom="paragraph">
              <wp:posOffset>605155</wp:posOffset>
            </wp:positionV>
            <wp:extent cx="6286500" cy="2207895"/>
            <wp:effectExtent l="19050" t="0" r="0" b="0"/>
            <wp:wrapTight wrapText="bothSides">
              <wp:wrapPolygon edited="0">
                <wp:start x="-65" y="0"/>
                <wp:lineTo x="-65" y="21432"/>
                <wp:lineTo x="21600" y="21432"/>
                <wp:lineTo x="21600" y="0"/>
                <wp:lineTo x="-65" y="0"/>
              </wp:wrapPolygon>
            </wp:wrapTight>
            <wp:docPr id="12" name="Picture 10" descr="Horizontal bar graph&#10;Y axis lists types of teachers: needs improvement/unsatisfactory, primary license, out-of-field, unlicensed, and first year.&#10;X axis shows the percent of teachers&#10;Each category in the y axis has four bars, representing low minoirty schools, high minority schools, low poverty schools, and high poverty schools.&#10;Needs Improvement/Unsatisfactory teachers make up 3.4% of teachers in low minority schools, 9.1% of teachers in high minority schools, 2.9% of teachers in low poverty schools, and 9.7% of teachers in high poverty schools.&#10;Teachers with a preliminary license make up 3.7% of teachers in low minority schools, 6.1% of teachers in high minority schools, 3% of teachers in low poverty schools, and 6.6% of teachers in high poverty schools.&#10;Out-of-field teachers make up 1.1% of teachers in low minority schools, 9% of teachers in high minority schools, 1.3% of teachers in low poverty schools, and 9% of teachers in high poverty schools.&#10;Unlicensed teachers make up 0.9% of teachers in low minority schools, 5.3% of teachers in high minority schools, 1.2% of teachers in low poverty schools, and 5.1% of teachers in high poverty schools.&#10;Finally, first year teachers make up 5.2% of teachers in low minority schools, 10.2% of teachers in high minority schools, 5.8% of teachers in low poverty schools, and 10% of teachers in high poverty school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A85207" w14:paraId="02109EBD" w14:textId="77777777" w:rsidTr="00A85207">
        <w:tc>
          <w:tcPr>
            <w:tcW w:w="10818" w:type="dxa"/>
            <w:shd w:val="clear" w:color="auto" w:fill="4F81BD" w:themeFill="accent1"/>
          </w:tcPr>
          <w:p w14:paraId="02109EBB" w14:textId="77777777" w:rsidR="00A85207" w:rsidRPr="00F110D6" w:rsidRDefault="00A85207" w:rsidP="00A85207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F110D6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Gaps Between Schools in Highest and Lowest Quartiles </w:t>
            </w:r>
          </w:p>
          <w:p w14:paraId="02109EBC" w14:textId="77777777" w:rsidR="00A85207" w:rsidRPr="00B17F4A" w:rsidRDefault="00A85207" w:rsidP="00A85207">
            <w:pPr>
              <w:spacing w:line="264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110D6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of Minority and Low-Income Students</w:t>
            </w:r>
          </w:p>
        </w:tc>
      </w:tr>
    </w:tbl>
    <w:p w14:paraId="02109EBE" w14:textId="77777777" w:rsidR="00795AB9" w:rsidRDefault="00795AB9" w:rsidP="00795AB9">
      <w:pPr>
        <w:pStyle w:val="Heading1"/>
        <w:spacing w:before="0" w:after="0" w:line="240" w:lineRule="auto"/>
        <w:contextualSpacing/>
        <w:rPr>
          <w:rFonts w:cs="Arial"/>
          <w:color w:val="E36C0A" w:themeColor="accent6" w:themeShade="BF"/>
          <w:sz w:val="24"/>
          <w:szCs w:val="24"/>
        </w:rPr>
      </w:pPr>
    </w:p>
    <w:p w14:paraId="02109EBF" w14:textId="77777777" w:rsidR="00795AB9" w:rsidRPr="00795AB9" w:rsidRDefault="00795AB9" w:rsidP="00795AB9">
      <w:pPr>
        <w:spacing w:after="0" w:line="240" w:lineRule="auto"/>
        <w:contextualSpacing/>
      </w:pPr>
    </w:p>
    <w:p w14:paraId="02109EC0" w14:textId="77777777" w:rsidR="00795AB9" w:rsidRDefault="00795AB9" w:rsidP="00795AB9">
      <w:pPr>
        <w:pStyle w:val="Heading1"/>
        <w:spacing w:before="0" w:after="0" w:line="240" w:lineRule="auto"/>
        <w:contextualSpacing/>
        <w:rPr>
          <w:rFonts w:cs="Arial"/>
          <w:color w:val="E36C0A" w:themeColor="accent6" w:themeShade="BF"/>
          <w:sz w:val="24"/>
          <w:szCs w:val="24"/>
        </w:rPr>
      </w:pPr>
    </w:p>
    <w:p w14:paraId="02109EC1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2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3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4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5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6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7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8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9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A" w14:textId="77777777" w:rsidR="00803F2B" w:rsidRDefault="00803F2B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02109ECB" w14:textId="77777777" w:rsidR="00795AB9" w:rsidRPr="00F110D6" w:rsidRDefault="00795AB9" w:rsidP="00795AB9">
      <w:pPr>
        <w:spacing w:after="0" w:line="264" w:lineRule="auto"/>
        <w:rPr>
          <w:rFonts w:cs="Arial"/>
          <w:bCs/>
          <w:i/>
          <w:sz w:val="16"/>
          <w:szCs w:val="16"/>
        </w:rPr>
      </w:pPr>
      <w:r w:rsidRPr="00F110D6">
        <w:rPr>
          <w:rFonts w:cs="Arial"/>
          <w:bCs/>
          <w:i/>
          <w:sz w:val="16"/>
          <w:szCs w:val="16"/>
        </w:rPr>
        <w:t>Source: Educator Personnel Information System (EPIMS) 2013-2014 Data Collection</w:t>
      </w:r>
    </w:p>
    <w:p w14:paraId="02109ECC" w14:textId="77777777" w:rsidR="007A5A1E" w:rsidRPr="00F110D6" w:rsidRDefault="00795AB9" w:rsidP="00795AB9">
      <w:pPr>
        <w:spacing w:after="0" w:line="264" w:lineRule="auto"/>
        <w:rPr>
          <w:bCs/>
          <w:i/>
          <w:sz w:val="8"/>
          <w:szCs w:val="8"/>
        </w:rPr>
      </w:pPr>
      <w:r w:rsidRPr="00F110D6">
        <w:rPr>
          <w:bCs/>
          <w:i/>
          <w:sz w:val="8"/>
          <w:szCs w:val="8"/>
        </w:rPr>
        <w:t xml:space="preserve"> </w:t>
      </w:r>
      <w:r w:rsidR="007A5A1E" w:rsidRPr="00F110D6">
        <w:rPr>
          <w:bCs/>
          <w:i/>
          <w:sz w:val="8"/>
          <w:szCs w:val="8"/>
        </w:rPr>
        <w:t xml:space="preserve"> </w:t>
      </w:r>
    </w:p>
    <w:p w14:paraId="02109ECD" w14:textId="77777777" w:rsidR="003F156C" w:rsidRPr="00F110D6" w:rsidRDefault="007A5A1E" w:rsidP="007A5A1E">
      <w:pPr>
        <w:spacing w:after="0" w:line="264" w:lineRule="auto"/>
        <w:rPr>
          <w:rFonts w:cs="Arial"/>
          <w:b/>
          <w:color w:val="E36C0A" w:themeColor="accent6" w:themeShade="BF"/>
          <w:sz w:val="20"/>
          <w:szCs w:val="20"/>
        </w:rPr>
      </w:pPr>
      <w:r w:rsidRPr="00F110D6">
        <w:rPr>
          <w:rFonts w:cs="Arial"/>
          <w:bCs/>
          <w:sz w:val="20"/>
          <w:szCs w:val="20"/>
        </w:rPr>
        <w:t xml:space="preserve">Data analysis also showed </w:t>
      </w:r>
      <w:r w:rsidRPr="00F110D6">
        <w:rPr>
          <w:rFonts w:cs="Arial"/>
          <w:b/>
          <w:bCs/>
          <w:sz w:val="20"/>
          <w:szCs w:val="20"/>
        </w:rPr>
        <w:t>gaps in principal access</w:t>
      </w:r>
      <w:r w:rsidRPr="00F110D6">
        <w:rPr>
          <w:rFonts w:cs="Arial"/>
          <w:bCs/>
          <w:sz w:val="20"/>
          <w:szCs w:val="20"/>
        </w:rPr>
        <w:t>. Please see the full Equity Plan for more information.</w:t>
      </w:r>
    </w:p>
    <w:p w14:paraId="02109ECE" w14:textId="77777777" w:rsidR="007A5A1E" w:rsidRPr="00F110D6" w:rsidRDefault="007A5A1E" w:rsidP="007A5A1E">
      <w:pPr>
        <w:spacing w:after="0" w:line="264" w:lineRule="auto"/>
        <w:rPr>
          <w:rFonts w:cs="Arial"/>
          <w:b/>
          <w:color w:val="E36C0A" w:themeColor="accent6" w:themeShade="BF"/>
          <w:w w:val="95"/>
          <w:sz w:val="8"/>
          <w:szCs w:val="8"/>
        </w:rPr>
      </w:pPr>
      <w:r w:rsidRPr="00F110D6">
        <w:rPr>
          <w:rFonts w:cs="Arial"/>
          <w:b/>
          <w:color w:val="E36C0A" w:themeColor="accent6" w:themeShade="BF"/>
          <w:w w:val="95"/>
          <w:sz w:val="8"/>
          <w:szCs w:val="8"/>
        </w:rPr>
        <w:t xml:space="preserve"> </w:t>
      </w:r>
      <w:r w:rsidR="00454E0B" w:rsidRPr="00F110D6">
        <w:rPr>
          <w:rFonts w:cs="Arial"/>
          <w:b/>
          <w:color w:val="E36C0A" w:themeColor="accent6" w:themeShade="BF"/>
          <w:w w:val="95"/>
          <w:sz w:val="8"/>
          <w:szCs w:val="8"/>
        </w:rPr>
        <w:t xml:space="preserve"> </w:t>
      </w:r>
    </w:p>
    <w:p w14:paraId="02109ECF" w14:textId="77777777" w:rsidR="00356028" w:rsidRPr="00F110D6" w:rsidRDefault="00356028" w:rsidP="00356028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E36C0A" w:themeColor="accent6" w:themeShade="BF"/>
          <w:w w:val="95"/>
          <w:sz w:val="28"/>
        </w:rPr>
      </w:pPr>
      <w:r w:rsidRPr="00F110D6">
        <w:rPr>
          <w:rFonts w:asciiTheme="minorHAnsi" w:hAnsiTheme="minorHAnsi" w:cs="Arial"/>
          <w:color w:val="E36C0A" w:themeColor="accent6" w:themeShade="BF"/>
          <w:w w:val="95"/>
          <w:sz w:val="28"/>
        </w:rPr>
        <w:t>Four Key Strategies Highlighted</w:t>
      </w:r>
    </w:p>
    <w:p w14:paraId="02109ED0" w14:textId="77777777" w:rsidR="0096030C" w:rsidRPr="00F110D6" w:rsidRDefault="0096030C" w:rsidP="0096030C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F110D6">
        <w:rPr>
          <w:rFonts w:cs="Arial"/>
          <w:sz w:val="20"/>
          <w:szCs w:val="20"/>
        </w:rPr>
        <w:t>Educator Pre</w:t>
      </w:r>
      <w:r w:rsidR="00803F2B" w:rsidRPr="00F110D6">
        <w:rPr>
          <w:rFonts w:cs="Arial"/>
          <w:sz w:val="20"/>
          <w:szCs w:val="20"/>
        </w:rPr>
        <w:t>paration – changes and additions to approval of EPPs and monitoring of outcomes</w:t>
      </w:r>
    </w:p>
    <w:p w14:paraId="02109ED1" w14:textId="77777777" w:rsidR="0096030C" w:rsidRPr="00F110D6" w:rsidRDefault="0096030C" w:rsidP="0096030C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F110D6">
        <w:rPr>
          <w:rFonts w:cs="Arial"/>
          <w:sz w:val="20"/>
          <w:szCs w:val="20"/>
        </w:rPr>
        <w:t>Educator Evaluation System</w:t>
      </w:r>
      <w:r w:rsidR="00A85207" w:rsidRPr="00F110D6">
        <w:rPr>
          <w:rFonts w:cs="Arial"/>
          <w:sz w:val="20"/>
          <w:szCs w:val="20"/>
        </w:rPr>
        <w:t xml:space="preserve"> –  state </w:t>
      </w:r>
      <w:r w:rsidR="00A85207" w:rsidRPr="00F110D6">
        <w:rPr>
          <w:rFonts w:cs="Arial"/>
          <w:b/>
          <w:sz w:val="20"/>
          <w:szCs w:val="20"/>
        </w:rPr>
        <w:t>supports</w:t>
      </w:r>
      <w:r w:rsidR="00A85207" w:rsidRPr="00F110D6">
        <w:rPr>
          <w:rFonts w:cs="Arial"/>
          <w:sz w:val="20"/>
          <w:szCs w:val="20"/>
        </w:rPr>
        <w:t xml:space="preserve"> </w:t>
      </w:r>
      <w:r w:rsidR="00A85207" w:rsidRPr="00F110D6">
        <w:rPr>
          <w:rFonts w:cs="Arial"/>
          <w:b/>
          <w:sz w:val="20"/>
          <w:szCs w:val="20"/>
        </w:rPr>
        <w:t>districts and schools</w:t>
      </w:r>
      <w:r w:rsidR="00A85207" w:rsidRPr="00F110D6">
        <w:rPr>
          <w:rFonts w:cs="Arial"/>
          <w:sz w:val="20"/>
          <w:szCs w:val="20"/>
        </w:rPr>
        <w:t xml:space="preserve"> in effective implementation </w:t>
      </w:r>
    </w:p>
    <w:p w14:paraId="02109ED2" w14:textId="77777777" w:rsidR="0096030C" w:rsidRPr="00F110D6" w:rsidRDefault="0096030C" w:rsidP="0096030C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F110D6">
        <w:rPr>
          <w:rFonts w:cs="Arial"/>
          <w:sz w:val="20"/>
          <w:szCs w:val="20"/>
        </w:rPr>
        <w:t>Student Learning Experience Report</w:t>
      </w:r>
      <w:r w:rsidR="00803F2B" w:rsidRPr="00F110D6">
        <w:rPr>
          <w:rFonts w:cs="Arial"/>
          <w:sz w:val="20"/>
          <w:szCs w:val="20"/>
        </w:rPr>
        <w:t xml:space="preserve"> – provides district- and school-level data on proportion of students’ experiences with different categories of teachers; sort</w:t>
      </w:r>
      <w:r w:rsidR="00694FCD">
        <w:rPr>
          <w:rFonts w:cs="Arial"/>
          <w:sz w:val="20"/>
          <w:szCs w:val="20"/>
        </w:rPr>
        <w:t>s</w:t>
      </w:r>
      <w:r w:rsidR="00803F2B" w:rsidRPr="00F110D6">
        <w:rPr>
          <w:rFonts w:cs="Arial"/>
          <w:sz w:val="20"/>
          <w:szCs w:val="20"/>
        </w:rPr>
        <w:t xml:space="preserve"> by subgroups including race, </w:t>
      </w:r>
      <w:r w:rsidR="00694FCD">
        <w:rPr>
          <w:rFonts w:cs="Arial"/>
          <w:sz w:val="20"/>
          <w:szCs w:val="20"/>
        </w:rPr>
        <w:t>English Language Learners and Students with Disabilities</w:t>
      </w:r>
    </w:p>
    <w:p w14:paraId="02109ED3" w14:textId="77777777" w:rsidR="00356028" w:rsidRPr="00F110D6" w:rsidRDefault="00087CE6" w:rsidP="00356028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0"/>
          <w:szCs w:val="20"/>
        </w:rPr>
      </w:pPr>
      <w:hyperlink r:id="rId14" w:history="1">
        <w:r w:rsidR="00F43C8F">
          <w:rPr>
            <w:rStyle w:val="Hyperlink"/>
            <w:rFonts w:cs="Arial"/>
            <w:sz w:val="20"/>
            <w:szCs w:val="20"/>
          </w:rPr>
          <w:t>Educator Evaluation Guidebook for Inclusive Practices</w:t>
        </w:r>
      </w:hyperlink>
      <w:r w:rsidR="00F43C8F">
        <w:rPr>
          <w:rFonts w:cs="Arial"/>
          <w:sz w:val="20"/>
          <w:szCs w:val="20"/>
        </w:rPr>
        <w:t xml:space="preserve"> </w:t>
      </w:r>
      <w:r w:rsidR="00803F2B" w:rsidRPr="00F110D6">
        <w:rPr>
          <w:rFonts w:cs="Arial"/>
          <w:sz w:val="20"/>
          <w:szCs w:val="20"/>
        </w:rPr>
        <w:t xml:space="preserve">– tools to improve teaching of diverse learners and increase inclusion of </w:t>
      </w:r>
      <w:r w:rsidR="00315010">
        <w:rPr>
          <w:rFonts w:cs="Arial"/>
          <w:sz w:val="20"/>
          <w:szCs w:val="20"/>
        </w:rPr>
        <w:t>Students with Disabilities</w:t>
      </w:r>
      <w:r w:rsidR="00803F2B" w:rsidRPr="00F110D6">
        <w:rPr>
          <w:rFonts w:cs="Arial"/>
          <w:sz w:val="20"/>
          <w:szCs w:val="20"/>
        </w:rPr>
        <w:t xml:space="preserve"> in general education classrooms</w:t>
      </w:r>
    </w:p>
    <w:p w14:paraId="02109ED4" w14:textId="77777777" w:rsidR="0065607F" w:rsidRPr="00F110D6" w:rsidRDefault="0096030C" w:rsidP="00454E0B">
      <w:pPr>
        <w:spacing w:after="40" w:line="264" w:lineRule="auto"/>
        <w:rPr>
          <w:rFonts w:cs="Arial"/>
          <w:sz w:val="20"/>
          <w:szCs w:val="20"/>
        </w:rPr>
      </w:pPr>
      <w:r w:rsidRPr="00F110D6">
        <w:rPr>
          <w:rFonts w:cs="Arial"/>
          <w:sz w:val="20"/>
          <w:szCs w:val="20"/>
        </w:rPr>
        <w:t xml:space="preserve">These and other strategies for closing equity gaps </w:t>
      </w:r>
      <w:r w:rsidRPr="00F110D6">
        <w:rPr>
          <w:rFonts w:cs="Arial"/>
          <w:b/>
          <w:sz w:val="20"/>
          <w:szCs w:val="20"/>
        </w:rPr>
        <w:t xml:space="preserve">align with and support work schools and districts are already doing </w:t>
      </w:r>
      <w:r w:rsidRPr="00F110D6">
        <w:rPr>
          <w:rFonts w:cs="Arial"/>
          <w:sz w:val="20"/>
          <w:szCs w:val="20"/>
        </w:rPr>
        <w:t>to meet ongoing goals such as improving educator quality, closing achievement gaps, enhancing hiring practices, and meeting the needs of diverse learners.</w:t>
      </w:r>
    </w:p>
    <w:p w14:paraId="02109ED5" w14:textId="77777777" w:rsidR="00795AB9" w:rsidRPr="00F110D6" w:rsidRDefault="003F156C" w:rsidP="0065607F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E36C0A" w:themeColor="accent6" w:themeShade="BF"/>
          <w:w w:val="95"/>
          <w:sz w:val="28"/>
        </w:rPr>
      </w:pPr>
      <w:r w:rsidRPr="00F110D6">
        <w:rPr>
          <w:rFonts w:asciiTheme="minorHAnsi" w:hAnsiTheme="minorHAnsi" w:cs="Arial"/>
          <w:color w:val="E36C0A" w:themeColor="accent6" w:themeShade="BF"/>
          <w:w w:val="95"/>
          <w:sz w:val="28"/>
        </w:rPr>
        <w:lastRenderedPageBreak/>
        <w:t>Root Cause Analysis</w:t>
      </w:r>
    </w:p>
    <w:p w14:paraId="02109ED6" w14:textId="77777777" w:rsidR="00BC10C6" w:rsidRPr="00F110D6" w:rsidRDefault="00F110D6" w:rsidP="00BC10C6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02109EFB" wp14:editId="02109EFC">
            <wp:simplePos x="0" y="0"/>
            <wp:positionH relativeFrom="column">
              <wp:posOffset>19050</wp:posOffset>
            </wp:positionH>
            <wp:positionV relativeFrom="paragraph">
              <wp:posOffset>473075</wp:posOffset>
            </wp:positionV>
            <wp:extent cx="6854825" cy="1914525"/>
            <wp:effectExtent l="19050" t="0" r="3175" b="0"/>
            <wp:wrapTight wrapText="bothSides">
              <wp:wrapPolygon edited="0">
                <wp:start x="-60" y="0"/>
                <wp:lineTo x="-60" y="21493"/>
                <wp:lineTo x="21610" y="21493"/>
                <wp:lineTo x="21610" y="0"/>
                <wp:lineTo x="-60" y="0"/>
              </wp:wrapPolygon>
            </wp:wrapTight>
            <wp:docPr id="1" name="Picture 1" descr="Table: Root causes of equity gaps&#10;First column: Retention/attrition, hiring practices, assignment practices, arrow showing that these lead to the experience gap&#10;Second column: inadequate preparation, inadequate pipeline, fiscal feasibility, readiness for diverse student needs, arrow showing that these lead to the preparation gap&#10;Third column: hiring practices, assignment practices, retention/attrition, climate and culture, readiness for diverse students needs, arrow showing that these lead to the effectiveness ga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0C6" w:rsidRPr="00F110D6">
        <w:rPr>
          <w:rFonts w:cs="Arial"/>
          <w:sz w:val="20"/>
          <w:szCs w:val="20"/>
        </w:rPr>
        <w:t xml:space="preserve">Stakeholder feedback, data analysis, and national research provided insight into causes of equity gaps. </w:t>
      </w:r>
      <w:r w:rsidR="00A135A8" w:rsidRPr="00F110D6">
        <w:rPr>
          <w:rFonts w:cs="Arial"/>
          <w:sz w:val="20"/>
          <w:szCs w:val="20"/>
        </w:rPr>
        <w:t xml:space="preserve">The relationships among root causes and equitable access gaps are often cyclical, and several root causes affect multiple equity gaps. </w:t>
      </w:r>
      <w:r w:rsidR="00BC10C6" w:rsidRPr="00F110D6">
        <w:rPr>
          <w:rFonts w:cs="Arial"/>
          <w:sz w:val="20"/>
          <w:szCs w:val="20"/>
        </w:rPr>
        <w:t>The following list is not exhaustive, but represents several major root causes addressed in the Equity Plan.</w:t>
      </w:r>
    </w:p>
    <w:p w14:paraId="02109ED7" w14:textId="77777777" w:rsidR="001E312C" w:rsidRPr="00F110D6" w:rsidRDefault="001E312C" w:rsidP="005A401E">
      <w:pPr>
        <w:spacing w:after="0" w:line="240" w:lineRule="auto"/>
        <w:contextualSpacing/>
        <w:rPr>
          <w:rFonts w:cs="Arial"/>
          <w:sz w:val="20"/>
          <w:szCs w:val="20"/>
        </w:rPr>
      </w:pPr>
      <w:r w:rsidRPr="00F110D6">
        <w:rPr>
          <w:rFonts w:cs="Arial"/>
          <w:b/>
          <w:color w:val="E36C0A" w:themeColor="accent6" w:themeShade="BF"/>
          <w:w w:val="95"/>
          <w:sz w:val="28"/>
          <w:szCs w:val="28"/>
        </w:rPr>
        <w:t>Next Steps for Districts</w:t>
      </w:r>
    </w:p>
    <w:p w14:paraId="02109ED8" w14:textId="77777777" w:rsidR="001E312C" w:rsidRPr="00F110D6" w:rsidRDefault="001E312C" w:rsidP="001E312C">
      <w:p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To pursue more equitable access and close gaps, districts can:</w:t>
      </w:r>
    </w:p>
    <w:p w14:paraId="02109ED9" w14:textId="03F7F74C" w:rsidR="001E312C" w:rsidRPr="00F110D6" w:rsidRDefault="0097007E" w:rsidP="001E312C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Read the </w:t>
      </w:r>
      <w:hyperlink r:id="rId16" w:history="1">
        <w:r w:rsidR="00F93B2A">
          <w:rPr>
            <w:rStyle w:val="Hyperlink"/>
            <w:rFonts w:eastAsiaTheme="majorEastAsia" w:cs="Arial"/>
            <w:bCs/>
            <w:sz w:val="20"/>
            <w:szCs w:val="20"/>
          </w:rPr>
          <w:t>Equity Plan</w:t>
        </w:r>
      </w:hyperlink>
      <w:r w:rsidR="0065607F" w:rsidRPr="00F110D6">
        <w:rPr>
          <w:rFonts w:eastAsiaTheme="majorEastAsia" w:cs="Arial"/>
          <w:bCs/>
          <w:sz w:val="20"/>
          <w:szCs w:val="20"/>
        </w:rPr>
        <w:t>; share with local school leaders and other stakeholders</w:t>
      </w:r>
    </w:p>
    <w:p w14:paraId="02109EDA" w14:textId="77777777" w:rsidR="001E312C" w:rsidRPr="00F110D6" w:rsidRDefault="001E312C" w:rsidP="001E312C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Use Edwin Analytics and District Profiles to get a picture of equitable access in your district (see the Equitable Access web</w:t>
      </w:r>
      <w:r w:rsidR="00992EF7" w:rsidRPr="00F110D6">
        <w:rPr>
          <w:rFonts w:eastAsiaTheme="majorEastAsia" w:cs="Arial"/>
          <w:bCs/>
          <w:sz w:val="20"/>
          <w:szCs w:val="20"/>
        </w:rPr>
        <w:t xml:space="preserve">site </w:t>
      </w:r>
      <w:r w:rsidRPr="00F110D6">
        <w:rPr>
          <w:rFonts w:eastAsiaTheme="majorEastAsia" w:cs="Arial"/>
          <w:bCs/>
          <w:sz w:val="20"/>
          <w:szCs w:val="20"/>
        </w:rPr>
        <w:t>for links to data)</w:t>
      </w:r>
    </w:p>
    <w:p w14:paraId="02109EDB" w14:textId="77777777" w:rsidR="00002D43" w:rsidRPr="00F110D6" w:rsidRDefault="00002D43" w:rsidP="00002D43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Conduct </w:t>
      </w:r>
      <w:r w:rsidRPr="00F110D6">
        <w:rPr>
          <w:rFonts w:eastAsiaTheme="majorEastAsia" w:cs="Arial"/>
          <w:b/>
          <w:bCs/>
          <w:sz w:val="20"/>
          <w:szCs w:val="20"/>
        </w:rPr>
        <w:t>root cause analysis</w:t>
      </w:r>
      <w:r w:rsidR="00495274" w:rsidRPr="00F110D6">
        <w:rPr>
          <w:rFonts w:eastAsiaTheme="majorEastAsia" w:cs="Arial"/>
          <w:bCs/>
          <w:sz w:val="20"/>
          <w:szCs w:val="20"/>
        </w:rPr>
        <w:t xml:space="preserve"> of equity gaps </w:t>
      </w:r>
      <w:r w:rsidR="00245FBE" w:rsidRPr="00F110D6">
        <w:rPr>
          <w:rFonts w:eastAsiaTheme="majorEastAsia" w:cs="Arial"/>
          <w:bCs/>
          <w:sz w:val="20"/>
          <w:szCs w:val="20"/>
        </w:rPr>
        <w:t>(see Stakeholder Engagement and Analysis of Equity Gap Data</w:t>
      </w:r>
      <w:r w:rsidR="00495274" w:rsidRPr="00F110D6">
        <w:rPr>
          <w:rFonts w:eastAsiaTheme="majorEastAsia" w:cs="Arial"/>
          <w:bCs/>
          <w:sz w:val="20"/>
          <w:szCs w:val="20"/>
        </w:rPr>
        <w:t xml:space="preserve"> sections of the plan</w:t>
      </w:r>
      <w:r w:rsidR="00245FBE" w:rsidRPr="00F110D6">
        <w:rPr>
          <w:rFonts w:eastAsiaTheme="majorEastAsia" w:cs="Arial"/>
          <w:bCs/>
          <w:sz w:val="20"/>
          <w:szCs w:val="20"/>
        </w:rPr>
        <w:t>)</w:t>
      </w:r>
    </w:p>
    <w:p w14:paraId="02109EDC" w14:textId="77777777" w:rsidR="002D5F43" w:rsidRPr="00F110D6" w:rsidRDefault="002D5F43" w:rsidP="002D5F43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Monitor whether and how school leaders respond to equity data</w:t>
      </w:r>
    </w:p>
    <w:p w14:paraId="02109EDD" w14:textId="77777777" w:rsidR="002F26AA" w:rsidRPr="00F110D6" w:rsidRDefault="002D5F43" w:rsidP="002F26AA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Identify</w:t>
      </w:r>
      <w:r w:rsidR="00245FBE" w:rsidRPr="00F110D6">
        <w:rPr>
          <w:rFonts w:eastAsiaTheme="majorEastAsia" w:cs="Arial"/>
          <w:bCs/>
          <w:sz w:val="20"/>
          <w:szCs w:val="20"/>
        </w:rPr>
        <w:t xml:space="preserve"> resources and strategies from the plan </w:t>
      </w:r>
      <w:r w:rsidR="001E312C" w:rsidRPr="00F110D6">
        <w:rPr>
          <w:rFonts w:eastAsiaTheme="majorEastAsia" w:cs="Arial"/>
          <w:bCs/>
          <w:sz w:val="20"/>
          <w:szCs w:val="20"/>
        </w:rPr>
        <w:t xml:space="preserve">that address equitable access gaps and that </w:t>
      </w:r>
      <w:r w:rsidR="001E312C" w:rsidRPr="00F110D6">
        <w:rPr>
          <w:rFonts w:eastAsiaTheme="majorEastAsia" w:cs="Arial"/>
          <w:b/>
          <w:bCs/>
          <w:sz w:val="20"/>
          <w:szCs w:val="20"/>
        </w:rPr>
        <w:t>al</w:t>
      </w:r>
      <w:r w:rsidRPr="00F110D6">
        <w:rPr>
          <w:rFonts w:eastAsiaTheme="majorEastAsia" w:cs="Arial"/>
          <w:b/>
          <w:bCs/>
          <w:sz w:val="20"/>
          <w:szCs w:val="20"/>
        </w:rPr>
        <w:t xml:space="preserve">ign with current district </w:t>
      </w:r>
      <w:r w:rsidR="001E312C" w:rsidRPr="00F110D6">
        <w:rPr>
          <w:rFonts w:eastAsiaTheme="majorEastAsia" w:cs="Arial"/>
          <w:b/>
          <w:bCs/>
          <w:sz w:val="20"/>
          <w:szCs w:val="20"/>
        </w:rPr>
        <w:t>objectives</w:t>
      </w:r>
      <w:r w:rsidR="00825634" w:rsidRPr="00F110D6">
        <w:rPr>
          <w:rFonts w:eastAsiaTheme="majorEastAsia" w:cs="Arial"/>
          <w:bCs/>
          <w:sz w:val="20"/>
          <w:szCs w:val="20"/>
        </w:rPr>
        <w:t>, such as recruiting qualified new educators</w:t>
      </w:r>
      <w:r w:rsidR="001523B8" w:rsidRPr="00F110D6">
        <w:rPr>
          <w:rFonts w:eastAsiaTheme="majorEastAsia" w:cs="Arial"/>
          <w:bCs/>
          <w:sz w:val="20"/>
          <w:szCs w:val="20"/>
        </w:rPr>
        <w:t xml:space="preserve"> or decreasing turnover</w:t>
      </w:r>
    </w:p>
    <w:p w14:paraId="02109EDE" w14:textId="77777777" w:rsidR="00AF605A" w:rsidRPr="00F110D6" w:rsidRDefault="00AF605A" w:rsidP="00AF605A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Consult </w:t>
      </w:r>
      <w:r w:rsidR="00743737">
        <w:rPr>
          <w:rFonts w:eastAsiaTheme="majorEastAsia" w:cs="Arial"/>
          <w:bCs/>
          <w:sz w:val="20"/>
          <w:szCs w:val="20"/>
        </w:rPr>
        <w:t>District and School Assistance Centers/Office of District and School Turnaround for support</w:t>
      </w:r>
    </w:p>
    <w:p w14:paraId="02109EDF" w14:textId="77777777" w:rsidR="001E312C" w:rsidRPr="00F110D6" w:rsidRDefault="002F26AA" w:rsidP="002F26AA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Use </w:t>
      </w:r>
      <w:r w:rsidR="00743737">
        <w:rPr>
          <w:rFonts w:eastAsiaTheme="majorEastAsia" w:cs="Arial"/>
          <w:bCs/>
          <w:sz w:val="20"/>
          <w:szCs w:val="20"/>
        </w:rPr>
        <w:t>local educator evaluation data to inform decisions</w:t>
      </w:r>
    </w:p>
    <w:p w14:paraId="02109EE0" w14:textId="77777777" w:rsidR="00245FBE" w:rsidRPr="00F110D6" w:rsidRDefault="001E312C" w:rsidP="001D54A1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Districts that are interested in adopting two or more of the </w:t>
      </w:r>
      <w:r w:rsidR="00D22A62" w:rsidRPr="00F110D6">
        <w:rPr>
          <w:rFonts w:eastAsiaTheme="majorEastAsia" w:cs="Arial"/>
          <w:bCs/>
          <w:sz w:val="20"/>
          <w:szCs w:val="20"/>
        </w:rPr>
        <w:t>plan’s</w:t>
      </w:r>
      <w:r w:rsidRPr="00F110D6">
        <w:rPr>
          <w:rFonts w:eastAsiaTheme="majorEastAsia" w:cs="Arial"/>
          <w:bCs/>
          <w:sz w:val="20"/>
          <w:szCs w:val="20"/>
        </w:rPr>
        <w:t xml:space="preserve"> key strategies, and in doing so with the support of the Equitable Access </w:t>
      </w:r>
      <w:r w:rsidR="00E51881">
        <w:rPr>
          <w:rFonts w:eastAsiaTheme="majorEastAsia" w:cs="Arial"/>
          <w:bCs/>
          <w:sz w:val="20"/>
          <w:szCs w:val="20"/>
        </w:rPr>
        <w:t>Professional Learning Network</w:t>
      </w:r>
      <w:r w:rsidRPr="00F110D6">
        <w:rPr>
          <w:rFonts w:eastAsiaTheme="majorEastAsia" w:cs="Arial"/>
          <w:bCs/>
          <w:sz w:val="20"/>
          <w:szCs w:val="20"/>
        </w:rPr>
        <w:t xml:space="preserve">, can contact the Office of Educator Effectiveness (see </w:t>
      </w:r>
      <w:r w:rsidR="006B26AB">
        <w:rPr>
          <w:rFonts w:eastAsiaTheme="majorEastAsia" w:cs="Arial"/>
          <w:bCs/>
          <w:sz w:val="20"/>
          <w:szCs w:val="20"/>
        </w:rPr>
        <w:t>bottom of page</w:t>
      </w:r>
      <w:r w:rsidR="007D62D3" w:rsidRPr="00F110D6">
        <w:rPr>
          <w:rFonts w:eastAsiaTheme="majorEastAsia" w:cs="Arial"/>
          <w:bCs/>
          <w:sz w:val="20"/>
          <w:szCs w:val="20"/>
        </w:rPr>
        <w:t>)</w:t>
      </w:r>
    </w:p>
    <w:p w14:paraId="02109EE1" w14:textId="77777777" w:rsidR="00CE69D9" w:rsidRPr="00F110D6" w:rsidRDefault="00DC58EF" w:rsidP="00C11999">
      <w:pPr>
        <w:tabs>
          <w:tab w:val="left" w:pos="1170"/>
        </w:tabs>
        <w:spacing w:after="0" w:line="240" w:lineRule="auto"/>
        <w:rPr>
          <w:rFonts w:eastAsiaTheme="majorEastAsia" w:cs="Arial"/>
          <w:b/>
          <w:bCs/>
          <w:sz w:val="8"/>
          <w:szCs w:val="8"/>
        </w:rPr>
      </w:pPr>
      <w:r w:rsidRPr="00F110D6">
        <w:rPr>
          <w:rFonts w:eastAsiaTheme="majorEastAsia" w:cs="Arial"/>
          <w:b/>
          <w:bCs/>
          <w:sz w:val="8"/>
          <w:szCs w:val="8"/>
        </w:rPr>
        <w:t xml:space="preserve"> </w:t>
      </w:r>
    </w:p>
    <w:p w14:paraId="02109EE2" w14:textId="77777777" w:rsidR="0065607F" w:rsidRPr="00F93B2A" w:rsidRDefault="00C47569" w:rsidP="00C11999">
      <w:pPr>
        <w:tabs>
          <w:tab w:val="left" w:pos="1170"/>
        </w:tabs>
        <w:spacing w:after="0" w:line="240" w:lineRule="auto"/>
        <w:rPr>
          <w:rFonts w:eastAsiaTheme="majorEastAsia" w:cs="Arial"/>
          <w:b/>
          <w:bCs/>
          <w:w w:val="95"/>
          <w:sz w:val="24"/>
          <w:szCs w:val="24"/>
        </w:rPr>
      </w:pPr>
      <w:r w:rsidRPr="00F93B2A">
        <w:rPr>
          <w:rFonts w:eastAsiaTheme="majorEastAsia" w:cs="Arial"/>
          <w:bCs/>
          <w:w w:val="95"/>
          <w:sz w:val="24"/>
          <w:szCs w:val="24"/>
        </w:rPr>
        <w:t xml:space="preserve">  A</w:t>
      </w:r>
      <w:r w:rsidR="0065607F" w:rsidRPr="00F93B2A">
        <w:rPr>
          <w:rFonts w:eastAsiaTheme="majorEastAsia" w:cs="Arial"/>
          <w:bCs/>
          <w:w w:val="95"/>
          <w:sz w:val="24"/>
          <w:szCs w:val="24"/>
        </w:rPr>
        <w:t xml:space="preserve">lthough these steps are not required, </w:t>
      </w:r>
      <w:r w:rsidR="0065607F" w:rsidRPr="00F93B2A">
        <w:rPr>
          <w:rFonts w:eastAsiaTheme="majorEastAsia" w:cs="Arial"/>
          <w:b/>
          <w:bCs/>
          <w:w w:val="95"/>
          <w:sz w:val="24"/>
          <w:szCs w:val="24"/>
        </w:rPr>
        <w:t>districts can benefit:</w:t>
      </w:r>
    </w:p>
    <w:p w14:paraId="02109EE3" w14:textId="77777777" w:rsidR="00C11999" w:rsidRPr="00F110D6" w:rsidRDefault="00C11999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Strategies </w:t>
      </w:r>
      <w:r w:rsidR="00053388" w:rsidRPr="00F110D6">
        <w:rPr>
          <w:rFonts w:eastAsiaTheme="majorEastAsia" w:cs="Arial"/>
          <w:bCs/>
          <w:sz w:val="20"/>
          <w:szCs w:val="20"/>
        </w:rPr>
        <w:t xml:space="preserve">are aligned </w:t>
      </w:r>
      <w:r w:rsidRPr="00F110D6">
        <w:rPr>
          <w:rFonts w:eastAsiaTheme="majorEastAsia" w:cs="Arial"/>
          <w:bCs/>
          <w:sz w:val="20"/>
          <w:szCs w:val="20"/>
        </w:rPr>
        <w:t>with and support work districts are already doing to pursue ongoing goals</w:t>
      </w:r>
    </w:p>
    <w:p w14:paraId="02109EE4" w14:textId="77777777" w:rsidR="00815EF4" w:rsidRPr="00F110D6" w:rsidRDefault="00C11999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The plan aims to close achievement gaps</w:t>
      </w:r>
    </w:p>
    <w:p w14:paraId="02109EE5" w14:textId="77777777" w:rsidR="00815EF4" w:rsidRPr="00F110D6" w:rsidRDefault="00C11999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Districts can more</w:t>
      </w:r>
      <w:r w:rsidR="00815EF4" w:rsidRPr="00F110D6">
        <w:rPr>
          <w:rFonts w:eastAsiaTheme="majorEastAsia" w:cs="Arial"/>
          <w:bCs/>
          <w:sz w:val="20"/>
          <w:szCs w:val="20"/>
        </w:rPr>
        <w:t xml:space="preserve"> precisely target </w:t>
      </w:r>
      <w:r w:rsidRPr="00F110D6">
        <w:rPr>
          <w:rFonts w:eastAsiaTheme="majorEastAsia" w:cs="Arial"/>
          <w:bCs/>
          <w:sz w:val="20"/>
          <w:szCs w:val="20"/>
        </w:rPr>
        <w:t xml:space="preserve">their </w:t>
      </w:r>
      <w:r w:rsidR="00815EF4" w:rsidRPr="00F110D6">
        <w:rPr>
          <w:rFonts w:eastAsiaTheme="majorEastAsia" w:cs="Arial"/>
          <w:bCs/>
          <w:sz w:val="20"/>
          <w:szCs w:val="20"/>
        </w:rPr>
        <w:t>limited time, effort and resources</w:t>
      </w:r>
    </w:p>
    <w:p w14:paraId="02109EE6" w14:textId="77777777" w:rsidR="004F7284" w:rsidRDefault="00C11999" w:rsidP="00454E0B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/>
          <w:bCs/>
          <w:sz w:val="20"/>
          <w:szCs w:val="20"/>
        </w:rPr>
        <w:t>Access to excellent educators</w:t>
      </w:r>
      <w:r w:rsidR="00D13471" w:rsidRPr="00F110D6">
        <w:rPr>
          <w:rFonts w:eastAsiaTheme="majorEastAsia" w:cs="Arial"/>
          <w:b/>
          <w:bCs/>
          <w:sz w:val="20"/>
          <w:szCs w:val="20"/>
        </w:rPr>
        <w:t xml:space="preserve"> affects </w:t>
      </w:r>
      <w:r w:rsidRPr="00F110D6">
        <w:rPr>
          <w:rFonts w:eastAsiaTheme="majorEastAsia" w:cs="Arial"/>
          <w:b/>
          <w:bCs/>
          <w:sz w:val="20"/>
          <w:szCs w:val="20"/>
        </w:rPr>
        <w:t xml:space="preserve">virtually </w:t>
      </w:r>
      <w:r w:rsidR="00D13471" w:rsidRPr="00F110D6">
        <w:rPr>
          <w:rFonts w:eastAsiaTheme="majorEastAsia" w:cs="Arial"/>
          <w:b/>
          <w:bCs/>
          <w:sz w:val="20"/>
          <w:szCs w:val="20"/>
        </w:rPr>
        <w:t xml:space="preserve">all the other </w:t>
      </w:r>
      <w:r w:rsidRPr="00F110D6">
        <w:rPr>
          <w:rFonts w:eastAsiaTheme="majorEastAsia" w:cs="Arial"/>
          <w:b/>
          <w:bCs/>
          <w:sz w:val="20"/>
          <w:szCs w:val="20"/>
        </w:rPr>
        <w:t>school-level issues</w:t>
      </w:r>
      <w:r w:rsidRPr="00F110D6">
        <w:rPr>
          <w:rFonts w:eastAsiaTheme="majorEastAsia" w:cs="Arial"/>
          <w:bCs/>
          <w:sz w:val="20"/>
          <w:szCs w:val="20"/>
        </w:rPr>
        <w:t xml:space="preserve">. </w:t>
      </w:r>
      <w:r w:rsidR="00BA3188" w:rsidRPr="00F110D6">
        <w:rPr>
          <w:rFonts w:eastAsiaTheme="majorEastAsia" w:cs="Arial"/>
          <w:bCs/>
          <w:sz w:val="20"/>
          <w:szCs w:val="20"/>
        </w:rPr>
        <w:t xml:space="preserve">We know that the quality of educators is the most important in-school factor, and </w:t>
      </w:r>
      <w:r w:rsidRPr="00F110D6">
        <w:rPr>
          <w:rFonts w:eastAsiaTheme="majorEastAsia" w:cs="Arial"/>
          <w:bCs/>
          <w:sz w:val="20"/>
          <w:szCs w:val="20"/>
        </w:rPr>
        <w:t>it</w:t>
      </w:r>
      <w:r w:rsidR="00BA3188" w:rsidRPr="00F110D6">
        <w:rPr>
          <w:rFonts w:eastAsiaTheme="majorEastAsia" w:cs="Arial"/>
          <w:bCs/>
          <w:sz w:val="20"/>
          <w:szCs w:val="20"/>
        </w:rPr>
        <w:t xml:space="preserve"> </w:t>
      </w:r>
      <w:r w:rsidR="00FC5A9C" w:rsidRPr="00F110D6">
        <w:rPr>
          <w:rFonts w:eastAsiaTheme="majorEastAsia" w:cs="Arial"/>
          <w:bCs/>
          <w:sz w:val="20"/>
          <w:szCs w:val="20"/>
        </w:rPr>
        <w:t>mitigates the success of other initiatives</w:t>
      </w:r>
      <w:r w:rsidRPr="00F110D6">
        <w:rPr>
          <w:rFonts w:eastAsiaTheme="majorEastAsia" w:cs="Arial"/>
          <w:bCs/>
          <w:sz w:val="20"/>
          <w:szCs w:val="20"/>
        </w:rPr>
        <w:t>. Attempts</w:t>
      </w:r>
      <w:r w:rsidR="00FC5A9C" w:rsidRPr="00F110D6">
        <w:rPr>
          <w:rFonts w:eastAsiaTheme="majorEastAsia" w:cs="Arial"/>
          <w:bCs/>
          <w:sz w:val="20"/>
          <w:szCs w:val="20"/>
        </w:rPr>
        <w:t xml:space="preserve"> to improve student learning</w:t>
      </w:r>
      <w:r w:rsidRPr="00F110D6">
        <w:rPr>
          <w:rFonts w:eastAsiaTheme="majorEastAsia" w:cs="Arial"/>
          <w:bCs/>
          <w:sz w:val="20"/>
          <w:szCs w:val="20"/>
        </w:rPr>
        <w:t xml:space="preserve"> are compromised without quality educators to implement them.</w:t>
      </w:r>
    </w:p>
    <w:p w14:paraId="02109EE7" w14:textId="77777777" w:rsidR="00F110D6" w:rsidRPr="00F110D6" w:rsidRDefault="00F110D6" w:rsidP="00F110D6">
      <w:pPr>
        <w:pStyle w:val="ListParagraph"/>
        <w:tabs>
          <w:tab w:val="left" w:pos="1170"/>
        </w:tabs>
        <w:spacing w:after="0" w:line="240" w:lineRule="auto"/>
        <w:rPr>
          <w:rFonts w:eastAsiaTheme="majorEastAsia" w:cs="Arial"/>
          <w:bCs/>
          <w:sz w:val="4"/>
          <w:szCs w:val="4"/>
        </w:rPr>
      </w:pPr>
      <w:r w:rsidRPr="00F110D6">
        <w:rPr>
          <w:rFonts w:eastAsiaTheme="majorEastAsia" w:cs="Arial"/>
          <w:b/>
          <w:bCs/>
          <w:sz w:val="4"/>
          <w:szCs w:val="4"/>
        </w:rPr>
        <w:t xml:space="preserve"> </w:t>
      </w:r>
    </w:p>
    <w:p w14:paraId="02109EE8" w14:textId="77777777" w:rsidR="004F7284" w:rsidRPr="00F110D6" w:rsidRDefault="001E312C" w:rsidP="00BC10C6">
      <w:pPr>
        <w:tabs>
          <w:tab w:val="left" w:pos="1170"/>
        </w:tabs>
        <w:spacing w:after="0" w:line="240" w:lineRule="auto"/>
        <w:contextualSpacing/>
        <w:rPr>
          <w:rFonts w:eastAsiaTheme="majorEastAsia" w:cs="Arial"/>
          <w:bCs/>
          <w:w w:val="95"/>
          <w:sz w:val="28"/>
          <w:szCs w:val="28"/>
        </w:rPr>
      </w:pPr>
      <w:r w:rsidRPr="00F110D6">
        <w:rPr>
          <w:rFonts w:cs="Arial"/>
          <w:b/>
          <w:color w:val="E36C0A" w:themeColor="accent6" w:themeShade="BF"/>
          <w:w w:val="95"/>
          <w:sz w:val="28"/>
          <w:szCs w:val="28"/>
        </w:rPr>
        <w:t xml:space="preserve">If the Plan Doesn’t Require </w:t>
      </w:r>
      <w:r w:rsidR="00883038" w:rsidRPr="00F110D6">
        <w:rPr>
          <w:rFonts w:cs="Arial"/>
          <w:b/>
          <w:color w:val="E36C0A" w:themeColor="accent6" w:themeShade="BF"/>
          <w:w w:val="95"/>
          <w:sz w:val="28"/>
          <w:szCs w:val="28"/>
        </w:rPr>
        <w:t xml:space="preserve">Additional </w:t>
      </w:r>
      <w:r w:rsidR="00454E0B" w:rsidRPr="00F110D6">
        <w:rPr>
          <w:rFonts w:cs="Arial"/>
          <w:b/>
          <w:color w:val="E36C0A" w:themeColor="accent6" w:themeShade="BF"/>
          <w:w w:val="95"/>
          <w:sz w:val="28"/>
          <w:szCs w:val="28"/>
        </w:rPr>
        <w:t>Actions from Districts, What i</w:t>
      </w:r>
      <w:r w:rsidRPr="00F110D6">
        <w:rPr>
          <w:rFonts w:cs="Arial"/>
          <w:b/>
          <w:color w:val="E36C0A" w:themeColor="accent6" w:themeShade="BF"/>
          <w:w w:val="95"/>
          <w:sz w:val="28"/>
          <w:szCs w:val="28"/>
        </w:rPr>
        <w:t>s its Purpose?</w:t>
      </w:r>
    </w:p>
    <w:p w14:paraId="02109EE9" w14:textId="77777777" w:rsidR="001E312C" w:rsidRPr="00F110D6" w:rsidRDefault="001E312C" w:rsidP="008F5E0F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Inform leaders of statewide equitable access gaps</w:t>
      </w:r>
      <w:r w:rsidR="004F1DE2" w:rsidRPr="00F110D6">
        <w:rPr>
          <w:rFonts w:eastAsiaTheme="majorEastAsia" w:cs="Arial"/>
          <w:bCs/>
          <w:sz w:val="20"/>
          <w:szCs w:val="20"/>
        </w:rPr>
        <w:t xml:space="preserve"> and major root causes</w:t>
      </w:r>
    </w:p>
    <w:p w14:paraId="02109EEA" w14:textId="77777777" w:rsidR="004F1DE2" w:rsidRPr="00F110D6" w:rsidRDefault="004F1DE2" w:rsidP="004F1DE2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Unify disparate, agency-wide efforts that address equity gaps</w:t>
      </w:r>
    </w:p>
    <w:p w14:paraId="02109EEB" w14:textId="77777777" w:rsidR="001E312C" w:rsidRPr="00F110D6" w:rsidRDefault="001E312C" w:rsidP="001E312C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Identify and describe key statewide strategies that address equity gaps</w:t>
      </w:r>
    </w:p>
    <w:p w14:paraId="02109EEC" w14:textId="77777777" w:rsidR="001E312C" w:rsidRPr="00F110D6" w:rsidRDefault="001E312C" w:rsidP="001E312C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Identify and describe optional strategies and resources districts can use to address equity gaps</w:t>
      </w:r>
    </w:p>
    <w:p w14:paraId="02109EED" w14:textId="77777777" w:rsidR="004F7284" w:rsidRPr="00F110D6" w:rsidRDefault="004F1DE2" w:rsidP="00012AAD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Through PLN, ongoing progress monitoring, and Annual Reports,</w:t>
      </w:r>
      <w:r w:rsidR="002A3C59" w:rsidRPr="00F110D6">
        <w:rPr>
          <w:rFonts w:eastAsiaTheme="majorEastAsia" w:cs="Arial"/>
          <w:bCs/>
          <w:sz w:val="20"/>
          <w:szCs w:val="20"/>
        </w:rPr>
        <w:t xml:space="preserve"> identify and share district best practices</w:t>
      </w:r>
    </w:p>
    <w:p w14:paraId="02109EEE" w14:textId="77777777" w:rsidR="008F5E0F" w:rsidRPr="00F110D6" w:rsidRDefault="00012AAD" w:rsidP="008F5E0F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>Set up plan for consistently communicating with diverse stakeholders statewide about equity and strategies</w:t>
      </w:r>
    </w:p>
    <w:p w14:paraId="02109EEF" w14:textId="77777777" w:rsidR="00AF605A" w:rsidRPr="00F110D6" w:rsidRDefault="00012AAD" w:rsidP="00AF605A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="Arial"/>
          <w:bCs/>
          <w:sz w:val="20"/>
          <w:szCs w:val="20"/>
        </w:rPr>
      </w:pPr>
      <w:r w:rsidRPr="00F110D6">
        <w:rPr>
          <w:rFonts w:eastAsiaTheme="majorEastAsia" w:cs="Arial"/>
          <w:bCs/>
          <w:sz w:val="20"/>
          <w:szCs w:val="20"/>
        </w:rPr>
        <w:t xml:space="preserve">Set up plan for monitoring state- and local-level progress toward closing equity gaps </w:t>
      </w:r>
      <w:r w:rsidRPr="00F110D6">
        <w:sym w:font="Wingdings" w:char="F0E0"/>
      </w:r>
      <w:r w:rsidRPr="00F110D6">
        <w:rPr>
          <w:rFonts w:eastAsiaTheme="majorEastAsia" w:cs="Arial"/>
          <w:bCs/>
          <w:sz w:val="20"/>
          <w:szCs w:val="20"/>
        </w:rPr>
        <w:t xml:space="preserve"> spotlight and share successful practices and identify districts that can use additional support</w:t>
      </w:r>
    </w:p>
    <w:p w14:paraId="02109EF0" w14:textId="77777777" w:rsidR="00454E0B" w:rsidRPr="00F110D6" w:rsidRDefault="00454E0B" w:rsidP="00454E0B">
      <w:pPr>
        <w:spacing w:after="0" w:line="240" w:lineRule="auto"/>
        <w:rPr>
          <w:rFonts w:eastAsiaTheme="majorEastAsia" w:cs="Arial"/>
          <w:bCs/>
          <w:sz w:val="4"/>
          <w:szCs w:val="4"/>
        </w:rPr>
      </w:pPr>
      <w:r w:rsidRPr="00F110D6">
        <w:rPr>
          <w:rFonts w:eastAsiaTheme="majorEastAsia" w:cs="Arial"/>
          <w:bCs/>
          <w:sz w:val="8"/>
          <w:szCs w:val="8"/>
        </w:rPr>
        <w:t xml:space="preserve">  </w:t>
      </w:r>
      <w:r w:rsidR="00F110D6" w:rsidRPr="00F110D6">
        <w:rPr>
          <w:rFonts w:eastAsiaTheme="majorEastAsia" w:cs="Arial"/>
          <w:bCs/>
          <w:sz w:val="8"/>
          <w:szCs w:val="8"/>
        </w:rPr>
        <w:t xml:space="preserve"> </w:t>
      </w:r>
      <w:r w:rsidR="00F110D6">
        <w:rPr>
          <w:rFonts w:eastAsiaTheme="majorEastAsia" w:cs="Arial"/>
          <w:bCs/>
          <w:sz w:val="8"/>
          <w:szCs w:val="8"/>
        </w:rPr>
        <w:t xml:space="preserve"> </w:t>
      </w:r>
    </w:p>
    <w:p w14:paraId="02109EF1" w14:textId="77777777" w:rsidR="00454E0B" w:rsidRPr="00F110D6" w:rsidRDefault="00454E0B" w:rsidP="00454E0B">
      <w:pPr>
        <w:spacing w:after="0" w:line="240" w:lineRule="auto"/>
        <w:contextualSpacing/>
        <w:rPr>
          <w:rFonts w:cs="Arial"/>
          <w:b/>
          <w:color w:val="E36C0A" w:themeColor="accent6" w:themeShade="BF"/>
          <w:w w:val="95"/>
          <w:sz w:val="28"/>
          <w:szCs w:val="28"/>
        </w:rPr>
      </w:pPr>
      <w:r w:rsidRPr="00F110D6">
        <w:rPr>
          <w:rFonts w:cs="Arial"/>
          <w:b/>
          <w:color w:val="E36C0A" w:themeColor="accent6" w:themeShade="BF"/>
          <w:w w:val="95"/>
          <w:sz w:val="28"/>
          <w:szCs w:val="28"/>
        </w:rPr>
        <w:t>Next Steps for ESE</w:t>
      </w:r>
    </w:p>
    <w:p w14:paraId="02109EF2" w14:textId="77777777" w:rsidR="00454E0B" w:rsidRPr="00F110D6" w:rsidRDefault="00454E0B" w:rsidP="00454E0B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 w:rsidRPr="00F110D6">
        <w:rPr>
          <w:rFonts w:eastAsiaTheme="majorEastAsia" w:cs="Arial"/>
          <w:bCs/>
          <w:sz w:val="20"/>
          <w:szCs w:val="20"/>
        </w:rPr>
        <w:t>Inform a range of stakeholders of the plan</w:t>
      </w:r>
    </w:p>
    <w:p w14:paraId="02109EF3" w14:textId="77777777" w:rsidR="00454E0B" w:rsidRPr="00F110D6" w:rsidRDefault="00454E0B" w:rsidP="00454E0B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 w:rsidRPr="00F110D6">
        <w:rPr>
          <w:rFonts w:eastAsiaTheme="majorEastAsia" w:cs="Arial"/>
          <w:bCs/>
          <w:sz w:val="20"/>
          <w:szCs w:val="20"/>
        </w:rPr>
        <w:t>Communicate strategies and resources to DSACs and ODST, so they are prepared to support districts in closing equity gaps</w:t>
      </w:r>
    </w:p>
    <w:p w14:paraId="02109EF4" w14:textId="77777777" w:rsidR="00454E0B" w:rsidRPr="00F110D6" w:rsidRDefault="00454E0B" w:rsidP="00454E0B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 w:rsidRPr="00F110D6">
        <w:rPr>
          <w:rFonts w:eastAsiaTheme="majorEastAsia" w:cs="Arial"/>
          <w:bCs/>
          <w:sz w:val="20"/>
          <w:szCs w:val="20"/>
        </w:rPr>
        <w:t>Pilot use of key strategies, and share outcomes with district leaders</w:t>
      </w:r>
    </w:p>
    <w:p w14:paraId="02109EF5" w14:textId="77777777" w:rsidR="00454E0B" w:rsidRPr="00F110D6" w:rsidRDefault="00454E0B" w:rsidP="00454E0B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</w:rPr>
      </w:pPr>
      <w:r w:rsidRPr="00F110D6">
        <w:rPr>
          <w:rFonts w:eastAsiaTheme="majorEastAsia" w:cs="Arial"/>
          <w:bCs/>
          <w:sz w:val="20"/>
          <w:szCs w:val="20"/>
        </w:rPr>
        <w:t>Create website and Annual Report to share outcomes of strategies and changes to the plan</w:t>
      </w:r>
    </w:p>
    <w:sectPr w:rsidR="00454E0B" w:rsidRPr="00F110D6" w:rsidSect="00803F2B">
      <w:headerReference w:type="default" r:id="rId17"/>
      <w:footerReference w:type="default" r:id="rId18"/>
      <w:pgSz w:w="12240" w:h="15840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2033" w14:textId="77777777" w:rsidR="00087CE6" w:rsidRDefault="00087CE6" w:rsidP="002123C2">
      <w:pPr>
        <w:spacing w:after="0" w:line="240" w:lineRule="auto"/>
      </w:pPr>
      <w:r>
        <w:separator/>
      </w:r>
    </w:p>
  </w:endnote>
  <w:endnote w:type="continuationSeparator" w:id="0">
    <w:p w14:paraId="2BA04A16" w14:textId="77777777" w:rsidR="00087CE6" w:rsidRDefault="00087CE6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02109F03" w14:textId="68BA48AF" w:rsidR="00C07FA4" w:rsidRPr="00952DEA" w:rsidRDefault="009C324E" w:rsidP="00952DEA">
        <w:pPr>
          <w:spacing w:after="0" w:line="240" w:lineRule="auto"/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2109F04" wp14:editId="4AD1ABD8">
                  <wp:simplePos x="0" y="0"/>
                  <wp:positionH relativeFrom="column">
                    <wp:posOffset>-640080</wp:posOffset>
                  </wp:positionH>
                  <wp:positionV relativeFrom="paragraph">
                    <wp:posOffset>-185420</wp:posOffset>
                  </wp:positionV>
                  <wp:extent cx="7764145" cy="212090"/>
                  <wp:effectExtent l="0" t="0" r="635" b="0"/>
                  <wp:wrapNone/>
                  <wp:docPr id="2" name="Text Box 2" descr="Blue line&#10;Text Box: For more information: educatordevelopment@doe.mass.edu  insert Equitable Access website he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4145" cy="2120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09F15" w14:textId="77777777" w:rsidR="00C07FA4" w:rsidRPr="00952DEA" w:rsidRDefault="00C07FA4" w:rsidP="004A55A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DEA">
                                <w:rPr>
                                  <w:sz w:val="18"/>
                                  <w:szCs w:val="18"/>
                                </w:rPr>
                                <w:t xml:space="preserve">For more information: </w:t>
                              </w:r>
                              <w:hyperlink r:id="rId1" w:history="1">
                                <w:r w:rsidRPr="008D5678">
                                  <w:rPr>
                                    <w:rStyle w:val="Hyperlink"/>
                                    <w:rFonts w:cstheme="minorBidi"/>
                                    <w:sz w:val="18"/>
                                    <w:szCs w:val="18"/>
                                  </w:rPr>
                                  <w:t>educatordevelopment@doe.mass.edu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450CE0">
                                <w:rPr>
                                  <w:sz w:val="18"/>
                                  <w:szCs w:val="18"/>
                                </w:rPr>
                                <w:t>www.doe.mass.edu/educators/equitableaccess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109F0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Blue line&#10;Text Box: For more information: educatordevelopment@doe.mass.edu  insert Equitable Access website here" style="position:absolute;margin-left:-50.4pt;margin-top:-14.6pt;width:611.3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" fillcolor="#c6d9f1 [671]" stroked="f">
                  <v:textbox>
                    <w:txbxContent>
                      <w:p w14:paraId="02109F15" w14:textId="77777777" w:rsidR="00C07FA4" w:rsidRPr="00952DEA" w:rsidRDefault="00C07FA4" w:rsidP="004A55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2DEA">
                          <w:rPr>
                            <w:sz w:val="18"/>
                            <w:szCs w:val="18"/>
                          </w:rPr>
                          <w:t xml:space="preserve">For more information: </w:t>
                        </w:r>
                        <w:hyperlink r:id="rId2" w:history="1">
                          <w:r w:rsidRPr="008D5678">
                            <w:rPr>
                              <w:rStyle w:val="Hyperlink"/>
                              <w:rFonts w:cstheme="minorBidi"/>
                              <w:sz w:val="18"/>
                              <w:szCs w:val="18"/>
                            </w:rPr>
                            <w:t>educatordevelopment@doe.mass.edu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 w:rsidR="00450CE0">
                          <w:rPr>
                            <w:sz w:val="18"/>
                            <w:szCs w:val="18"/>
                          </w:rPr>
                          <w:t>www.doe.mass.edu/educators/equitableaccess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04770" w14:textId="77777777" w:rsidR="00087CE6" w:rsidRDefault="00087CE6" w:rsidP="002123C2">
      <w:pPr>
        <w:spacing w:after="0" w:line="240" w:lineRule="auto"/>
      </w:pPr>
      <w:r>
        <w:separator/>
      </w:r>
    </w:p>
  </w:footnote>
  <w:footnote w:type="continuationSeparator" w:id="0">
    <w:p w14:paraId="1E284B98" w14:textId="77777777" w:rsidR="00087CE6" w:rsidRDefault="00087CE6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9F01" w14:textId="77777777" w:rsidR="00C07FA4" w:rsidRPr="00F110D6" w:rsidRDefault="005251D9" w:rsidP="00D977DF">
    <w:pPr>
      <w:pStyle w:val="Heading1"/>
      <w:spacing w:before="0" w:after="0"/>
      <w:jc w:val="center"/>
      <w:rPr>
        <w:rFonts w:asciiTheme="minorHAnsi" w:hAnsiTheme="minorHAnsi"/>
        <w:sz w:val="36"/>
        <w:szCs w:val="36"/>
      </w:rPr>
    </w:pPr>
    <w:r>
      <w:rPr>
        <w:rFonts w:asciiTheme="minorHAnsi" w:hAnsiTheme="minorHAnsi"/>
        <w:noProof/>
        <w:sz w:val="36"/>
        <w:szCs w:val="36"/>
      </w:rPr>
      <w:t>District Leaders: Get to Know the MA Equity Plan</w:t>
    </w:r>
  </w:p>
  <w:p w14:paraId="02109F02" w14:textId="77777777" w:rsidR="00C07FA4" w:rsidRPr="00F71E79" w:rsidRDefault="00C07FA4" w:rsidP="00F71E7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F48"/>
    <w:multiLevelType w:val="hybridMultilevel"/>
    <w:tmpl w:val="440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753"/>
    <w:multiLevelType w:val="hybridMultilevel"/>
    <w:tmpl w:val="440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955"/>
    <w:multiLevelType w:val="hybridMultilevel"/>
    <w:tmpl w:val="CC986566"/>
    <w:lvl w:ilvl="0" w:tplc="689E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E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44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6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4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B1062"/>
    <w:multiLevelType w:val="hybridMultilevel"/>
    <w:tmpl w:val="7280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382"/>
    <w:multiLevelType w:val="hybridMultilevel"/>
    <w:tmpl w:val="54A2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BB5"/>
    <w:multiLevelType w:val="hybridMultilevel"/>
    <w:tmpl w:val="BB32FC44"/>
    <w:lvl w:ilvl="0" w:tplc="D3F6086E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45D5"/>
    <w:multiLevelType w:val="hybridMultilevel"/>
    <w:tmpl w:val="65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61E9"/>
    <w:multiLevelType w:val="hybridMultilevel"/>
    <w:tmpl w:val="030A0936"/>
    <w:lvl w:ilvl="0" w:tplc="D198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8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0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69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CA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2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76AA0"/>
    <w:multiLevelType w:val="hybridMultilevel"/>
    <w:tmpl w:val="B15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66E6"/>
    <w:multiLevelType w:val="hybridMultilevel"/>
    <w:tmpl w:val="AB9E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357D9"/>
    <w:multiLevelType w:val="hybridMultilevel"/>
    <w:tmpl w:val="C5EC843A"/>
    <w:lvl w:ilvl="0" w:tplc="31DC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8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6D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82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C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C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9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0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0B7B4E"/>
    <w:multiLevelType w:val="hybridMultilevel"/>
    <w:tmpl w:val="536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7FC48A9"/>
    <w:multiLevelType w:val="hybridMultilevel"/>
    <w:tmpl w:val="7AB047C6"/>
    <w:lvl w:ilvl="0" w:tplc="032C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08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A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8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24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AB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2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8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EC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1423C8"/>
    <w:multiLevelType w:val="hybridMultilevel"/>
    <w:tmpl w:val="AFB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86C5D"/>
    <w:multiLevelType w:val="hybridMultilevel"/>
    <w:tmpl w:val="168ECBAC"/>
    <w:lvl w:ilvl="0" w:tplc="00A0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7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43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4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06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4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6D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4F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874FDE"/>
    <w:multiLevelType w:val="hybridMultilevel"/>
    <w:tmpl w:val="910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4D7B"/>
    <w:multiLevelType w:val="hybridMultilevel"/>
    <w:tmpl w:val="91AC0F18"/>
    <w:lvl w:ilvl="0" w:tplc="AF70F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2876CE"/>
    <w:multiLevelType w:val="hybridMultilevel"/>
    <w:tmpl w:val="D3EA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72C4A"/>
    <w:multiLevelType w:val="hybridMultilevel"/>
    <w:tmpl w:val="929C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0A37"/>
    <w:multiLevelType w:val="hybridMultilevel"/>
    <w:tmpl w:val="14463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7F367CAF"/>
    <w:multiLevelType w:val="hybridMultilevel"/>
    <w:tmpl w:val="4CEA1182"/>
    <w:lvl w:ilvl="0" w:tplc="00F03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A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8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A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82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09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2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8"/>
  </w:num>
  <w:num w:numId="5">
    <w:abstractNumId w:val="8"/>
  </w:num>
  <w:num w:numId="6">
    <w:abstractNumId w:val="15"/>
  </w:num>
  <w:num w:numId="7">
    <w:abstractNumId w:val="17"/>
  </w:num>
  <w:num w:numId="8">
    <w:abstractNumId w:val="16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23"/>
  </w:num>
  <w:num w:numId="16">
    <w:abstractNumId w:val="26"/>
  </w:num>
  <w:num w:numId="17">
    <w:abstractNumId w:val="14"/>
  </w:num>
  <w:num w:numId="18">
    <w:abstractNumId w:val="21"/>
  </w:num>
  <w:num w:numId="19">
    <w:abstractNumId w:val="25"/>
  </w:num>
  <w:num w:numId="20">
    <w:abstractNumId w:val="24"/>
  </w:num>
  <w:num w:numId="21">
    <w:abstractNumId w:val="20"/>
  </w:num>
  <w:num w:numId="22">
    <w:abstractNumId w:val="13"/>
  </w:num>
  <w:num w:numId="23">
    <w:abstractNumId w:val="10"/>
  </w:num>
  <w:num w:numId="24">
    <w:abstractNumId w:val="22"/>
  </w:num>
  <w:num w:numId="25">
    <w:abstractNumId w:val="28"/>
  </w:num>
  <w:num w:numId="26">
    <w:abstractNumId w:val="2"/>
  </w:num>
  <w:num w:numId="27">
    <w:abstractNumId w:val="12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f7f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C2"/>
    <w:rsid w:val="00002D43"/>
    <w:rsid w:val="0000606C"/>
    <w:rsid w:val="00006B02"/>
    <w:rsid w:val="000125F3"/>
    <w:rsid w:val="00012AAD"/>
    <w:rsid w:val="00015A31"/>
    <w:rsid w:val="0002187D"/>
    <w:rsid w:val="0002190C"/>
    <w:rsid w:val="00036717"/>
    <w:rsid w:val="00040D1A"/>
    <w:rsid w:val="00043D42"/>
    <w:rsid w:val="00053388"/>
    <w:rsid w:val="00056FFB"/>
    <w:rsid w:val="00065478"/>
    <w:rsid w:val="00072F5F"/>
    <w:rsid w:val="00076146"/>
    <w:rsid w:val="00076DD3"/>
    <w:rsid w:val="000808F3"/>
    <w:rsid w:val="0008207E"/>
    <w:rsid w:val="0008488A"/>
    <w:rsid w:val="00085D62"/>
    <w:rsid w:val="00086F4E"/>
    <w:rsid w:val="00087CE6"/>
    <w:rsid w:val="000A5D6C"/>
    <w:rsid w:val="000B2297"/>
    <w:rsid w:val="000B799A"/>
    <w:rsid w:val="000D19E1"/>
    <w:rsid w:val="000D3FCB"/>
    <w:rsid w:val="000D4A78"/>
    <w:rsid w:val="000F5D9C"/>
    <w:rsid w:val="000F6D88"/>
    <w:rsid w:val="00105139"/>
    <w:rsid w:val="001055E5"/>
    <w:rsid w:val="00117433"/>
    <w:rsid w:val="0012247C"/>
    <w:rsid w:val="001257AF"/>
    <w:rsid w:val="001523B8"/>
    <w:rsid w:val="001574D3"/>
    <w:rsid w:val="00165B80"/>
    <w:rsid w:val="00166A92"/>
    <w:rsid w:val="00174313"/>
    <w:rsid w:val="00174E70"/>
    <w:rsid w:val="00181AC2"/>
    <w:rsid w:val="001860A8"/>
    <w:rsid w:val="00191665"/>
    <w:rsid w:val="001B111D"/>
    <w:rsid w:val="001B239F"/>
    <w:rsid w:val="001C0B2D"/>
    <w:rsid w:val="001C1C93"/>
    <w:rsid w:val="001D4FF2"/>
    <w:rsid w:val="001D54A1"/>
    <w:rsid w:val="001E09BE"/>
    <w:rsid w:val="001E312C"/>
    <w:rsid w:val="001E4A3B"/>
    <w:rsid w:val="001F0C9A"/>
    <w:rsid w:val="001F3EC7"/>
    <w:rsid w:val="002005D5"/>
    <w:rsid w:val="00200FAC"/>
    <w:rsid w:val="0020151F"/>
    <w:rsid w:val="002039AE"/>
    <w:rsid w:val="00206031"/>
    <w:rsid w:val="0020643D"/>
    <w:rsid w:val="002123C2"/>
    <w:rsid w:val="00214510"/>
    <w:rsid w:val="002146C9"/>
    <w:rsid w:val="002165B5"/>
    <w:rsid w:val="002259FC"/>
    <w:rsid w:val="00231D56"/>
    <w:rsid w:val="00231DDF"/>
    <w:rsid w:val="00243065"/>
    <w:rsid w:val="00245FBE"/>
    <w:rsid w:val="0024610A"/>
    <w:rsid w:val="002636CA"/>
    <w:rsid w:val="00267054"/>
    <w:rsid w:val="002677CD"/>
    <w:rsid w:val="00267B36"/>
    <w:rsid w:val="00270A58"/>
    <w:rsid w:val="0027147A"/>
    <w:rsid w:val="0028002C"/>
    <w:rsid w:val="00294558"/>
    <w:rsid w:val="002A0D06"/>
    <w:rsid w:val="002A3C59"/>
    <w:rsid w:val="002C1B71"/>
    <w:rsid w:val="002D39D2"/>
    <w:rsid w:val="002D5F43"/>
    <w:rsid w:val="002E3C86"/>
    <w:rsid w:val="002E6CE8"/>
    <w:rsid w:val="002F26AA"/>
    <w:rsid w:val="002F6B77"/>
    <w:rsid w:val="002F7031"/>
    <w:rsid w:val="00301353"/>
    <w:rsid w:val="00305DB7"/>
    <w:rsid w:val="003102F2"/>
    <w:rsid w:val="003120D3"/>
    <w:rsid w:val="00315010"/>
    <w:rsid w:val="003250D3"/>
    <w:rsid w:val="0032571E"/>
    <w:rsid w:val="0033533C"/>
    <w:rsid w:val="003366D4"/>
    <w:rsid w:val="0034241C"/>
    <w:rsid w:val="00342FD0"/>
    <w:rsid w:val="003500AC"/>
    <w:rsid w:val="00356028"/>
    <w:rsid w:val="00382625"/>
    <w:rsid w:val="003A121B"/>
    <w:rsid w:val="003A2846"/>
    <w:rsid w:val="003A4FB0"/>
    <w:rsid w:val="003A6BCA"/>
    <w:rsid w:val="003A7D39"/>
    <w:rsid w:val="003B2F2B"/>
    <w:rsid w:val="003B5D1E"/>
    <w:rsid w:val="003C5493"/>
    <w:rsid w:val="003D31F2"/>
    <w:rsid w:val="003E389B"/>
    <w:rsid w:val="003F156C"/>
    <w:rsid w:val="003F66FA"/>
    <w:rsid w:val="004019BB"/>
    <w:rsid w:val="00407BE0"/>
    <w:rsid w:val="004105C5"/>
    <w:rsid w:val="0042470F"/>
    <w:rsid w:val="00426E2E"/>
    <w:rsid w:val="004305CE"/>
    <w:rsid w:val="0043728A"/>
    <w:rsid w:val="004436CA"/>
    <w:rsid w:val="00450CE0"/>
    <w:rsid w:val="00454E0B"/>
    <w:rsid w:val="00471ADB"/>
    <w:rsid w:val="00477D32"/>
    <w:rsid w:val="00482610"/>
    <w:rsid w:val="004845B4"/>
    <w:rsid w:val="00485676"/>
    <w:rsid w:val="00495274"/>
    <w:rsid w:val="004967FF"/>
    <w:rsid w:val="004A4AB3"/>
    <w:rsid w:val="004A55AF"/>
    <w:rsid w:val="004B6498"/>
    <w:rsid w:val="004C7584"/>
    <w:rsid w:val="004C7ED5"/>
    <w:rsid w:val="004D13C0"/>
    <w:rsid w:val="004D3598"/>
    <w:rsid w:val="004E1065"/>
    <w:rsid w:val="004E2D0E"/>
    <w:rsid w:val="004F1DE2"/>
    <w:rsid w:val="004F29A0"/>
    <w:rsid w:val="004F7284"/>
    <w:rsid w:val="005206E9"/>
    <w:rsid w:val="005251D9"/>
    <w:rsid w:val="00532791"/>
    <w:rsid w:val="00533551"/>
    <w:rsid w:val="00544235"/>
    <w:rsid w:val="00546B72"/>
    <w:rsid w:val="00547FDF"/>
    <w:rsid w:val="00550FC8"/>
    <w:rsid w:val="00555745"/>
    <w:rsid w:val="00564973"/>
    <w:rsid w:val="00581514"/>
    <w:rsid w:val="005857BC"/>
    <w:rsid w:val="00592B55"/>
    <w:rsid w:val="005A1932"/>
    <w:rsid w:val="005A401E"/>
    <w:rsid w:val="005C6C1D"/>
    <w:rsid w:val="005C7D9C"/>
    <w:rsid w:val="005D29B4"/>
    <w:rsid w:val="005D61EF"/>
    <w:rsid w:val="00601532"/>
    <w:rsid w:val="00605784"/>
    <w:rsid w:val="00611C41"/>
    <w:rsid w:val="00615ED8"/>
    <w:rsid w:val="00621434"/>
    <w:rsid w:val="00623E03"/>
    <w:rsid w:val="00631AA7"/>
    <w:rsid w:val="0063603F"/>
    <w:rsid w:val="00643D1F"/>
    <w:rsid w:val="0065607F"/>
    <w:rsid w:val="0067240D"/>
    <w:rsid w:val="006819E3"/>
    <w:rsid w:val="00683B71"/>
    <w:rsid w:val="0068601C"/>
    <w:rsid w:val="00694FCD"/>
    <w:rsid w:val="006B1C8F"/>
    <w:rsid w:val="006B26AB"/>
    <w:rsid w:val="006C2022"/>
    <w:rsid w:val="006D5258"/>
    <w:rsid w:val="006E13B5"/>
    <w:rsid w:val="006E781A"/>
    <w:rsid w:val="006F2014"/>
    <w:rsid w:val="006F7A4C"/>
    <w:rsid w:val="007338F6"/>
    <w:rsid w:val="00737B4D"/>
    <w:rsid w:val="00743737"/>
    <w:rsid w:val="00743F65"/>
    <w:rsid w:val="00744CE8"/>
    <w:rsid w:val="007470EB"/>
    <w:rsid w:val="00747AF9"/>
    <w:rsid w:val="00750C74"/>
    <w:rsid w:val="00774EB2"/>
    <w:rsid w:val="007813C3"/>
    <w:rsid w:val="00783E7A"/>
    <w:rsid w:val="007856AB"/>
    <w:rsid w:val="007858F8"/>
    <w:rsid w:val="00791FD6"/>
    <w:rsid w:val="007944D2"/>
    <w:rsid w:val="00795AB9"/>
    <w:rsid w:val="007A37E2"/>
    <w:rsid w:val="007A5A1E"/>
    <w:rsid w:val="007B2E02"/>
    <w:rsid w:val="007B48A1"/>
    <w:rsid w:val="007D0D5B"/>
    <w:rsid w:val="007D62D3"/>
    <w:rsid w:val="007E217F"/>
    <w:rsid w:val="007E638A"/>
    <w:rsid w:val="007E6990"/>
    <w:rsid w:val="00803F2B"/>
    <w:rsid w:val="00806391"/>
    <w:rsid w:val="008135CE"/>
    <w:rsid w:val="00814B0B"/>
    <w:rsid w:val="00815EF4"/>
    <w:rsid w:val="00822312"/>
    <w:rsid w:val="00825634"/>
    <w:rsid w:val="00830AEF"/>
    <w:rsid w:val="00833E89"/>
    <w:rsid w:val="00833F0F"/>
    <w:rsid w:val="00840868"/>
    <w:rsid w:val="00844745"/>
    <w:rsid w:val="00845120"/>
    <w:rsid w:val="008530BF"/>
    <w:rsid w:val="008544F6"/>
    <w:rsid w:val="00867377"/>
    <w:rsid w:val="00870AAA"/>
    <w:rsid w:val="00873CCA"/>
    <w:rsid w:val="00883038"/>
    <w:rsid w:val="00885253"/>
    <w:rsid w:val="00886DFB"/>
    <w:rsid w:val="00896C0D"/>
    <w:rsid w:val="008A197C"/>
    <w:rsid w:val="008B19DD"/>
    <w:rsid w:val="008C0CF9"/>
    <w:rsid w:val="008C0F0D"/>
    <w:rsid w:val="008D1003"/>
    <w:rsid w:val="008D2F53"/>
    <w:rsid w:val="008E0E2F"/>
    <w:rsid w:val="008E5152"/>
    <w:rsid w:val="008F5E0F"/>
    <w:rsid w:val="00900741"/>
    <w:rsid w:val="00903340"/>
    <w:rsid w:val="00905A55"/>
    <w:rsid w:val="009147F9"/>
    <w:rsid w:val="00930339"/>
    <w:rsid w:val="009363EF"/>
    <w:rsid w:val="009421C4"/>
    <w:rsid w:val="00952DEA"/>
    <w:rsid w:val="00956109"/>
    <w:rsid w:val="0096030C"/>
    <w:rsid w:val="00966D4C"/>
    <w:rsid w:val="0097007E"/>
    <w:rsid w:val="00971A94"/>
    <w:rsid w:val="0097445C"/>
    <w:rsid w:val="009837D6"/>
    <w:rsid w:val="0099059B"/>
    <w:rsid w:val="00992EF7"/>
    <w:rsid w:val="0099504F"/>
    <w:rsid w:val="009A0CB7"/>
    <w:rsid w:val="009B741F"/>
    <w:rsid w:val="009C1CC3"/>
    <w:rsid w:val="009C324E"/>
    <w:rsid w:val="009D5F80"/>
    <w:rsid w:val="009E493C"/>
    <w:rsid w:val="009F29B9"/>
    <w:rsid w:val="009F4B90"/>
    <w:rsid w:val="00A02381"/>
    <w:rsid w:val="00A135A8"/>
    <w:rsid w:val="00A16A10"/>
    <w:rsid w:val="00A225A7"/>
    <w:rsid w:val="00A362B4"/>
    <w:rsid w:val="00A366EB"/>
    <w:rsid w:val="00A428CB"/>
    <w:rsid w:val="00A50D93"/>
    <w:rsid w:val="00A55F37"/>
    <w:rsid w:val="00A85207"/>
    <w:rsid w:val="00A92E9E"/>
    <w:rsid w:val="00A94E43"/>
    <w:rsid w:val="00A96408"/>
    <w:rsid w:val="00A96923"/>
    <w:rsid w:val="00AA3932"/>
    <w:rsid w:val="00AB05E3"/>
    <w:rsid w:val="00AD410A"/>
    <w:rsid w:val="00AF11A7"/>
    <w:rsid w:val="00AF5F28"/>
    <w:rsid w:val="00AF605A"/>
    <w:rsid w:val="00B01C5D"/>
    <w:rsid w:val="00B071F6"/>
    <w:rsid w:val="00B17F4A"/>
    <w:rsid w:val="00B230DE"/>
    <w:rsid w:val="00B25ACA"/>
    <w:rsid w:val="00B3218F"/>
    <w:rsid w:val="00B40191"/>
    <w:rsid w:val="00B4475A"/>
    <w:rsid w:val="00B5196C"/>
    <w:rsid w:val="00B554F9"/>
    <w:rsid w:val="00B5641C"/>
    <w:rsid w:val="00B57390"/>
    <w:rsid w:val="00B73CEB"/>
    <w:rsid w:val="00B7445A"/>
    <w:rsid w:val="00B7702D"/>
    <w:rsid w:val="00B77C97"/>
    <w:rsid w:val="00B96B60"/>
    <w:rsid w:val="00BA3188"/>
    <w:rsid w:val="00BA5678"/>
    <w:rsid w:val="00BA5EA3"/>
    <w:rsid w:val="00BB2195"/>
    <w:rsid w:val="00BB21A0"/>
    <w:rsid w:val="00BB23A4"/>
    <w:rsid w:val="00BC10C6"/>
    <w:rsid w:val="00BD0357"/>
    <w:rsid w:val="00BE19C3"/>
    <w:rsid w:val="00BE26C7"/>
    <w:rsid w:val="00BF24C1"/>
    <w:rsid w:val="00BF2AFB"/>
    <w:rsid w:val="00BF4166"/>
    <w:rsid w:val="00C07FA4"/>
    <w:rsid w:val="00C11075"/>
    <w:rsid w:val="00C117FB"/>
    <w:rsid w:val="00C11999"/>
    <w:rsid w:val="00C12A1C"/>
    <w:rsid w:val="00C22057"/>
    <w:rsid w:val="00C26AE4"/>
    <w:rsid w:val="00C31011"/>
    <w:rsid w:val="00C47569"/>
    <w:rsid w:val="00C5082E"/>
    <w:rsid w:val="00C56E6F"/>
    <w:rsid w:val="00C80D4D"/>
    <w:rsid w:val="00C83131"/>
    <w:rsid w:val="00C83AE6"/>
    <w:rsid w:val="00C944A9"/>
    <w:rsid w:val="00CA4D14"/>
    <w:rsid w:val="00CA6580"/>
    <w:rsid w:val="00CB0BCB"/>
    <w:rsid w:val="00CB2B87"/>
    <w:rsid w:val="00CC71BF"/>
    <w:rsid w:val="00CD216B"/>
    <w:rsid w:val="00CE332D"/>
    <w:rsid w:val="00CE405C"/>
    <w:rsid w:val="00CE6144"/>
    <w:rsid w:val="00CE69D9"/>
    <w:rsid w:val="00CF274C"/>
    <w:rsid w:val="00CF48CE"/>
    <w:rsid w:val="00CF4C60"/>
    <w:rsid w:val="00CF5678"/>
    <w:rsid w:val="00CF61D0"/>
    <w:rsid w:val="00D0630D"/>
    <w:rsid w:val="00D06D22"/>
    <w:rsid w:val="00D130A8"/>
    <w:rsid w:val="00D13471"/>
    <w:rsid w:val="00D20433"/>
    <w:rsid w:val="00D21B28"/>
    <w:rsid w:val="00D22302"/>
    <w:rsid w:val="00D22A62"/>
    <w:rsid w:val="00D22C5F"/>
    <w:rsid w:val="00D27070"/>
    <w:rsid w:val="00D279FB"/>
    <w:rsid w:val="00D44F6C"/>
    <w:rsid w:val="00D46084"/>
    <w:rsid w:val="00D54287"/>
    <w:rsid w:val="00D659A6"/>
    <w:rsid w:val="00D76F51"/>
    <w:rsid w:val="00D814E7"/>
    <w:rsid w:val="00D85AE9"/>
    <w:rsid w:val="00D86719"/>
    <w:rsid w:val="00D977DF"/>
    <w:rsid w:val="00DA4272"/>
    <w:rsid w:val="00DA670D"/>
    <w:rsid w:val="00DB72D3"/>
    <w:rsid w:val="00DC58EF"/>
    <w:rsid w:val="00DC63FB"/>
    <w:rsid w:val="00DD1CB5"/>
    <w:rsid w:val="00DD5E81"/>
    <w:rsid w:val="00DD7467"/>
    <w:rsid w:val="00DE2279"/>
    <w:rsid w:val="00DE35E2"/>
    <w:rsid w:val="00DF551B"/>
    <w:rsid w:val="00DF682D"/>
    <w:rsid w:val="00E16EF3"/>
    <w:rsid w:val="00E227F4"/>
    <w:rsid w:val="00E26698"/>
    <w:rsid w:val="00E4096A"/>
    <w:rsid w:val="00E51881"/>
    <w:rsid w:val="00E60D07"/>
    <w:rsid w:val="00E66518"/>
    <w:rsid w:val="00E70C1D"/>
    <w:rsid w:val="00E73A35"/>
    <w:rsid w:val="00E768BF"/>
    <w:rsid w:val="00E77C4A"/>
    <w:rsid w:val="00E95C8B"/>
    <w:rsid w:val="00EB3A99"/>
    <w:rsid w:val="00EC05B7"/>
    <w:rsid w:val="00EC342F"/>
    <w:rsid w:val="00EC794E"/>
    <w:rsid w:val="00ED00FB"/>
    <w:rsid w:val="00EF11BB"/>
    <w:rsid w:val="00EF34F5"/>
    <w:rsid w:val="00EF4E18"/>
    <w:rsid w:val="00EF56DE"/>
    <w:rsid w:val="00EF5F4E"/>
    <w:rsid w:val="00F110D6"/>
    <w:rsid w:val="00F114D6"/>
    <w:rsid w:val="00F2142A"/>
    <w:rsid w:val="00F2754F"/>
    <w:rsid w:val="00F43C8F"/>
    <w:rsid w:val="00F65083"/>
    <w:rsid w:val="00F71E79"/>
    <w:rsid w:val="00F76954"/>
    <w:rsid w:val="00F93B2A"/>
    <w:rsid w:val="00F95AB8"/>
    <w:rsid w:val="00FA2E43"/>
    <w:rsid w:val="00FB0D62"/>
    <w:rsid w:val="00FB431C"/>
    <w:rsid w:val="00FB5CAB"/>
    <w:rsid w:val="00FC5A9C"/>
    <w:rsid w:val="00FE3047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f7fb"/>
    </o:shapedefaults>
    <o:shapelayout v:ext="edit">
      <o:idmap v:ext="edit" data="1"/>
    </o:shapelayout>
  </w:shapeDefaults>
  <w:decimalSymbol w:val="."/>
  <w:listSeparator w:val=","/>
  <w14:docId w14:val="02109EB5"/>
  <w15:docId w15:val="{1C269E0F-245D-46A6-990E-ACCA4261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A428CB"/>
    <w:pPr>
      <w:spacing w:before="1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8CB"/>
    <w:rPr>
      <w:rFonts w:ascii="Times New Roman" w:eastAsia="Times New Roman" w:hAnsi="Times New Roman" w:cs="Times New Roman"/>
      <w:sz w:val="20"/>
      <w:szCs w:val="20"/>
    </w:rPr>
  </w:style>
  <w:style w:type="table" w:styleId="LightList-Accent6">
    <w:name w:val="Light List Accent 6"/>
    <w:basedOn w:val="TableNormal"/>
    <w:uiPriority w:val="61"/>
    <w:rsid w:val="00A42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21B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21B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61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2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plan/plan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equitableaccess/plan/pla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val/guideboo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ordevelopment@doe.mass.edu" TargetMode="External"/><Relationship Id="rId1" Type="http://schemas.openxmlformats.org/officeDocument/2006/relationships/hyperlink" Target="mailto:educatordevelopment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DESE-231-19476</_dlc_DocId>
    <_dlc_DocIdUrl xmlns="733efe1c-5bbe-4968-87dc-d400e65c879f">
      <Url>https://sharepoint.doemass.org/ese/webteam/cps/_layouts/DocIdRedir.aspx?ID=DESE-231-19476</Url>
      <Description>DESE-231-19476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FB626-BC4C-4760-9065-2266984BD5D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F53E3D5-FE66-46DE-9B06-98DDDF0FD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3A66A-71F8-4DBF-99AB-7DE39C6A7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C656C-D37C-48CD-82C5-2BF6BCF80A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8061B4-83C5-432D-B096-7DB0B298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One-pager: Equity Plan for district leaders</vt:lpstr>
    </vt:vector>
  </TitlesOfParts>
  <Company>Microsoft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One-pager: Equity Plan for District Leaders</dc:title>
  <dc:creator>ESE</dc:creator>
  <cp:lastModifiedBy>Zou, Dong (EOE)</cp:lastModifiedBy>
  <cp:revision>3</cp:revision>
  <cp:lastPrinted>2015-06-04T19:13:00Z</cp:lastPrinted>
  <dcterms:created xsi:type="dcterms:W3CDTF">2015-09-22T21:21:00Z</dcterms:created>
  <dcterms:modified xsi:type="dcterms:W3CDTF">2020-06-09T19:17:00Z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2015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46cf9767-d97f-4f88-b90e-c3696864b4b2</vt:lpwstr>
  </property>
</Properties>
</file>