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D611C" w14:textId="0A8BE934" w:rsidR="002258BA" w:rsidRDefault="00277291">
      <w:r>
        <w:rPr>
          <w:noProof/>
        </w:rPr>
        <w:drawing>
          <wp:anchor distT="0" distB="0" distL="114300" distR="114300" simplePos="0" relativeHeight="251713536" behindDoc="1" locked="0" layoutInCell="1" allowOverlap="1" wp14:anchorId="343D6146" wp14:editId="343D6147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9144000" cy="638175"/>
            <wp:effectExtent l="19050" t="0" r="0" b="0"/>
            <wp:wrapTight wrapText="bothSides">
              <wp:wrapPolygon edited="0">
                <wp:start x="-45" y="0"/>
                <wp:lineTo x="-45" y="21278"/>
                <wp:lineTo x="21600" y="21278"/>
                <wp:lineTo x="21600" y="0"/>
                <wp:lineTo x="-45" y="0"/>
              </wp:wrapPolygon>
            </wp:wrapTight>
            <wp:docPr id="2" name="Picture 3" descr="Parents &amp; Community: Get to Know the MA Equity Plan&#10;Gaps in student access to excellent educators&#10;Icons of people holding books on the sides of th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D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D6149" wp14:editId="499F97B5">
                <wp:simplePos x="0" y="0"/>
                <wp:positionH relativeFrom="column">
                  <wp:posOffset>-177165</wp:posOffset>
                </wp:positionH>
                <wp:positionV relativeFrom="paragraph">
                  <wp:posOffset>649605</wp:posOffset>
                </wp:positionV>
                <wp:extent cx="9220835" cy="606425"/>
                <wp:effectExtent l="22860" t="20955" r="33655" b="4889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835" cy="60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3D615F" w14:textId="77777777" w:rsidR="00A961FD" w:rsidRPr="002816B4" w:rsidRDefault="00A961FD" w:rsidP="00034FCC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034FCC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The Department of Elementary and Secondary Education found that the schools with large populations of low income and minority s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tudents employed fewer teachers/principals who are experienced, </w:t>
                            </w:r>
                            <w:r w:rsidRPr="00034FCC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effective, and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teaching in the subjects where they are qualified.</w:t>
                            </w:r>
                          </w:p>
                          <w:p w14:paraId="343D6160" w14:textId="77777777" w:rsidR="00A961FD" w:rsidRPr="002816B4" w:rsidRDefault="00A961F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95pt;margin-top:51.15pt;width:726.0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" fillcolor="#4f81bd [3204]" strokecolor="#f2f2f2 [3041]" strokeweight="3pt">
                <v:shadow on="t" color="#243f60 [1604]" opacity=".5" offset="1pt"/>
                <v:textbox>
                  <w:txbxContent>
                    <w:p w14:paraId="343D615F" w14:textId="77777777" w:rsidR="00A961FD" w:rsidRPr="002816B4" w:rsidRDefault="00A961FD" w:rsidP="00034FCC">
                      <w:pPr>
                        <w:rPr>
                          <w:color w:val="4F81BD" w:themeColor="accent1"/>
                        </w:rPr>
                      </w:pPr>
                      <w:r w:rsidRPr="00034FCC">
                        <w:rPr>
                          <w:color w:val="FFFFFF" w:themeColor="background1"/>
                          <w:sz w:val="26"/>
                          <w:szCs w:val="26"/>
                        </w:rPr>
                        <w:t>The Department of Elementary and Secondary Education found that the schools with large populations of low income and minority s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tudents employed fewer teachers/principals who are experienced, </w:t>
                      </w:r>
                      <w:r w:rsidRPr="00034FCC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effective, and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teaching in the subjects where they are qualified.</w:t>
                      </w:r>
                    </w:p>
                    <w:p w14:paraId="343D6160" w14:textId="77777777" w:rsidR="00A961FD" w:rsidRPr="002816B4" w:rsidRDefault="00A961F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D611D" w14:textId="77777777" w:rsidR="002258BA" w:rsidRDefault="002258BA"/>
    <w:p w14:paraId="343D611E" w14:textId="0D719655" w:rsidR="002258BA" w:rsidRDefault="003F0D4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43D614A" wp14:editId="47F497D5">
                <wp:simplePos x="0" y="0"/>
                <wp:positionH relativeFrom="column">
                  <wp:posOffset>38100</wp:posOffset>
                </wp:positionH>
                <wp:positionV relativeFrom="paragraph">
                  <wp:posOffset>285115</wp:posOffset>
                </wp:positionV>
                <wp:extent cx="6167755" cy="2376805"/>
                <wp:effectExtent l="0" t="4445" r="444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237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D6161" w14:textId="77777777" w:rsidR="00A961FD" w:rsidRPr="00C93629" w:rsidRDefault="00A961FD" w:rsidP="00C936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64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C93629">
                              <w:rPr>
                                <w:sz w:val="26"/>
                                <w:szCs w:val="26"/>
                              </w:rPr>
                              <w:t>Compared to a student in a low poverty school, the average student in a high poverty school is</w:t>
                            </w:r>
                            <w:r w:rsidRPr="00C936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5FBC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more than 3 times</w:t>
                            </w:r>
                            <w:r w:rsidRPr="00C93629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as likely to have teacher with an “ineffective” evaluation</w:t>
                            </w:r>
                          </w:p>
                          <w:p w14:paraId="343D6162" w14:textId="77777777" w:rsidR="00A961FD" w:rsidRPr="00C93629" w:rsidRDefault="00A961FD" w:rsidP="00C93629">
                            <w:pPr>
                              <w:pStyle w:val="ListParagraph"/>
                              <w:spacing w:after="0" w:line="264" w:lineRule="auto"/>
                              <w:contextualSpacing w:val="0"/>
                              <w:rPr>
                                <w:sz w:val="8"/>
                                <w:szCs w:val="8"/>
                              </w:rPr>
                            </w:pPr>
                            <w:r w:rsidRPr="00C93629">
                              <w:rPr>
                                <w:color w:val="4F81BD" w:themeColor="accen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343D6163" w14:textId="77777777" w:rsidR="00A961FD" w:rsidRDefault="00A961FD" w:rsidP="00C936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64" w:lineRule="auto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C93629">
                              <w:rPr>
                                <w:sz w:val="26"/>
                                <w:szCs w:val="26"/>
                              </w:rPr>
                              <w:t xml:space="preserve">On average, students in high poverty and high minority schools have </w:t>
                            </w:r>
                            <w:r w:rsidRPr="00705FBC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about</w:t>
                            </w:r>
                            <w:r w:rsidRPr="00705F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5FBC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twice</w:t>
                            </w:r>
                            <w:r w:rsidRPr="00C93629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as many first year teachers</w:t>
                            </w:r>
                            <w:r w:rsidRPr="00C93629">
                              <w:rPr>
                                <w:sz w:val="26"/>
                                <w:szCs w:val="26"/>
                              </w:rPr>
                              <w:t xml:space="preserve"> as do students in low poverty and low minority schools.</w:t>
                            </w:r>
                          </w:p>
                          <w:p w14:paraId="343D6164" w14:textId="77777777" w:rsidR="00A961FD" w:rsidRPr="00C93629" w:rsidRDefault="00A961FD" w:rsidP="00C93629">
                            <w:pPr>
                              <w:spacing w:after="0" w:line="264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C93629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343D6165" w14:textId="77777777" w:rsidR="00A961FD" w:rsidRPr="00C93629" w:rsidRDefault="00A961FD" w:rsidP="00C936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64" w:lineRule="auto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C93629">
                              <w:rPr>
                                <w:sz w:val="26"/>
                                <w:szCs w:val="26"/>
                              </w:rPr>
                              <w:t xml:space="preserve">High minority schools have </w:t>
                            </w:r>
                            <w:r w:rsidRPr="00705FBC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more than 8 times</w:t>
                            </w:r>
                            <w:r w:rsidRPr="00C93629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as many teachers who teach classes outside of their subject</w:t>
                            </w:r>
                            <w:r w:rsidRPr="00C93629">
                              <w:rPr>
                                <w:sz w:val="26"/>
                                <w:szCs w:val="26"/>
                              </w:rPr>
                              <w:t>, compared to low minority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pt;margin-top:22.45pt;width:485.65pt;height:187.1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oTuQIAAMM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" filled="f" stroked="f">
                <v:textbox>
                  <w:txbxContent>
                    <w:p w14:paraId="343D6161" w14:textId="77777777" w:rsidR="00A961FD" w:rsidRPr="00C93629" w:rsidRDefault="00A961FD" w:rsidP="00C936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64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C93629">
                        <w:rPr>
                          <w:sz w:val="26"/>
                          <w:szCs w:val="26"/>
                        </w:rPr>
                        <w:t>Compared to a student in a low poverty school, the average student in a high poverty school is</w:t>
                      </w:r>
                      <w:r w:rsidRPr="00C9362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05FBC">
                        <w:rPr>
                          <w:b/>
                          <w:color w:val="4F81BD" w:themeColor="accent1"/>
                          <w:sz w:val="32"/>
                          <w:szCs w:val="32"/>
                        </w:rPr>
                        <w:t>more than 3 times</w:t>
                      </w:r>
                      <w:r w:rsidRPr="00C93629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 as likely to have teacher with an “ineffective” evaluation</w:t>
                      </w:r>
                    </w:p>
                    <w:p w14:paraId="343D6162" w14:textId="77777777" w:rsidR="00A961FD" w:rsidRPr="00C93629" w:rsidRDefault="00A961FD" w:rsidP="00C93629">
                      <w:pPr>
                        <w:pStyle w:val="ListParagraph"/>
                        <w:spacing w:after="0" w:line="264" w:lineRule="auto"/>
                        <w:contextualSpacing w:val="0"/>
                        <w:rPr>
                          <w:sz w:val="8"/>
                          <w:szCs w:val="8"/>
                        </w:rPr>
                      </w:pPr>
                      <w:r w:rsidRPr="00C93629">
                        <w:rPr>
                          <w:color w:val="4F81BD" w:themeColor="accent1"/>
                          <w:sz w:val="8"/>
                          <w:szCs w:val="8"/>
                        </w:rPr>
                        <w:t xml:space="preserve"> </w:t>
                      </w:r>
                    </w:p>
                    <w:p w14:paraId="343D6163" w14:textId="77777777" w:rsidR="00A961FD" w:rsidRDefault="00A961FD" w:rsidP="00C936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64" w:lineRule="auto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C93629">
                        <w:rPr>
                          <w:sz w:val="26"/>
                          <w:szCs w:val="26"/>
                        </w:rPr>
                        <w:t xml:space="preserve">On average, students in high poverty and high minority schools have </w:t>
                      </w:r>
                      <w:r w:rsidRPr="00705FBC">
                        <w:rPr>
                          <w:b/>
                          <w:color w:val="4F81BD" w:themeColor="accent1"/>
                          <w:sz w:val="32"/>
                          <w:szCs w:val="32"/>
                        </w:rPr>
                        <w:t>about</w:t>
                      </w:r>
                      <w:r w:rsidRPr="00705FB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05FBC">
                        <w:rPr>
                          <w:b/>
                          <w:color w:val="4F81BD" w:themeColor="accent1"/>
                          <w:sz w:val="32"/>
                          <w:szCs w:val="32"/>
                        </w:rPr>
                        <w:t>twice</w:t>
                      </w:r>
                      <w:r w:rsidRPr="00C93629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 as many first year teachers</w:t>
                      </w:r>
                      <w:r w:rsidRPr="00C93629">
                        <w:rPr>
                          <w:sz w:val="26"/>
                          <w:szCs w:val="26"/>
                        </w:rPr>
                        <w:t xml:space="preserve"> as do students in low poverty and low minority schools.</w:t>
                      </w:r>
                    </w:p>
                    <w:p w14:paraId="343D6164" w14:textId="77777777" w:rsidR="00A961FD" w:rsidRPr="00C93629" w:rsidRDefault="00A961FD" w:rsidP="00C93629">
                      <w:pPr>
                        <w:spacing w:after="0" w:line="264" w:lineRule="auto"/>
                        <w:rPr>
                          <w:sz w:val="8"/>
                          <w:szCs w:val="8"/>
                        </w:rPr>
                      </w:pPr>
                      <w:r w:rsidRPr="00C93629"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14:paraId="343D6165" w14:textId="77777777" w:rsidR="00A961FD" w:rsidRPr="00C93629" w:rsidRDefault="00A961FD" w:rsidP="00C936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64" w:lineRule="auto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C93629">
                        <w:rPr>
                          <w:sz w:val="26"/>
                          <w:szCs w:val="26"/>
                        </w:rPr>
                        <w:t xml:space="preserve">High minority schools have </w:t>
                      </w:r>
                      <w:r w:rsidRPr="00705FBC">
                        <w:rPr>
                          <w:b/>
                          <w:color w:val="4F81BD" w:themeColor="accent1"/>
                          <w:sz w:val="32"/>
                          <w:szCs w:val="32"/>
                        </w:rPr>
                        <w:t>more than 8 times</w:t>
                      </w:r>
                      <w:r w:rsidRPr="00C93629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 as many teachers who teach classes outside of their subject</w:t>
                      </w:r>
                      <w:r w:rsidRPr="00C93629">
                        <w:rPr>
                          <w:sz w:val="26"/>
                          <w:szCs w:val="26"/>
                        </w:rPr>
                        <w:t>, compared to low minority schools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3D611F" w14:textId="77777777" w:rsidR="002258BA" w:rsidRDefault="001B6E40">
      <w:r>
        <w:rPr>
          <w:noProof/>
        </w:rPr>
        <w:drawing>
          <wp:anchor distT="0" distB="0" distL="114300" distR="114300" simplePos="0" relativeHeight="251709440" behindDoc="1" locked="0" layoutInCell="1" allowOverlap="1" wp14:anchorId="343D614B" wp14:editId="343D614C">
            <wp:simplePos x="0" y="0"/>
            <wp:positionH relativeFrom="column">
              <wp:posOffset>424180</wp:posOffset>
            </wp:positionH>
            <wp:positionV relativeFrom="paragraph">
              <wp:posOffset>20955</wp:posOffset>
            </wp:positionV>
            <wp:extent cx="2469515" cy="3181985"/>
            <wp:effectExtent l="19050" t="0" r="6985" b="0"/>
            <wp:wrapTight wrapText="bothSides">
              <wp:wrapPolygon edited="0">
                <wp:start x="-167" y="0"/>
                <wp:lineTo x="-167" y="21466"/>
                <wp:lineTo x="21661" y="21466"/>
                <wp:lineTo x="21661" y="0"/>
                <wp:lineTo x="-167" y="0"/>
              </wp:wrapPolygon>
            </wp:wrapTight>
            <wp:docPr id="7" name="Picture 6" descr="&#10;Text box: Lightbulb on a base with the text: What makes and excellent educator?&#10;Text below: We do not use a specific way to measure “excellent educators.” One should consider different characteristics, including:&#10; impact on students&#10; experience&#10; being highly qualifi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D6120" w14:textId="77777777" w:rsidR="00C55F0D" w:rsidRDefault="00C55F0D"/>
    <w:p w14:paraId="343D6121" w14:textId="77777777" w:rsidR="00C55F0D" w:rsidRDefault="00C55F0D"/>
    <w:p w14:paraId="343D6122" w14:textId="77777777" w:rsidR="00C55F0D" w:rsidRDefault="00C55F0D"/>
    <w:p w14:paraId="343D6123" w14:textId="77777777" w:rsidR="00C55F0D" w:rsidRDefault="00C55F0D"/>
    <w:p w14:paraId="343D6124" w14:textId="77777777" w:rsidR="00C55F0D" w:rsidRDefault="00C55F0D"/>
    <w:p w14:paraId="343D6125" w14:textId="77777777" w:rsidR="00C55F0D" w:rsidRDefault="00C55F0D"/>
    <w:p w14:paraId="343D6126" w14:textId="40D29969" w:rsidR="00C55F0D" w:rsidRDefault="003F0D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D614D" wp14:editId="50F4223F">
                <wp:simplePos x="0" y="0"/>
                <wp:positionH relativeFrom="column">
                  <wp:posOffset>160020</wp:posOffset>
                </wp:positionH>
                <wp:positionV relativeFrom="paragraph">
                  <wp:posOffset>300990</wp:posOffset>
                </wp:positionV>
                <wp:extent cx="6226810" cy="735965"/>
                <wp:effectExtent l="0" t="0" r="4445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D6166" w14:textId="77777777" w:rsidR="00A961FD" w:rsidRPr="00834CE6" w:rsidRDefault="00A961FD" w:rsidP="00F8585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06C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ESE compared the 25% of schools with the largest proportion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students who are eligible for free and reduced price lunch</w:t>
                            </w:r>
                            <w:r w:rsidRPr="00E06C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(high poverty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schools</w:t>
                            </w:r>
                            <w:r w:rsidRPr="00E06C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 to the 25% with the smallest proportion of low income students (low poverty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schools</w:t>
                            </w:r>
                            <w:r w:rsidRPr="00E06C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). The same applies to high and low minority schools.</w:t>
                            </w:r>
                          </w:p>
                          <w:p w14:paraId="343D6167" w14:textId="77777777" w:rsidR="00A961FD" w:rsidRDefault="00A961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.6pt;margin-top:23.7pt;width:490.3pt;height:5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W/ugIAAMA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" filled="f" stroked="f">
                <v:textbox>
                  <w:txbxContent>
                    <w:p w14:paraId="343D6166" w14:textId="77777777" w:rsidR="00A961FD" w:rsidRPr="00834CE6" w:rsidRDefault="00A961FD" w:rsidP="00F8585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06C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ESE compared the 25% of schools with the largest proportion of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students who are eligible for free and reduced price lunch</w:t>
                      </w:r>
                      <w:r w:rsidRPr="00E06C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(high poverty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schools</w:t>
                      </w:r>
                      <w:r w:rsidRPr="00E06C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 to the 25% with the smallest proportion of low income students (low poverty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schools</w:t>
                      </w:r>
                      <w:r w:rsidRPr="00E06C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). The same applies to high and low minority schools.</w:t>
                      </w:r>
                    </w:p>
                    <w:p w14:paraId="343D6167" w14:textId="77777777" w:rsidR="00A961FD" w:rsidRDefault="00A961FD"/>
                  </w:txbxContent>
                </v:textbox>
              </v:shape>
            </w:pict>
          </mc:Fallback>
        </mc:AlternateContent>
      </w:r>
    </w:p>
    <w:p w14:paraId="343D6127" w14:textId="77777777" w:rsidR="00C55F0D" w:rsidRDefault="00C55F0D"/>
    <w:p w14:paraId="343D6128" w14:textId="77777777" w:rsidR="00F8585E" w:rsidRDefault="00F8585E"/>
    <w:p w14:paraId="343D6129" w14:textId="503C0230" w:rsidR="00F8585E" w:rsidRDefault="003F0D4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3D614E" wp14:editId="487BCB88">
                <wp:simplePos x="0" y="0"/>
                <wp:positionH relativeFrom="column">
                  <wp:posOffset>-9025890</wp:posOffset>
                </wp:positionH>
                <wp:positionV relativeFrom="paragraph">
                  <wp:posOffset>67310</wp:posOffset>
                </wp:positionV>
                <wp:extent cx="9220835" cy="0"/>
                <wp:effectExtent l="13335" t="7620" r="5080" b="1143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710.7pt;margin-top:5.3pt;width:726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jY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"/>
            </w:pict>
          </mc:Fallback>
        </mc:AlternateContent>
      </w:r>
      <w:r w:rsidR="00674881">
        <w:rPr>
          <w:noProof/>
        </w:rPr>
        <w:drawing>
          <wp:anchor distT="0" distB="0" distL="114300" distR="114300" simplePos="0" relativeHeight="251714560" behindDoc="1" locked="0" layoutInCell="1" allowOverlap="1" wp14:anchorId="343D614F" wp14:editId="343D6150">
            <wp:simplePos x="0" y="0"/>
            <wp:positionH relativeFrom="column">
              <wp:posOffset>228600</wp:posOffset>
            </wp:positionH>
            <wp:positionV relativeFrom="paragraph">
              <wp:posOffset>88265</wp:posOffset>
            </wp:positionV>
            <wp:extent cx="8572500" cy="1876425"/>
            <wp:effectExtent l="19050" t="0" r="0" b="0"/>
            <wp:wrapTight wrapText="bothSides">
              <wp:wrapPolygon edited="0">
                <wp:start x="-48" y="0"/>
                <wp:lineTo x="-48" y="21490"/>
                <wp:lineTo x="21600" y="21490"/>
                <wp:lineTo x="21600" y="0"/>
                <wp:lineTo x="-48" y="0"/>
              </wp:wrapPolygon>
            </wp:wrapTight>
            <wp:docPr id="5" name="Picture 6" descr="Text box: Each year in high poverty and high minority schools, almost twice as many teachers leave the school compared to low poverty and low minority schools.&#10;Infographic with arrows showing that: Also, in high poverty and high minority schools, when teachers leave, this leads to them often being replaced with new/ineffective/unprepared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D612A" w14:textId="77777777" w:rsidR="00F8585E" w:rsidRDefault="00F8585E"/>
    <w:p w14:paraId="343D612B" w14:textId="77777777" w:rsidR="00C16F6C" w:rsidRDefault="00C16F6C"/>
    <w:p w14:paraId="343D612C" w14:textId="77777777" w:rsidR="00663768" w:rsidRPr="00C16F6C" w:rsidRDefault="00C16F6C">
      <w:pPr>
        <w:rPr>
          <w:sz w:val="6"/>
          <w:szCs w:val="6"/>
        </w:rPr>
      </w:pPr>
      <w:r w:rsidRPr="00C16F6C">
        <w:rPr>
          <w:sz w:val="6"/>
          <w:szCs w:val="6"/>
        </w:rPr>
        <w:t xml:space="preserve"> </w:t>
      </w:r>
    </w:p>
    <w:p w14:paraId="343D612D" w14:textId="77777777" w:rsidR="00663768" w:rsidRDefault="00663768"/>
    <w:p w14:paraId="343D612E" w14:textId="63202AC1" w:rsidR="00663768" w:rsidRDefault="003F0D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3D6151" wp14:editId="283DBA48">
                <wp:simplePos x="0" y="0"/>
                <wp:positionH relativeFrom="column">
                  <wp:posOffset>-215265</wp:posOffset>
                </wp:positionH>
                <wp:positionV relativeFrom="paragraph">
                  <wp:posOffset>21590</wp:posOffset>
                </wp:positionV>
                <wp:extent cx="9250680" cy="381000"/>
                <wp:effectExtent l="22860" t="19050" r="32385" b="4762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68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3D6168" w14:textId="77777777" w:rsidR="00A961FD" w:rsidRPr="00FD0FE9" w:rsidRDefault="00A961FD" w:rsidP="00A961FD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FD0FE9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The</w:t>
                            </w:r>
                            <w:r w:rsidRPr="00150FAC">
                              <w:rPr>
                                <w:color w:val="C6D9F1" w:themeColor="text2" w:themeTint="33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5" w:history="1">
                              <w:r w:rsidR="004D037F" w:rsidRPr="004D037F">
                                <w:rPr>
                                  <w:rStyle w:val="Hyperlink"/>
                                  <w:color w:val="C6D9F1" w:themeColor="text2" w:themeTint="33"/>
                                  <w:sz w:val="26"/>
                                  <w:szCs w:val="26"/>
                                </w:rPr>
                                <w:t>Equitable Access Plan</w:t>
                              </w:r>
                            </w:hyperlink>
                            <w:r>
                              <w:t xml:space="preserve"> </w:t>
                            </w:r>
                            <w:r w:rsidRPr="00FD0FE9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aims to make sure </w:t>
                            </w:r>
                            <w:r w:rsidRPr="00FD0FE9">
                              <w:rPr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every</w:t>
                            </w:r>
                            <w:r w:rsidRPr="00FD0FE9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student, regardless of background, has access to excellent teachers and principals.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-16.95pt;margin-top:1.7pt;width:728.4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343D6168" w14:textId="77777777" w:rsidR="00A961FD" w:rsidRPr="00FD0FE9" w:rsidRDefault="00A961FD" w:rsidP="00A961FD">
                      <w:pPr>
                        <w:tabs>
                          <w:tab w:val="left" w:pos="1170"/>
                        </w:tabs>
                        <w:spacing w:after="0" w:line="240" w:lineRule="auto"/>
                        <w:rPr>
                          <w:rFonts w:ascii="Arial" w:eastAsiaTheme="majorEastAsia" w:hAnsi="Arial" w:cs="Arial"/>
                          <w:bCs/>
                          <w:sz w:val="24"/>
                          <w:szCs w:val="24"/>
                        </w:rPr>
                      </w:pPr>
                      <w:r w:rsidRPr="00FD0FE9">
                        <w:rPr>
                          <w:color w:val="FFFFFF" w:themeColor="background1"/>
                          <w:sz w:val="26"/>
                          <w:szCs w:val="26"/>
                        </w:rPr>
                        <w:t>The</w:t>
                      </w:r>
                      <w:r w:rsidRPr="00150FAC">
                        <w:rPr>
                          <w:color w:val="C6D9F1" w:themeColor="text2" w:themeTint="33"/>
                          <w:sz w:val="26"/>
                          <w:szCs w:val="26"/>
                        </w:rPr>
                        <w:t xml:space="preserve"> </w:t>
                      </w:r>
                      <w:hyperlink r:id="rId16" w:history="1">
                        <w:r w:rsidR="004D037F" w:rsidRPr="004D037F">
                          <w:rPr>
                            <w:rStyle w:val="Hyperlink"/>
                            <w:color w:val="C6D9F1" w:themeColor="text2" w:themeTint="33"/>
                            <w:sz w:val="26"/>
                            <w:szCs w:val="26"/>
                          </w:rPr>
                          <w:t>Equitable Access Plan</w:t>
                        </w:r>
                      </w:hyperlink>
                      <w:r>
                        <w:t xml:space="preserve"> </w:t>
                      </w:r>
                      <w:r w:rsidRPr="00FD0FE9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aims to make sure </w:t>
                      </w:r>
                      <w:r w:rsidRPr="00FD0FE9">
                        <w:rPr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every</w:t>
                      </w:r>
                      <w:r w:rsidRPr="00FD0FE9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student, regardless of background, has access to excellent teachers and principals.</w:t>
                      </w:r>
                    </w:p>
                  </w:txbxContent>
                </v:textbox>
              </v:shape>
            </w:pict>
          </mc:Fallback>
        </mc:AlternateContent>
      </w:r>
      <w:r w:rsidR="00433964">
        <w:rPr>
          <w:noProof/>
        </w:rPr>
        <w:drawing>
          <wp:anchor distT="0" distB="0" distL="114300" distR="114300" simplePos="0" relativeHeight="251715584" behindDoc="1" locked="0" layoutInCell="1" allowOverlap="1" wp14:anchorId="343D6152" wp14:editId="343D6153">
            <wp:simplePos x="0" y="0"/>
            <wp:positionH relativeFrom="column">
              <wp:posOffset>-38100</wp:posOffset>
            </wp:positionH>
            <wp:positionV relativeFrom="paragraph">
              <wp:posOffset>-266700</wp:posOffset>
            </wp:positionV>
            <wp:extent cx="9086850" cy="733425"/>
            <wp:effectExtent l="19050" t="0" r="0" b="0"/>
            <wp:wrapTight wrapText="bothSides">
              <wp:wrapPolygon edited="0">
                <wp:start x="-45" y="0"/>
                <wp:lineTo x="-45" y="21319"/>
                <wp:lineTo x="21600" y="21319"/>
                <wp:lineTo x="21600" y="0"/>
                <wp:lineTo x="-45" y="0"/>
              </wp:wrapPolygon>
            </wp:wrapTight>
            <wp:docPr id="9" name="Picture 9" descr="Parens &amp; Community: Get to know the MA Equity Plan&#10;The plan for equitable access to excellend Educators&#10;Icons of people holding books on the sides of th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D612F" w14:textId="77777777" w:rsidR="001615CE" w:rsidRDefault="00433964">
      <w:r>
        <w:rPr>
          <w:noProof/>
        </w:rPr>
        <w:drawing>
          <wp:anchor distT="0" distB="0" distL="114300" distR="114300" simplePos="0" relativeHeight="251711488" behindDoc="1" locked="0" layoutInCell="1" allowOverlap="1" wp14:anchorId="343D6154" wp14:editId="343D6155">
            <wp:simplePos x="0" y="0"/>
            <wp:positionH relativeFrom="column">
              <wp:posOffset>-95250</wp:posOffset>
            </wp:positionH>
            <wp:positionV relativeFrom="paragraph">
              <wp:posOffset>298450</wp:posOffset>
            </wp:positionV>
            <wp:extent cx="9005570" cy="2933700"/>
            <wp:effectExtent l="19050" t="0" r="5080" b="0"/>
            <wp:wrapTight wrapText="bothSides">
              <wp:wrapPolygon edited="0">
                <wp:start x="-46" y="0"/>
                <wp:lineTo x="-46" y="21460"/>
                <wp:lineTo x="21612" y="21460"/>
                <wp:lineTo x="21612" y="0"/>
                <wp:lineTo x="-46" y="0"/>
              </wp:wrapPolygon>
            </wp:wrapTight>
            <wp:docPr id="6" name="Picture 6" descr="Picture of circle with a gap, around the text: Closing Gaps&#10;Text box: MA’s main strategies for closing gaps:&#10;• Improve how we measure &amp; approve programs that train educators&#10;• Help districts to better evaluate educators&#10;• Use data focused on students’ experiences&#10;• Experiment with strategies with a group of districts&#10;• Make tools that support better, more inclusive education for all students&#10; &#10;What can parents &amp; community members do?&#10;• Ask your school and district leaders how they are working to make sure all students have access to great educators, and what the data shows about your school.&#10;• What do you think are the causes of unequal access to teachers &amp; principals? What can be done? Share your ideas with local leaders and with the Department.&#10;• Tell us your feedback (see the “For more information” box) &#10;Image of lightbulb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57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D6130" w14:textId="77777777" w:rsidR="001615CE" w:rsidRDefault="001615CE" w:rsidP="005C3D9D">
      <w:pPr>
        <w:jc w:val="center"/>
      </w:pPr>
    </w:p>
    <w:p w14:paraId="343D6131" w14:textId="77777777" w:rsidR="001615CE" w:rsidRDefault="001615CE" w:rsidP="005C3D9D">
      <w:pPr>
        <w:jc w:val="center"/>
      </w:pPr>
    </w:p>
    <w:p w14:paraId="343D6132" w14:textId="77777777" w:rsidR="001615CE" w:rsidRPr="005C3D9D" w:rsidRDefault="001615CE" w:rsidP="005C3D9D">
      <w:pPr>
        <w:spacing w:after="0" w:line="240" w:lineRule="auto"/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343D6133" w14:textId="77777777" w:rsidR="001615CE" w:rsidRDefault="001615CE" w:rsidP="005C3D9D">
      <w:pPr>
        <w:jc w:val="center"/>
      </w:pPr>
    </w:p>
    <w:p w14:paraId="343D6134" w14:textId="77777777" w:rsidR="001615CE" w:rsidRDefault="001615CE" w:rsidP="005C3D9D">
      <w:pPr>
        <w:jc w:val="center"/>
      </w:pPr>
    </w:p>
    <w:p w14:paraId="343D6135" w14:textId="77777777" w:rsidR="00E129AA" w:rsidRDefault="00E129AA" w:rsidP="005C3D9D">
      <w:pPr>
        <w:jc w:val="center"/>
      </w:pPr>
    </w:p>
    <w:p w14:paraId="343D6136" w14:textId="77777777" w:rsidR="0062041B" w:rsidRDefault="0062041B" w:rsidP="005C3D9D">
      <w:pPr>
        <w:jc w:val="center"/>
      </w:pPr>
    </w:p>
    <w:p w14:paraId="343D6137" w14:textId="77777777" w:rsidR="0062041B" w:rsidRDefault="0062041B"/>
    <w:p w14:paraId="343D6138" w14:textId="77777777" w:rsidR="0062041B" w:rsidRDefault="0062041B"/>
    <w:tbl>
      <w:tblPr>
        <w:tblStyle w:val="LightShading-Accent11"/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7398"/>
      </w:tblGrid>
      <w:tr w:rsidR="0003562B" w14:paraId="343D613A" w14:textId="77777777" w:rsidTr="0003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343D6139" w14:textId="77777777" w:rsidR="0003562B" w:rsidRPr="0062041B" w:rsidRDefault="0003562B" w:rsidP="0003562B">
            <w:pPr>
              <w:jc w:val="center"/>
              <w:rPr>
                <w:sz w:val="32"/>
                <w:szCs w:val="32"/>
              </w:rPr>
            </w:pPr>
            <w:r w:rsidRPr="0062041B">
              <w:rPr>
                <w:sz w:val="32"/>
                <w:szCs w:val="32"/>
              </w:rPr>
              <w:t>Who was involved in making th</w:t>
            </w:r>
            <w:bookmarkStart w:id="0" w:name="_GoBack"/>
            <w:bookmarkEnd w:id="0"/>
            <w:r w:rsidRPr="0062041B">
              <w:rPr>
                <w:sz w:val="32"/>
                <w:szCs w:val="32"/>
              </w:rPr>
              <w:t>e plan?</w:t>
            </w:r>
          </w:p>
        </w:tc>
      </w:tr>
      <w:tr w:rsidR="0003562B" w14:paraId="343D6140" w14:textId="77777777" w:rsidTr="0003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3D613B" w14:textId="77777777" w:rsidR="0003562B" w:rsidRPr="00663768" w:rsidRDefault="0003562B" w:rsidP="0003562B">
            <w:pPr>
              <w:pStyle w:val="FootnoteText"/>
              <w:numPr>
                <w:ilvl w:val="0"/>
                <w:numId w:val="9"/>
              </w:numPr>
              <w:spacing w:before="0"/>
              <w:ind w:left="630" w:hanging="450"/>
              <w:contextualSpacing/>
              <w:rPr>
                <w:rFonts w:ascii="Arial" w:hAnsi="Arial" w:cs="Arial"/>
                <w:b w:val="0"/>
                <w:sz w:val="26"/>
                <w:szCs w:val="26"/>
              </w:rPr>
            </w:pPr>
            <w:r w:rsidRPr="00663768">
              <w:rPr>
                <w:rFonts w:ascii="Arial" w:hAnsi="Arial" w:cs="Arial"/>
                <w:b w:val="0"/>
                <w:sz w:val="26"/>
                <w:szCs w:val="26"/>
              </w:rPr>
              <w:t xml:space="preserve">District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and school leaders</w:t>
            </w:r>
          </w:p>
          <w:p w14:paraId="343D613C" w14:textId="77777777" w:rsidR="0003562B" w:rsidRPr="00663768" w:rsidRDefault="0003562B" w:rsidP="0003562B">
            <w:pPr>
              <w:pStyle w:val="FootnoteText"/>
              <w:numPr>
                <w:ilvl w:val="0"/>
                <w:numId w:val="9"/>
              </w:numPr>
              <w:spacing w:before="0"/>
              <w:ind w:left="630" w:hanging="450"/>
              <w:contextualSpacing/>
              <w:rPr>
                <w:rFonts w:ascii="Arial" w:hAnsi="Arial" w:cs="Arial"/>
                <w:b w:val="0"/>
                <w:sz w:val="26"/>
                <w:szCs w:val="26"/>
              </w:rPr>
            </w:pPr>
            <w:r w:rsidRPr="00663768">
              <w:rPr>
                <w:rFonts w:ascii="Arial" w:hAnsi="Arial" w:cs="Arial"/>
                <w:b w:val="0"/>
                <w:sz w:val="26"/>
                <w:szCs w:val="26"/>
              </w:rPr>
              <w:t>Teachers</w:t>
            </w:r>
          </w:p>
          <w:p w14:paraId="343D613D" w14:textId="77777777" w:rsidR="0003562B" w:rsidRPr="00663768" w:rsidRDefault="0003562B" w:rsidP="0003562B">
            <w:pPr>
              <w:pStyle w:val="FootnoteText"/>
              <w:numPr>
                <w:ilvl w:val="0"/>
                <w:numId w:val="9"/>
              </w:numPr>
              <w:spacing w:before="0"/>
              <w:ind w:left="630" w:hanging="450"/>
              <w:contextualSpacing/>
              <w:rPr>
                <w:rFonts w:ascii="Arial" w:hAnsi="Arial" w:cs="Arial"/>
                <w:b w:val="0"/>
                <w:sz w:val="26"/>
                <w:szCs w:val="26"/>
              </w:rPr>
            </w:pPr>
            <w:r w:rsidRPr="00663768">
              <w:rPr>
                <w:rFonts w:ascii="Arial" w:hAnsi="Arial" w:cs="Arial"/>
                <w:b w:val="0"/>
                <w:sz w:val="26"/>
                <w:szCs w:val="26"/>
              </w:rPr>
              <w:t>P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arent and community groups</w:t>
            </w:r>
          </w:p>
          <w:p w14:paraId="343D613E" w14:textId="77777777" w:rsidR="0003562B" w:rsidRPr="0062041B" w:rsidRDefault="0003562B" w:rsidP="0003562B">
            <w:pPr>
              <w:pStyle w:val="FootnoteText"/>
              <w:numPr>
                <w:ilvl w:val="0"/>
                <w:numId w:val="9"/>
              </w:numPr>
              <w:spacing w:before="0"/>
              <w:ind w:left="630" w:hanging="450"/>
              <w:contextualSpacing/>
              <w:rPr>
                <w:rFonts w:ascii="Arial" w:hAnsi="Arial" w:cs="Arial"/>
                <w:b w:val="0"/>
                <w:sz w:val="26"/>
                <w:szCs w:val="26"/>
              </w:rPr>
            </w:pPr>
            <w:r w:rsidRPr="00663768">
              <w:rPr>
                <w:rFonts w:ascii="Arial" w:hAnsi="Arial" w:cs="Arial"/>
                <w:b w:val="0"/>
                <w:sz w:val="26"/>
                <w:szCs w:val="26"/>
              </w:rPr>
              <w:t xml:space="preserve">Representatives of English Language Learners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and </w:t>
            </w:r>
            <w:r w:rsidRPr="0062041B">
              <w:rPr>
                <w:rFonts w:ascii="Arial" w:hAnsi="Arial" w:cs="Arial"/>
                <w:b w:val="0"/>
                <w:sz w:val="26"/>
                <w:szCs w:val="26"/>
              </w:rPr>
              <w:t>Students with Disabilities</w:t>
            </w:r>
          </w:p>
          <w:p w14:paraId="343D613F" w14:textId="77777777" w:rsidR="0003562B" w:rsidRPr="005C3D9D" w:rsidRDefault="0003562B" w:rsidP="0003562B">
            <w:pPr>
              <w:pStyle w:val="FootnoteText"/>
              <w:numPr>
                <w:ilvl w:val="0"/>
                <w:numId w:val="9"/>
              </w:numPr>
              <w:spacing w:before="0"/>
              <w:ind w:left="630" w:hanging="450"/>
              <w:contextualSpacing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41B">
              <w:rPr>
                <w:rFonts w:ascii="Arial" w:hAnsi="Arial" w:cs="Arial"/>
                <w:b w:val="0"/>
                <w:sz w:val="26"/>
                <w:szCs w:val="26"/>
              </w:rPr>
              <w:t>Educator Preparation Program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s</w:t>
            </w:r>
          </w:p>
        </w:tc>
      </w:tr>
      <w:tr w:rsidR="0003562B" w14:paraId="343D6142" w14:textId="77777777" w:rsidTr="0003562B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C6D9F1" w:themeFill="text2" w:themeFillTint="33"/>
          </w:tcPr>
          <w:p w14:paraId="343D6141" w14:textId="77777777" w:rsidR="0003562B" w:rsidRPr="005C3D9D" w:rsidRDefault="0003562B" w:rsidP="0003562B">
            <w:pPr>
              <w:rPr>
                <w:rFonts w:ascii="Arial" w:hAnsi="Arial" w:cs="Arial"/>
                <w:color w:val="1F497D" w:themeColor="text2"/>
                <w:sz w:val="26"/>
                <w:szCs w:val="26"/>
              </w:rPr>
            </w:pPr>
            <w:r>
              <w:rPr>
                <w:sz w:val="32"/>
                <w:szCs w:val="32"/>
              </w:rPr>
              <w:t>The Department will continue to communicate with and get advice from these groups.</w:t>
            </w:r>
          </w:p>
        </w:tc>
      </w:tr>
    </w:tbl>
    <w:p w14:paraId="343D6143" w14:textId="77777777" w:rsidR="0062041B" w:rsidRDefault="0003562B">
      <w:r>
        <w:rPr>
          <w:noProof/>
        </w:rPr>
        <w:drawing>
          <wp:anchor distT="0" distB="0" distL="114300" distR="114300" simplePos="0" relativeHeight="251712512" behindDoc="1" locked="0" layoutInCell="1" allowOverlap="1" wp14:anchorId="343D6156" wp14:editId="343D6157">
            <wp:simplePos x="0" y="0"/>
            <wp:positionH relativeFrom="column">
              <wp:posOffset>263525</wp:posOffset>
            </wp:positionH>
            <wp:positionV relativeFrom="paragraph">
              <wp:posOffset>247650</wp:posOffset>
            </wp:positionV>
            <wp:extent cx="4324350" cy="2133600"/>
            <wp:effectExtent l="19050" t="0" r="0" b="0"/>
            <wp:wrapTight wrapText="bothSides">
              <wp:wrapPolygon edited="0">
                <wp:start x="-95" y="0"/>
                <wp:lineTo x="-95" y="21407"/>
                <wp:lineTo x="21600" y="21407"/>
                <wp:lineTo x="21600" y="0"/>
                <wp:lineTo x="-95" y="0"/>
              </wp:wrapPolygon>
            </wp:wrapTight>
            <wp:docPr id="4" name="Picture 3" descr="Chalkboard with the text:&#10;For more information:&#10;EducatorDevelopment@doe.mass.edu&#10;781-338-3292&#10;www.doe.mass.edu/educators/equitable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D6144" w14:textId="77777777" w:rsidR="0062041B" w:rsidRDefault="0062041B"/>
    <w:p w14:paraId="343D6145" w14:textId="77777777" w:rsidR="0099051A" w:rsidRDefault="0099051A"/>
    <w:sectPr w:rsidR="0099051A" w:rsidSect="00F8585E">
      <w:footerReference w:type="defaul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D615A" w14:textId="77777777" w:rsidR="00A961FD" w:rsidRDefault="00A961FD" w:rsidP="00F8585E">
      <w:pPr>
        <w:spacing w:after="0" w:line="240" w:lineRule="auto"/>
      </w:pPr>
      <w:r>
        <w:separator/>
      </w:r>
    </w:p>
  </w:endnote>
  <w:endnote w:type="continuationSeparator" w:id="0">
    <w:p w14:paraId="343D615B" w14:textId="77777777" w:rsidR="00A961FD" w:rsidRDefault="00A961FD" w:rsidP="00F8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615C" w14:textId="77777777" w:rsidR="00A961FD" w:rsidRPr="006F168D" w:rsidRDefault="00A961FD" w:rsidP="006F168D">
    <w:pPr>
      <w:pStyle w:val="Footer"/>
      <w:tabs>
        <w:tab w:val="left" w:pos="2640"/>
        <w:tab w:val="center" w:pos="7200"/>
      </w:tabs>
      <w:rPr>
        <w:sz w:val="26"/>
        <w:szCs w:val="26"/>
      </w:rPr>
    </w:pPr>
    <w:r w:rsidRPr="006F168D">
      <w:rPr>
        <w:b/>
        <w:sz w:val="26"/>
        <w:szCs w:val="26"/>
      </w:rPr>
      <w:tab/>
    </w:r>
  </w:p>
  <w:p w14:paraId="343D615D" w14:textId="77777777" w:rsidR="00A961FD" w:rsidRDefault="00A96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615E" w14:textId="77777777" w:rsidR="00A961FD" w:rsidRPr="00F8585E" w:rsidRDefault="00A961FD" w:rsidP="001F433A">
    <w:pPr>
      <w:spacing w:after="0" w:line="264" w:lineRule="auto"/>
      <w:jc w:val="right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Data </w:t>
    </w:r>
    <w:r w:rsidRPr="00F426BF">
      <w:rPr>
        <w:rFonts w:ascii="Arial" w:hAnsi="Arial" w:cs="Arial"/>
        <w:bCs/>
        <w:i/>
        <w:sz w:val="20"/>
        <w:szCs w:val="20"/>
      </w:rPr>
      <w:t>Source: Educator Personnel Information System (EPIMS) 2013-2014 Data Collection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D6158" w14:textId="77777777" w:rsidR="00A961FD" w:rsidRDefault="00A961FD" w:rsidP="00F8585E">
      <w:pPr>
        <w:spacing w:after="0" w:line="240" w:lineRule="auto"/>
      </w:pPr>
      <w:r>
        <w:separator/>
      </w:r>
    </w:p>
  </w:footnote>
  <w:footnote w:type="continuationSeparator" w:id="0">
    <w:p w14:paraId="343D6159" w14:textId="77777777" w:rsidR="00A961FD" w:rsidRDefault="00A961FD" w:rsidP="00F8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>
    <w:nsid w:val="021C1784"/>
    <w:multiLevelType w:val="hybridMultilevel"/>
    <w:tmpl w:val="DFF8B068"/>
    <w:lvl w:ilvl="0" w:tplc="5B320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097F"/>
    <w:multiLevelType w:val="hybridMultilevel"/>
    <w:tmpl w:val="7FF2F3DA"/>
    <w:lvl w:ilvl="0" w:tplc="80E2C5C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0BB5"/>
    <w:multiLevelType w:val="hybridMultilevel"/>
    <w:tmpl w:val="BB32FC44"/>
    <w:lvl w:ilvl="0" w:tplc="D3F6086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E325B"/>
    <w:multiLevelType w:val="hybridMultilevel"/>
    <w:tmpl w:val="77CE7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796DCD"/>
    <w:multiLevelType w:val="hybridMultilevel"/>
    <w:tmpl w:val="715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00D51"/>
    <w:multiLevelType w:val="hybridMultilevel"/>
    <w:tmpl w:val="2F043AEA"/>
    <w:lvl w:ilvl="0" w:tplc="696847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6266A"/>
    <w:multiLevelType w:val="hybridMultilevel"/>
    <w:tmpl w:val="CD7482AA"/>
    <w:lvl w:ilvl="0" w:tplc="755CEB1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5E8A"/>
    <w:multiLevelType w:val="hybridMultilevel"/>
    <w:tmpl w:val="E5663CD0"/>
    <w:lvl w:ilvl="0" w:tplc="A0263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53AD"/>
    <w:multiLevelType w:val="hybridMultilevel"/>
    <w:tmpl w:val="6D28F81E"/>
    <w:lvl w:ilvl="0" w:tplc="0B6C9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A2EFE"/>
    <w:multiLevelType w:val="hybridMultilevel"/>
    <w:tmpl w:val="FA08ACBE"/>
    <w:lvl w:ilvl="0" w:tplc="0B6C9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652A3F"/>
    <w:multiLevelType w:val="hybridMultilevel"/>
    <w:tmpl w:val="E258E7BC"/>
    <w:lvl w:ilvl="0" w:tplc="0B6C9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A0113F"/>
    <w:multiLevelType w:val="hybridMultilevel"/>
    <w:tmpl w:val="ABF0C25A"/>
    <w:lvl w:ilvl="0" w:tplc="0B6C9E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2463B"/>
    <w:multiLevelType w:val="hybridMultilevel"/>
    <w:tmpl w:val="B38A5C9A"/>
    <w:lvl w:ilvl="0" w:tplc="34B09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94D7B"/>
    <w:multiLevelType w:val="hybridMultilevel"/>
    <w:tmpl w:val="91AC0F18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B"/>
    <w:rsid w:val="00006960"/>
    <w:rsid w:val="0001213D"/>
    <w:rsid w:val="00016D91"/>
    <w:rsid w:val="00034FCC"/>
    <w:rsid w:val="0003562B"/>
    <w:rsid w:val="00044726"/>
    <w:rsid w:val="000501E8"/>
    <w:rsid w:val="00121B6B"/>
    <w:rsid w:val="00144B77"/>
    <w:rsid w:val="00150FAC"/>
    <w:rsid w:val="001615CE"/>
    <w:rsid w:val="001B6E40"/>
    <w:rsid w:val="001F433A"/>
    <w:rsid w:val="002258BA"/>
    <w:rsid w:val="002543B5"/>
    <w:rsid w:val="00277291"/>
    <w:rsid w:val="002816B4"/>
    <w:rsid w:val="002A7DC6"/>
    <w:rsid w:val="002B2CBC"/>
    <w:rsid w:val="002B544C"/>
    <w:rsid w:val="00362E6C"/>
    <w:rsid w:val="00375511"/>
    <w:rsid w:val="003D326C"/>
    <w:rsid w:val="003F0D43"/>
    <w:rsid w:val="003F0FD5"/>
    <w:rsid w:val="00433964"/>
    <w:rsid w:val="004702EA"/>
    <w:rsid w:val="004D037F"/>
    <w:rsid w:val="00524442"/>
    <w:rsid w:val="00561676"/>
    <w:rsid w:val="00592D76"/>
    <w:rsid w:val="00595FB4"/>
    <w:rsid w:val="005A6F72"/>
    <w:rsid w:val="005C3D9D"/>
    <w:rsid w:val="00612971"/>
    <w:rsid w:val="00617A9A"/>
    <w:rsid w:val="0062041B"/>
    <w:rsid w:val="00625FC4"/>
    <w:rsid w:val="00663768"/>
    <w:rsid w:val="00674881"/>
    <w:rsid w:val="006B0412"/>
    <w:rsid w:val="006F00E1"/>
    <w:rsid w:val="006F168D"/>
    <w:rsid w:val="00705FBC"/>
    <w:rsid w:val="00746493"/>
    <w:rsid w:val="007914F3"/>
    <w:rsid w:val="007A271C"/>
    <w:rsid w:val="007D73B8"/>
    <w:rsid w:val="007D774B"/>
    <w:rsid w:val="007E3837"/>
    <w:rsid w:val="00803F23"/>
    <w:rsid w:val="0086761E"/>
    <w:rsid w:val="00867E8B"/>
    <w:rsid w:val="008B1751"/>
    <w:rsid w:val="008D135D"/>
    <w:rsid w:val="008E2515"/>
    <w:rsid w:val="00912563"/>
    <w:rsid w:val="009162B4"/>
    <w:rsid w:val="009241D6"/>
    <w:rsid w:val="00936302"/>
    <w:rsid w:val="00972B01"/>
    <w:rsid w:val="0099051A"/>
    <w:rsid w:val="00990A4B"/>
    <w:rsid w:val="009A6128"/>
    <w:rsid w:val="009C7A5E"/>
    <w:rsid w:val="009D4823"/>
    <w:rsid w:val="009D7153"/>
    <w:rsid w:val="00A032C9"/>
    <w:rsid w:val="00A476F2"/>
    <w:rsid w:val="00A47EAD"/>
    <w:rsid w:val="00A71EDC"/>
    <w:rsid w:val="00A961FD"/>
    <w:rsid w:val="00AA0D48"/>
    <w:rsid w:val="00AD0278"/>
    <w:rsid w:val="00AF4B79"/>
    <w:rsid w:val="00B02C3F"/>
    <w:rsid w:val="00B11D05"/>
    <w:rsid w:val="00B13E7F"/>
    <w:rsid w:val="00B15640"/>
    <w:rsid w:val="00B46378"/>
    <w:rsid w:val="00B52B51"/>
    <w:rsid w:val="00BB5D84"/>
    <w:rsid w:val="00BB670B"/>
    <w:rsid w:val="00C16F6C"/>
    <w:rsid w:val="00C40959"/>
    <w:rsid w:val="00C470FE"/>
    <w:rsid w:val="00C55F0D"/>
    <w:rsid w:val="00C66152"/>
    <w:rsid w:val="00C745A5"/>
    <w:rsid w:val="00C91052"/>
    <w:rsid w:val="00C93629"/>
    <w:rsid w:val="00CD4D35"/>
    <w:rsid w:val="00D20251"/>
    <w:rsid w:val="00D266F9"/>
    <w:rsid w:val="00D270F4"/>
    <w:rsid w:val="00D3582E"/>
    <w:rsid w:val="00D643DF"/>
    <w:rsid w:val="00D76252"/>
    <w:rsid w:val="00D9120A"/>
    <w:rsid w:val="00D9457A"/>
    <w:rsid w:val="00DB3CCB"/>
    <w:rsid w:val="00E129AA"/>
    <w:rsid w:val="00E26DA9"/>
    <w:rsid w:val="00E35A1A"/>
    <w:rsid w:val="00E73765"/>
    <w:rsid w:val="00EE1C24"/>
    <w:rsid w:val="00EE3577"/>
    <w:rsid w:val="00F4190B"/>
    <w:rsid w:val="00F4315C"/>
    <w:rsid w:val="00F8585E"/>
    <w:rsid w:val="00F90818"/>
    <w:rsid w:val="00F9448D"/>
    <w:rsid w:val="00FC2B20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  <w14:docId w14:val="343D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85E"/>
  </w:style>
  <w:style w:type="paragraph" w:styleId="Footer">
    <w:name w:val="footer"/>
    <w:basedOn w:val="Normal"/>
    <w:link w:val="FooterChar"/>
    <w:uiPriority w:val="99"/>
    <w:unhideWhenUsed/>
    <w:rsid w:val="00F8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5E"/>
  </w:style>
  <w:style w:type="table" w:styleId="TableGrid">
    <w:name w:val="Table Grid"/>
    <w:basedOn w:val="TableNormal"/>
    <w:uiPriority w:val="59"/>
    <w:rsid w:val="0003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67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90818"/>
    <w:pPr>
      <w:spacing w:before="1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818"/>
    <w:rPr>
      <w:rFonts w:ascii="Times New Roman" w:eastAsia="Times New Roman" w:hAnsi="Times New Roman" w:cs="Times New Roman"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F9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637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41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470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85E"/>
  </w:style>
  <w:style w:type="paragraph" w:styleId="Footer">
    <w:name w:val="footer"/>
    <w:basedOn w:val="Normal"/>
    <w:link w:val="FooterChar"/>
    <w:uiPriority w:val="99"/>
    <w:unhideWhenUsed/>
    <w:rsid w:val="00F8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5E"/>
  </w:style>
  <w:style w:type="table" w:styleId="TableGrid">
    <w:name w:val="Table Grid"/>
    <w:basedOn w:val="TableNormal"/>
    <w:uiPriority w:val="59"/>
    <w:rsid w:val="0003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67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90818"/>
    <w:pPr>
      <w:spacing w:before="1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818"/>
    <w:rPr>
      <w:rFonts w:ascii="Times New Roman" w:eastAsia="Times New Roman" w:hAnsi="Times New Roman" w:cs="Times New Roman"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F9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637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41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47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ucators/equitableaccess/Pla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educators/equitableaccess/Plan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DESE-231-19487</_dlc_DocId>
    <_dlc_DocIdUrl xmlns="733efe1c-5bbe-4968-87dc-d400e65c879f">
      <Url>https://sharepoint.doemass.org/ese/webteam/cps/_layouts/DocIdRedir.aspx?ID=DESE-231-19487</Url>
      <Description>DESE-231-19487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58AAA09-1D69-433A-A37B-D295EA25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4C136-9B11-46BE-BB0F-F3EEC847E509}">
  <ds:schemaRefs>
    <ds:schemaRef ds:uri="0a4e05da-b9bc-4326-ad73-01ef31b95567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33efe1c-5bbe-4968-87dc-d400e65c87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2CC955-5A31-4E65-B296-F42FE3E0D6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A63C9C-98C8-4E72-AE6D-729026626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One-pager: Equity plan for parents and community</vt:lpstr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One-pager: Equity Plan for Parents and Community</dc:title>
  <dc:creator>ESE</dc:creator>
  <cp:lastModifiedBy>ESE</cp:lastModifiedBy>
  <cp:revision>2</cp:revision>
  <cp:lastPrinted>2015-08-26T13:49:00Z</cp:lastPrinted>
  <dcterms:created xsi:type="dcterms:W3CDTF">2015-09-22T21:29:00Z</dcterms:created>
  <dcterms:modified xsi:type="dcterms:W3CDTF">2015-09-22T21:29:00Z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5360fd00-0f64-4e9a-983f-ad2ea7e530e7</vt:lpwstr>
  </property>
  <property fmtid="{D5CDD505-2E9C-101B-9397-08002B2CF9AE}" pid="4" name="metadate">
    <vt:lpwstr>Sep 22 2015</vt:lpwstr>
  </property>
</Properties>
</file>