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11"/>
        <w:tblpPr w:leftFromText="180" w:rightFromText="180" w:vertAnchor="text" w:horzAnchor="margin" w:tblpXSpec="right" w:tblpY="1"/>
        <w:tblW w:w="0" w:type="auto"/>
        <w:tblLayout w:type="fixed"/>
        <w:tblLook w:val="00A0" w:firstRow="1" w:lastRow="0" w:firstColumn="1" w:lastColumn="0" w:noHBand="0" w:noVBand="0"/>
      </w:tblPr>
      <w:tblGrid>
        <w:gridCol w:w="3366"/>
      </w:tblGrid>
      <w:tr w:rsidR="004B10BF" w:rsidRPr="005D61EF" w14:paraId="4F078B20" w14:textId="77777777" w:rsidTr="002D4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4F078B1F" w14:textId="77777777" w:rsidR="004B10BF" w:rsidRPr="002D45A7" w:rsidRDefault="004B10BF" w:rsidP="004B10BF">
            <w:pPr>
              <w:contextualSpacing/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2D45A7">
              <w:rPr>
                <w:rFonts w:cs="Arial"/>
                <w:color w:val="FFFFFF" w:themeColor="background1"/>
                <w:sz w:val="28"/>
                <w:szCs w:val="28"/>
              </w:rPr>
              <w:t>Stakeholder Involvement</w:t>
            </w:r>
          </w:p>
        </w:tc>
      </w:tr>
      <w:tr w:rsidR="004B10BF" w:rsidRPr="005D61EF" w14:paraId="4F078B26" w14:textId="77777777" w:rsidTr="002D4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F078B21" w14:textId="77777777" w:rsidR="004B10BF" w:rsidRPr="002D45A7" w:rsidRDefault="004B10BF" w:rsidP="004B10BF">
            <w:pPr>
              <w:pStyle w:val="FootnoteText"/>
              <w:spacing w:before="0"/>
              <w:contextualSpacing/>
              <w:rPr>
                <w:rFonts w:asciiTheme="minorHAnsi" w:hAnsiTheme="minorHAnsi" w:cs="Arial"/>
                <w:b w:val="0"/>
                <w:sz w:val="4"/>
                <w:szCs w:val="4"/>
              </w:rPr>
            </w:pPr>
            <w:r w:rsidRPr="002D45A7">
              <w:rPr>
                <w:rFonts w:asciiTheme="minorHAnsi" w:hAnsiTheme="minorHAnsi" w:cs="Arial"/>
                <w:b w:val="0"/>
                <w:sz w:val="4"/>
                <w:szCs w:val="4"/>
              </w:rPr>
              <w:t xml:space="preserve"> </w:t>
            </w:r>
          </w:p>
          <w:p w14:paraId="4F078B22" w14:textId="77777777" w:rsidR="004B10BF" w:rsidRPr="002D45A7" w:rsidRDefault="004B10BF" w:rsidP="008C79BC">
            <w:pPr>
              <w:pStyle w:val="FootnoteText"/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2D45A7">
              <w:rPr>
                <w:rFonts w:asciiTheme="minorHAnsi" w:hAnsiTheme="minorHAnsi" w:cs="Arial"/>
                <w:b w:val="0"/>
              </w:rPr>
              <w:t>ESE involved stakeholders, including teachers, principals</w:t>
            </w:r>
            <w:r w:rsidR="00880A7D" w:rsidRPr="002D45A7">
              <w:rPr>
                <w:rFonts w:asciiTheme="minorHAnsi" w:hAnsiTheme="minorHAnsi" w:cs="Arial"/>
                <w:b w:val="0"/>
              </w:rPr>
              <w:t>,</w:t>
            </w:r>
            <w:r w:rsidRPr="002D45A7">
              <w:rPr>
                <w:rFonts w:asciiTheme="minorHAnsi" w:hAnsiTheme="minorHAnsi" w:cs="Arial"/>
                <w:b w:val="0"/>
              </w:rPr>
              <w:t xml:space="preserve"> and parents, in identifying root causes and strategies.</w:t>
            </w:r>
          </w:p>
          <w:p w14:paraId="4F078B23" w14:textId="77777777" w:rsidR="008C79BC" w:rsidRPr="002D45A7" w:rsidRDefault="008C79BC" w:rsidP="008C79BC">
            <w:pPr>
              <w:pStyle w:val="FootnoteText"/>
              <w:spacing w:before="0"/>
              <w:contextualSpacing/>
              <w:rPr>
                <w:rFonts w:asciiTheme="minorHAnsi" w:hAnsiTheme="minorHAnsi" w:cs="Arial"/>
                <w:b w:val="0"/>
                <w:sz w:val="8"/>
                <w:szCs w:val="8"/>
              </w:rPr>
            </w:pPr>
            <w:r w:rsidRPr="002D45A7">
              <w:rPr>
                <w:rFonts w:asciiTheme="minorHAnsi" w:hAnsiTheme="minorHAnsi" w:cs="Arial"/>
                <w:b w:val="0"/>
                <w:sz w:val="6"/>
                <w:szCs w:val="6"/>
              </w:rPr>
              <w:t xml:space="preserve">  </w:t>
            </w:r>
          </w:p>
          <w:p w14:paraId="4F078B24" w14:textId="77777777" w:rsidR="008C79BC" w:rsidRPr="002D45A7" w:rsidRDefault="008C79BC" w:rsidP="008C79BC">
            <w:pPr>
              <w:pStyle w:val="FootnoteText"/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2D45A7">
              <w:rPr>
                <w:rFonts w:asciiTheme="minorHAnsi" w:hAnsiTheme="minorHAnsi" w:cs="Arial"/>
                <w:b w:val="0"/>
              </w:rPr>
              <w:t>All root causes highlighted in the plan were identified by stakeholders, especially educators.</w:t>
            </w:r>
          </w:p>
          <w:p w14:paraId="4F078B25" w14:textId="77777777" w:rsidR="008C79BC" w:rsidRPr="002D45A7" w:rsidRDefault="008C79BC" w:rsidP="008C79BC">
            <w:pPr>
              <w:pStyle w:val="FootnoteText"/>
              <w:spacing w:before="0"/>
              <w:contextualSpacing/>
              <w:rPr>
                <w:rFonts w:asciiTheme="minorHAnsi" w:hAnsiTheme="minorHAnsi" w:cs="Arial"/>
                <w:b w:val="0"/>
                <w:sz w:val="8"/>
                <w:szCs w:val="8"/>
              </w:rPr>
            </w:pPr>
            <w:r w:rsidRPr="002D45A7">
              <w:rPr>
                <w:rFonts w:asciiTheme="minorHAnsi" w:hAnsiTheme="minorHAnsi" w:cs="Arial"/>
                <w:b w:val="0"/>
                <w:sz w:val="8"/>
                <w:szCs w:val="8"/>
              </w:rPr>
              <w:t xml:space="preserve"> </w:t>
            </w:r>
          </w:p>
        </w:tc>
      </w:tr>
      <w:tr w:rsidR="004B10BF" w:rsidRPr="005D61EF" w14:paraId="4F078B28" w14:textId="77777777" w:rsidTr="002D45A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4F078B27" w14:textId="77777777" w:rsidR="004B10BF" w:rsidRPr="002D45A7" w:rsidRDefault="004B10BF" w:rsidP="004B10BF">
            <w:pPr>
              <w:contextualSpacing/>
              <w:jc w:val="center"/>
              <w:textAlignment w:val="baseline"/>
              <w:rPr>
                <w:rFonts w:cs="Arial"/>
                <w:kern w:val="24"/>
                <w:position w:val="1"/>
                <w:sz w:val="20"/>
                <w:szCs w:val="20"/>
              </w:rPr>
            </w:pPr>
            <w:r w:rsidRPr="002D45A7">
              <w:rPr>
                <w:rFonts w:eastAsia="Calibri" w:cs="Arial"/>
                <w:kern w:val="24"/>
                <w:position w:val="1"/>
                <w:sz w:val="20"/>
                <w:szCs w:val="20"/>
              </w:rPr>
              <w:t>Examples of how stakeholder feedback affected the Equity Plan:</w:t>
            </w:r>
          </w:p>
        </w:tc>
      </w:tr>
      <w:tr w:rsidR="004B10BF" w:rsidRPr="005D61EF" w14:paraId="4F078B2D" w14:textId="77777777" w:rsidTr="002D4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F078B29" w14:textId="77777777" w:rsidR="004B10BF" w:rsidRPr="002D45A7" w:rsidRDefault="004B10BF" w:rsidP="004B10BF">
            <w:pPr>
              <w:pStyle w:val="FootnoteText"/>
              <w:spacing w:before="0"/>
              <w:ind w:left="360"/>
              <w:contextualSpacing/>
              <w:rPr>
                <w:rFonts w:asciiTheme="minorHAnsi" w:hAnsiTheme="minorHAnsi" w:cs="Arial"/>
                <w:b w:val="0"/>
                <w:sz w:val="4"/>
                <w:szCs w:val="4"/>
              </w:rPr>
            </w:pPr>
            <w:r w:rsidRPr="002D45A7">
              <w:rPr>
                <w:rFonts w:asciiTheme="minorHAnsi" w:hAnsiTheme="minorHAnsi" w:cs="Arial"/>
                <w:b w:val="0"/>
                <w:sz w:val="4"/>
                <w:szCs w:val="4"/>
              </w:rPr>
              <w:t xml:space="preserve"> </w:t>
            </w:r>
          </w:p>
          <w:p w14:paraId="4F078B2A" w14:textId="77777777" w:rsidR="004B10BF" w:rsidRPr="002D45A7" w:rsidRDefault="008C79BC" w:rsidP="004B10BF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2D45A7">
              <w:rPr>
                <w:rFonts w:asciiTheme="minorHAnsi" w:hAnsiTheme="minorHAnsi" w:cs="Arial"/>
                <w:b w:val="0"/>
              </w:rPr>
              <w:t>Educators’</w:t>
            </w:r>
            <w:r w:rsidR="004B10BF" w:rsidRPr="002D45A7">
              <w:rPr>
                <w:rFonts w:asciiTheme="minorHAnsi" w:hAnsiTheme="minorHAnsi" w:cs="Arial"/>
                <w:b w:val="0"/>
              </w:rPr>
              <w:t xml:space="preserve"> capacity to serve needs of diverse learners, particularly students with behavioral issues</w:t>
            </w:r>
          </w:p>
          <w:p w14:paraId="4F078B2B" w14:textId="77777777" w:rsidR="004B10BF" w:rsidRPr="002D45A7" w:rsidRDefault="008C79BC" w:rsidP="004B10BF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2D45A7">
              <w:rPr>
                <w:rFonts w:asciiTheme="minorHAnsi" w:hAnsiTheme="minorHAnsi" w:cs="Arial"/>
                <w:b w:val="0"/>
              </w:rPr>
              <w:t>Educator</w:t>
            </w:r>
            <w:r w:rsidR="004B10BF" w:rsidRPr="002D45A7">
              <w:rPr>
                <w:rFonts w:asciiTheme="minorHAnsi" w:hAnsiTheme="minorHAnsi" w:cs="Arial"/>
                <w:b w:val="0"/>
              </w:rPr>
              <w:t xml:space="preserve"> turnover</w:t>
            </w:r>
          </w:p>
          <w:p w14:paraId="4F078B2C" w14:textId="77777777" w:rsidR="004B10BF" w:rsidRPr="002D45A7" w:rsidRDefault="008C79BC" w:rsidP="004B10BF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2D45A7">
              <w:rPr>
                <w:rFonts w:asciiTheme="minorHAnsi" w:hAnsiTheme="minorHAnsi" w:cs="Arial"/>
                <w:b w:val="0"/>
              </w:rPr>
              <w:t>Lack of s</w:t>
            </w:r>
            <w:r w:rsidR="00D61D57" w:rsidRPr="002D45A7">
              <w:rPr>
                <w:rFonts w:asciiTheme="minorHAnsi" w:hAnsiTheme="minorHAnsi" w:cs="Arial"/>
                <w:b w:val="0"/>
              </w:rPr>
              <w:t>chool-wide, t</w:t>
            </w:r>
            <w:r w:rsidRPr="002D45A7">
              <w:rPr>
                <w:rFonts w:asciiTheme="minorHAnsi" w:hAnsiTheme="minorHAnsi" w:cs="Arial"/>
                <w:b w:val="0"/>
              </w:rPr>
              <w:t>i</w:t>
            </w:r>
            <w:r w:rsidR="004B10BF" w:rsidRPr="002D45A7">
              <w:rPr>
                <w:rFonts w:asciiTheme="minorHAnsi" w:hAnsiTheme="minorHAnsi" w:cs="Arial"/>
                <w:b w:val="0"/>
              </w:rPr>
              <w:t>ered academic and social-emotional support systems</w:t>
            </w:r>
          </w:p>
        </w:tc>
      </w:tr>
    </w:tbl>
    <w:p w14:paraId="4F078B2E" w14:textId="2E829B5A" w:rsidR="00F426BF" w:rsidRPr="0067335D" w:rsidRDefault="004E458E" w:rsidP="0067335D">
      <w:pPr>
        <w:pStyle w:val="Heading1"/>
        <w:spacing w:before="0" w:after="0" w:line="240" w:lineRule="auto"/>
        <w:contextualSpacing/>
        <w:rPr>
          <w:rFonts w:cs="Arial"/>
          <w:color w:val="E36C0A" w:themeColor="accent6" w:themeShade="BF"/>
          <w:sz w:val="8"/>
          <w:szCs w:val="8"/>
        </w:rPr>
      </w:pPr>
      <w:r>
        <w:rPr>
          <w:rFonts w:cs="Arial"/>
          <w:noProof/>
          <w:sz w:val="8"/>
          <w:szCs w:val="8"/>
        </w:rPr>
        <mc:AlternateContent>
          <mc:Choice Requires="wps">
            <w:drawing>
              <wp:anchor distT="91440" distB="91440" distL="91440" distR="91440" simplePos="0" relativeHeight="251658240" behindDoc="1" locked="0" layoutInCell="0" allowOverlap="0" wp14:anchorId="4F078B55" wp14:editId="3E611C2C">
                <wp:simplePos x="0" y="0"/>
                <wp:positionH relativeFrom="margin">
                  <wp:posOffset>167640</wp:posOffset>
                </wp:positionH>
                <wp:positionV relativeFrom="paragraph">
                  <wp:posOffset>-34925</wp:posOffset>
                </wp:positionV>
                <wp:extent cx="4423410" cy="2979420"/>
                <wp:effectExtent l="5715" t="1905" r="0" b="0"/>
                <wp:wrapSquare wrapText="left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23410" cy="2979420"/>
                        </a:xfrm>
                        <a:prstGeom prst="roundRect">
                          <a:avLst>
                            <a:gd name="adj" fmla="val 10153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078B66" w14:textId="77777777" w:rsidR="00F02D05" w:rsidRPr="002D45A7" w:rsidRDefault="00CD32F7" w:rsidP="00D03398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Overview of </w:t>
                            </w:r>
                            <w:r w:rsidRPr="00CD32F7">
                              <w:rPr>
                                <w:rFonts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MA Equity Plan</w:t>
                            </w:r>
                          </w:p>
                          <w:p w14:paraId="4F078B67" w14:textId="77777777" w:rsidR="00F02D05" w:rsidRPr="002D45A7" w:rsidRDefault="00F02D05" w:rsidP="00D03398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F078B68" w14:textId="77777777" w:rsidR="00F02D05" w:rsidRPr="002D45A7" w:rsidRDefault="00F02D05" w:rsidP="00D0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2D45A7">
                              <w:rPr>
                                <w:rFonts w:cs="Arial"/>
                              </w:rPr>
                              <w:t xml:space="preserve">Response to July 2014 USED requirement of state plans to ensure </w:t>
                            </w:r>
                            <w:r w:rsidRPr="002D45A7">
                              <w:rPr>
                                <w:rFonts w:cs="Arial"/>
                                <w:b/>
                              </w:rPr>
                              <w:t>equal access to excellent educators</w:t>
                            </w:r>
                            <w:r w:rsidRPr="002D45A7">
                              <w:rPr>
                                <w:rFonts w:cs="Arial"/>
                              </w:rPr>
                              <w:t xml:space="preserve"> for low income and minority students</w:t>
                            </w:r>
                          </w:p>
                          <w:p w14:paraId="4F078B69" w14:textId="77777777" w:rsidR="00F02D05" w:rsidRPr="002D45A7" w:rsidRDefault="00F02D05" w:rsidP="00D0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2D45A7">
                              <w:rPr>
                                <w:rFonts w:cs="Arial"/>
                              </w:rPr>
                              <w:t xml:space="preserve">About increasing student experiences with excellent educators; </w:t>
                            </w:r>
                            <w:r w:rsidRPr="002D45A7">
                              <w:rPr>
                                <w:rFonts w:cs="Arial"/>
                                <w:b/>
                              </w:rPr>
                              <w:t>not about redistributing teachers</w:t>
                            </w:r>
                          </w:p>
                          <w:p w14:paraId="4F078B6A" w14:textId="77777777" w:rsidR="00F02D05" w:rsidRPr="002D45A7" w:rsidRDefault="00F02D05" w:rsidP="00D0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2D45A7">
                              <w:rPr>
                                <w:rFonts w:cs="Arial"/>
                              </w:rPr>
                              <w:t>Defines “</w:t>
                            </w:r>
                            <w:r w:rsidRPr="002D45A7">
                              <w:rPr>
                                <w:rFonts w:cs="Arial"/>
                                <w:b/>
                              </w:rPr>
                              <w:t xml:space="preserve">excellent educator” </w:t>
                            </w:r>
                            <w:r w:rsidRPr="002D45A7">
                              <w:rPr>
                                <w:rFonts w:cs="Arial"/>
                              </w:rPr>
                              <w:t>as a combination of characteristics, which often include student impact, experience, and highly qualified status; definition not based on a “one size fits all” metric or formula</w:t>
                            </w:r>
                          </w:p>
                          <w:p w14:paraId="4F078B6B" w14:textId="77777777" w:rsidR="00F02D05" w:rsidRPr="002D45A7" w:rsidRDefault="00F02D05" w:rsidP="00D0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2D45A7">
                              <w:rPr>
                                <w:rFonts w:cs="Arial"/>
                              </w:rPr>
                              <w:t>Promotes equitable access through diverse approaches; does not require specific additional actions from districts/schools</w:t>
                            </w:r>
                          </w:p>
                          <w:p w14:paraId="4F078B6C" w14:textId="77777777" w:rsidR="00F02D05" w:rsidRPr="002D45A7" w:rsidRDefault="00F02D05" w:rsidP="00D03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2D45A7">
                              <w:rPr>
                                <w:rFonts w:cs="Arial"/>
                              </w:rPr>
                              <w:t>ESE will continue to provide updates to and solicit feedback from stakeholders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8B55" id="AutoShape 2" o:spid="_x0000_s1026" style="position:absolute;margin-left:13.2pt;margin-top:-2.75pt;width:348.3pt;height:234.6pt;flip:y;z-index:-25165824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6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" o:allowincell="f" o:allowoverlap="f" fillcolor="#d3dfee [820]" stroked="f" strokecolor="#e36c0a [2409]" strokeweight="1pt">
                <v:shadow type="perspective" color="#31849b [2408]" origin=",.5" offset="0,-123pt" matrix=",,,-1"/>
                <v:textbox inset="0,0,0,0">
                  <w:txbxContent>
                    <w:p w14:paraId="4F078B66" w14:textId="77777777" w:rsidR="00F02D05" w:rsidRPr="002D45A7" w:rsidRDefault="00CD32F7" w:rsidP="00D03398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Overview of </w:t>
                      </w:r>
                      <w:r w:rsidRPr="00CD32F7">
                        <w:rPr>
                          <w:rFonts w:cs="Arial"/>
                          <w:b/>
                          <w:color w:val="4F81BD" w:themeColor="accent1"/>
                          <w:sz w:val="28"/>
                          <w:szCs w:val="28"/>
                        </w:rPr>
                        <w:t>MA Equity Plan</w:t>
                      </w:r>
                    </w:p>
                    <w:p w14:paraId="4F078B67" w14:textId="77777777" w:rsidR="00F02D05" w:rsidRPr="002D45A7" w:rsidRDefault="00F02D05" w:rsidP="00D03398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4F078B68" w14:textId="77777777" w:rsidR="00F02D05" w:rsidRPr="002D45A7" w:rsidRDefault="00F02D05" w:rsidP="00D0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2D45A7">
                        <w:rPr>
                          <w:rFonts w:cs="Arial"/>
                        </w:rPr>
                        <w:t xml:space="preserve">Response to July 2014 USED requirement of state plans to ensure </w:t>
                      </w:r>
                      <w:r w:rsidRPr="002D45A7">
                        <w:rPr>
                          <w:rFonts w:cs="Arial"/>
                          <w:b/>
                        </w:rPr>
                        <w:t>equal access to excellent educators</w:t>
                      </w:r>
                      <w:r w:rsidRPr="002D45A7">
                        <w:rPr>
                          <w:rFonts w:cs="Arial"/>
                        </w:rPr>
                        <w:t xml:space="preserve"> for low income and minority students</w:t>
                      </w:r>
                    </w:p>
                    <w:p w14:paraId="4F078B69" w14:textId="77777777" w:rsidR="00F02D05" w:rsidRPr="002D45A7" w:rsidRDefault="00F02D05" w:rsidP="00D0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2D45A7">
                        <w:rPr>
                          <w:rFonts w:cs="Arial"/>
                        </w:rPr>
                        <w:t xml:space="preserve">About increasing student experiences with excellent educators; </w:t>
                      </w:r>
                      <w:r w:rsidRPr="002D45A7">
                        <w:rPr>
                          <w:rFonts w:cs="Arial"/>
                          <w:b/>
                        </w:rPr>
                        <w:t>not about redistributing teachers</w:t>
                      </w:r>
                    </w:p>
                    <w:p w14:paraId="4F078B6A" w14:textId="77777777" w:rsidR="00F02D05" w:rsidRPr="002D45A7" w:rsidRDefault="00F02D05" w:rsidP="00D0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2D45A7">
                        <w:rPr>
                          <w:rFonts w:cs="Arial"/>
                        </w:rPr>
                        <w:t>Defines “</w:t>
                      </w:r>
                      <w:r w:rsidRPr="002D45A7">
                        <w:rPr>
                          <w:rFonts w:cs="Arial"/>
                          <w:b/>
                        </w:rPr>
                        <w:t xml:space="preserve">excellent educator” </w:t>
                      </w:r>
                      <w:r w:rsidRPr="002D45A7">
                        <w:rPr>
                          <w:rFonts w:cs="Arial"/>
                        </w:rPr>
                        <w:t>as a combination of characteristics, which often include student impact, experience, and highly qualified status; definition not based on a “one size fits all” metric or formula</w:t>
                      </w:r>
                    </w:p>
                    <w:p w14:paraId="4F078B6B" w14:textId="77777777" w:rsidR="00F02D05" w:rsidRPr="002D45A7" w:rsidRDefault="00F02D05" w:rsidP="00D0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2D45A7">
                        <w:rPr>
                          <w:rFonts w:cs="Arial"/>
                        </w:rPr>
                        <w:t>Promotes equitable access through diverse approaches; does not require specific additional actions from districts/schools</w:t>
                      </w:r>
                    </w:p>
                    <w:p w14:paraId="4F078B6C" w14:textId="77777777" w:rsidR="00F02D05" w:rsidRPr="002D45A7" w:rsidRDefault="00F02D05" w:rsidP="00D03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2D45A7">
                        <w:rPr>
                          <w:rFonts w:cs="Arial"/>
                        </w:rPr>
                        <w:t>ESE will continue to provide updates to and solicit feedback from stakeholders</w:t>
                      </w:r>
                    </w:p>
                  </w:txbxContent>
                </v:textbox>
                <w10:wrap type="square" side="left" anchorx="margin"/>
              </v:roundrect>
            </w:pict>
          </mc:Fallback>
        </mc:AlternateContent>
      </w:r>
      <w:r w:rsidR="0067335D" w:rsidRPr="0067335D">
        <w:rPr>
          <w:rFonts w:cs="Arial"/>
          <w:color w:val="E36C0A" w:themeColor="accent6" w:themeShade="BF"/>
          <w:sz w:val="8"/>
          <w:szCs w:val="8"/>
        </w:rPr>
        <w:t xml:space="preserve"> </w:t>
      </w:r>
    </w:p>
    <w:p w14:paraId="4F078B2F" w14:textId="7804A854" w:rsidR="00795AB9" w:rsidRPr="002D45A7" w:rsidRDefault="002D45A7" w:rsidP="002D45A7">
      <w:pPr>
        <w:spacing w:after="0" w:line="240" w:lineRule="auto"/>
        <w:contextualSpacing/>
        <w:rPr>
          <w:rFonts w:cs="Arial"/>
          <w:sz w:val="8"/>
          <w:szCs w:val="8"/>
        </w:rPr>
      </w:pPr>
      <w:r w:rsidRPr="002D45A7">
        <w:rPr>
          <w:rFonts w:cs="Arial"/>
          <w:noProof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4F078B56" wp14:editId="4F078B57">
            <wp:simplePos x="0" y="0"/>
            <wp:positionH relativeFrom="column">
              <wp:posOffset>-4429760</wp:posOffset>
            </wp:positionH>
            <wp:positionV relativeFrom="paragraph">
              <wp:posOffset>725170</wp:posOffset>
            </wp:positionV>
            <wp:extent cx="6475095" cy="2540635"/>
            <wp:effectExtent l="19050" t="0" r="1905" b="0"/>
            <wp:wrapTight wrapText="bothSides">
              <wp:wrapPolygon edited="0">
                <wp:start x="-64" y="0"/>
                <wp:lineTo x="-64" y="21379"/>
                <wp:lineTo x="21606" y="21379"/>
                <wp:lineTo x="21606" y="0"/>
                <wp:lineTo x="-64" y="0"/>
              </wp:wrapPolygon>
            </wp:wrapTight>
            <wp:docPr id="2" name="Picture 1" descr="Horizontal bar graph&#10;Y axis lists types of teachers: needs improvement/unsatisfactory, primary license, out-of-field, unlicensed, and first year.&#10;X axis shows the percent of teachers&#10;Each category in the y axis has four bars, representing low minoirty schools, high minority schools, low poverty schools, and high poverty schools.&#10;Needs Improvement/Unsatisfactory teachers make up 3.4% of teachers in low minority schools, 9.1% of teachers in high minority schools, 2.9% of teachers in low poverty schools, and 9.7% of teachers in high poverty schools.&#10;Teachers with a preliminary license make up 3.7% of teachers in low minority schools, 6.1% of teachers in high minority schools, 3% of teachers in low poverty schools, and 6.6% of teachers in high poverty schools.&#10;Out-of-field teachers make up 1.1% of teachers in low minority schools, 9% of teachers in high minority schools, 1.3% of teachers in low poverty schools, and 9% of teachers in high poverty schools.&#10;Unlicensed teachers make up 0.9% of teachers in low minority schools, 5.3% of teachers in high minority schools, 1.2% of teachers in low poverty schools, and 5.1% of teachers in high poverty schools.&#10;Finally, first year teachers make up 5.2% of teachers in low minority schools, 10.2% of teachers in high minority schools, 5.8% of teachers in low poverty schools, and 10% of teachers in high poverty sch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6BF" w:rsidRPr="002D45A7">
        <w:rPr>
          <w:rFonts w:cs="Arial"/>
          <w:sz w:val="8"/>
          <w:szCs w:val="8"/>
        </w:rPr>
        <w:t xml:space="preserve"> </w:t>
      </w:r>
      <w:r w:rsidR="004E458E">
        <w:rPr>
          <w:rFonts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78B58" wp14:editId="61F46647">
                <wp:simplePos x="0" y="0"/>
                <wp:positionH relativeFrom="column">
                  <wp:posOffset>-4358005</wp:posOffset>
                </wp:positionH>
                <wp:positionV relativeFrom="paragraph">
                  <wp:posOffset>741045</wp:posOffset>
                </wp:positionV>
                <wp:extent cx="1329690" cy="380365"/>
                <wp:effectExtent l="635" t="0" r="3175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78B6D" w14:textId="77777777" w:rsidR="00F02D05" w:rsidRPr="006C7F29" w:rsidRDefault="00F02D05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6C7F29">
                              <w:rPr>
                                <w:rFonts w:cs="Arial"/>
                                <w:b/>
                              </w:rPr>
                              <w:t>Type of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8B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43.15pt;margin-top:58.35pt;width:104.7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h6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" filled="f" stroked="f">
                <v:textbox>
                  <w:txbxContent>
                    <w:p w14:paraId="4F078B6D" w14:textId="77777777" w:rsidR="00F02D05" w:rsidRPr="006C7F29" w:rsidRDefault="00F02D05">
                      <w:pPr>
                        <w:rPr>
                          <w:rFonts w:cs="Arial"/>
                          <w:b/>
                        </w:rPr>
                      </w:pPr>
                      <w:r w:rsidRPr="006C7F29">
                        <w:rPr>
                          <w:rFonts w:cs="Arial"/>
                          <w:b/>
                        </w:rPr>
                        <w:t>Type of teacher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16" w:tblpY="163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4B10BF" w:rsidRPr="002D45A7" w14:paraId="4F078B32" w14:textId="77777777">
        <w:tc>
          <w:tcPr>
            <w:tcW w:w="10818" w:type="dxa"/>
            <w:shd w:val="clear" w:color="auto" w:fill="4F81BD" w:themeFill="accent1"/>
          </w:tcPr>
          <w:p w14:paraId="4F078B30" w14:textId="77777777" w:rsidR="00CB636F" w:rsidRPr="002D45A7" w:rsidRDefault="004B10BF" w:rsidP="00CB636F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2D45A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Gaps </w:t>
            </w:r>
            <w:r w:rsidR="00CB636F" w:rsidRPr="002D45A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in Student Access to Teachers, </w:t>
            </w:r>
            <w:r w:rsidRPr="002D45A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Between Schools in </w:t>
            </w:r>
          </w:p>
          <w:p w14:paraId="4F078B31" w14:textId="77777777" w:rsidR="004B10BF" w:rsidRPr="002D45A7" w:rsidRDefault="004B10BF" w:rsidP="00CB636F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2D45A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Highest and Lowest Quartiles </w:t>
            </w:r>
            <w:r w:rsidR="00CB636F" w:rsidRPr="002D45A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of Minority and Low </w:t>
            </w:r>
            <w:r w:rsidRPr="002D45A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Income Students</w:t>
            </w:r>
          </w:p>
        </w:tc>
      </w:tr>
    </w:tbl>
    <w:p w14:paraId="4F078B33" w14:textId="77777777" w:rsidR="00834CE6" w:rsidRPr="002D45A7" w:rsidRDefault="00834CE6" w:rsidP="00834CE6">
      <w:pPr>
        <w:spacing w:after="0" w:line="240" w:lineRule="auto"/>
        <w:contextualSpacing/>
        <w:rPr>
          <w:rFonts w:cs="Arial"/>
          <w:bCs/>
          <w:i/>
          <w:sz w:val="8"/>
          <w:szCs w:val="8"/>
        </w:rPr>
      </w:pPr>
      <w:r w:rsidRPr="002D45A7">
        <w:rPr>
          <w:rFonts w:cs="Arial"/>
          <w:i/>
          <w:sz w:val="20"/>
          <w:szCs w:val="20"/>
        </w:rPr>
        <w:t>ESE compared the 25% of schools with the largest proportion of low income students (high poverty) to the 25% with the smallest proportion of low income students (low poverty). The same applies to high and low minority schools.</w:t>
      </w:r>
    </w:p>
    <w:p w14:paraId="4F078B34" w14:textId="77777777" w:rsidR="00984A11" w:rsidRPr="002D45A7" w:rsidRDefault="00834CE6" w:rsidP="00495012">
      <w:pPr>
        <w:spacing w:after="0" w:line="264" w:lineRule="auto"/>
        <w:rPr>
          <w:rFonts w:cs="Arial"/>
          <w:bCs/>
          <w:i/>
          <w:sz w:val="20"/>
          <w:szCs w:val="20"/>
        </w:rPr>
      </w:pPr>
      <w:r w:rsidRPr="002D45A7">
        <w:rPr>
          <w:rFonts w:cs="Arial"/>
          <w:bCs/>
          <w:i/>
          <w:sz w:val="20"/>
          <w:szCs w:val="20"/>
        </w:rPr>
        <w:t xml:space="preserve">Data </w:t>
      </w:r>
      <w:r w:rsidR="00795AB9" w:rsidRPr="002D45A7">
        <w:rPr>
          <w:rFonts w:cs="Arial"/>
          <w:bCs/>
          <w:i/>
          <w:sz w:val="20"/>
          <w:szCs w:val="20"/>
        </w:rPr>
        <w:t xml:space="preserve">Source: Educator Personnel </w:t>
      </w:r>
      <w:r w:rsidR="00984A11" w:rsidRPr="002D45A7">
        <w:rPr>
          <w:rFonts w:cs="Arial"/>
          <w:bCs/>
          <w:i/>
          <w:sz w:val="20"/>
          <w:szCs w:val="20"/>
        </w:rPr>
        <w:t>Information System (EPIMS) 2013-2014 Data Collection</w:t>
      </w:r>
    </w:p>
    <w:p w14:paraId="4F078B35" w14:textId="77777777" w:rsidR="00834CE6" w:rsidRPr="002D45A7" w:rsidRDefault="00834CE6" w:rsidP="00E06C40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4F81BD" w:themeColor="accent1"/>
          <w:sz w:val="8"/>
          <w:szCs w:val="8"/>
        </w:rPr>
      </w:pPr>
      <w:r w:rsidRPr="002D45A7">
        <w:rPr>
          <w:rFonts w:asciiTheme="minorHAnsi" w:hAnsiTheme="minorHAnsi" w:cs="Arial"/>
          <w:color w:val="4F81BD" w:themeColor="accent1"/>
          <w:sz w:val="8"/>
          <w:szCs w:val="8"/>
        </w:rPr>
        <w:t xml:space="preserve"> </w:t>
      </w:r>
    </w:p>
    <w:p w14:paraId="4F078B36" w14:textId="77777777" w:rsidR="00B14A57" w:rsidRPr="002D45A7" w:rsidRDefault="00F426BF" w:rsidP="002D45A7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4F81BD" w:themeColor="accent1"/>
          <w:w w:val="90"/>
          <w:sz w:val="22"/>
          <w:szCs w:val="22"/>
        </w:rPr>
      </w:pPr>
      <w:r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>Analysis</w:t>
      </w:r>
      <w:r w:rsidR="00495012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 xml:space="preserve"> showed </w:t>
      </w:r>
      <w:r w:rsidR="00984A11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 xml:space="preserve">similar </w:t>
      </w:r>
      <w:r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 xml:space="preserve">equity </w:t>
      </w:r>
      <w:r w:rsidR="00984A11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>gaps for principals</w:t>
      </w:r>
      <w:r w:rsidR="00495012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>.</w:t>
      </w:r>
      <w:r w:rsidR="004B10BF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 xml:space="preserve"> S</w:t>
      </w:r>
      <w:r w:rsidR="00495012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 xml:space="preserve">ee the </w:t>
      </w:r>
      <w:r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 xml:space="preserve">full </w:t>
      </w:r>
      <w:r w:rsidR="00495012" w:rsidRPr="002D45A7">
        <w:rPr>
          <w:rFonts w:asciiTheme="minorHAnsi" w:hAnsiTheme="minorHAnsi" w:cs="Arial"/>
          <w:color w:val="4F81BD" w:themeColor="accent1"/>
          <w:w w:val="90"/>
          <w:sz w:val="22"/>
          <w:szCs w:val="22"/>
        </w:rPr>
        <w:t>Equity Plan for more information.</w:t>
      </w:r>
    </w:p>
    <w:p w14:paraId="4F078B37" w14:textId="77777777" w:rsidR="00D225D4" w:rsidRPr="002D45A7" w:rsidRDefault="00D225D4" w:rsidP="002D45A7">
      <w:pPr>
        <w:spacing w:after="0" w:line="240" w:lineRule="auto"/>
        <w:contextualSpacing/>
        <w:rPr>
          <w:sz w:val="10"/>
          <w:szCs w:val="10"/>
        </w:rPr>
      </w:pPr>
      <w:r w:rsidRPr="002D45A7">
        <w:rPr>
          <w:sz w:val="10"/>
          <w:szCs w:val="10"/>
        </w:rPr>
        <w:t xml:space="preserve"> </w:t>
      </w:r>
      <w:r w:rsidR="004B10BF" w:rsidRPr="002D45A7">
        <w:rPr>
          <w:sz w:val="10"/>
          <w:szCs w:val="10"/>
        </w:rPr>
        <w:t xml:space="preserve"> </w:t>
      </w:r>
      <w:r w:rsidR="002D45A7" w:rsidRPr="002D45A7">
        <w:rPr>
          <w:sz w:val="10"/>
          <w:szCs w:val="10"/>
        </w:rPr>
        <w:t xml:space="preserve"> </w:t>
      </w:r>
    </w:p>
    <w:p w14:paraId="4F078B38" w14:textId="4EF60566" w:rsidR="009407C8" w:rsidRPr="002D45A7" w:rsidRDefault="009407C8" w:rsidP="002D45A7">
      <w:pPr>
        <w:spacing w:after="0" w:line="240" w:lineRule="auto"/>
        <w:contextualSpacing/>
        <w:rPr>
          <w:rFonts w:cs="Arial"/>
          <w:b/>
          <w:color w:val="4F81BD" w:themeColor="accent1"/>
        </w:rPr>
      </w:pPr>
      <w:r w:rsidRPr="002D45A7">
        <w:rPr>
          <w:rFonts w:eastAsiaTheme="majorEastAsia" w:cs="Arial"/>
          <w:b/>
          <w:bCs/>
          <w:color w:val="4F81BD" w:themeColor="accent1"/>
        </w:rPr>
        <w:t>Note on educator experience gap</w:t>
      </w:r>
      <w:r w:rsidR="000F31C3" w:rsidRPr="002D45A7">
        <w:rPr>
          <w:rFonts w:eastAsiaTheme="majorEastAsia" w:cs="Arial"/>
          <w:b/>
          <w:bCs/>
          <w:color w:val="4F81BD" w:themeColor="accent1"/>
        </w:rPr>
        <w:t>:</w:t>
      </w:r>
      <w:r w:rsidR="004E458E"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78B59" wp14:editId="53005627">
                <wp:simplePos x="0" y="0"/>
                <wp:positionH relativeFrom="column">
                  <wp:posOffset>-4577715</wp:posOffset>
                </wp:positionH>
                <wp:positionV relativeFrom="paragraph">
                  <wp:posOffset>781685</wp:posOffset>
                </wp:positionV>
                <wp:extent cx="1375410" cy="350520"/>
                <wp:effectExtent l="3810" t="381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78B6E" w14:textId="77777777" w:rsidR="00F02D05" w:rsidRDefault="00F02D05" w:rsidP="009407C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Types of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8B59" id="Text Box 3" o:spid="_x0000_s1028" type="#_x0000_t202" style="position:absolute;margin-left:-360.45pt;margin-top:61.55pt;width:108.3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8x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" filled="f" stroked="f">
                <v:textbox>
                  <w:txbxContent>
                    <w:p w14:paraId="4F078B6E" w14:textId="77777777" w:rsidR="00F02D05" w:rsidRDefault="00F02D05" w:rsidP="009407C8">
                      <w:pPr>
                        <w:jc w:val="center"/>
                      </w:pPr>
                      <w:r>
                        <w:rPr>
                          <w:b/>
                        </w:rPr>
                        <w:t>Types of teachers</w:t>
                      </w:r>
                    </w:p>
                  </w:txbxContent>
                </v:textbox>
              </v:shape>
            </w:pict>
          </mc:Fallback>
        </mc:AlternateContent>
      </w:r>
      <w:r w:rsidR="000F31C3" w:rsidRPr="002D45A7">
        <w:rPr>
          <w:rFonts w:cs="Arial"/>
          <w:b/>
          <w:color w:val="4F81BD" w:themeColor="accent1"/>
        </w:rPr>
        <w:t xml:space="preserve"> </w:t>
      </w:r>
      <w:r w:rsidRPr="002D45A7">
        <w:rPr>
          <w:rFonts w:cs="Arial"/>
          <w:b/>
        </w:rPr>
        <w:t xml:space="preserve"> </w:t>
      </w:r>
      <w:r w:rsidRPr="002D45A7">
        <w:rPr>
          <w:rFonts w:cs="Arial"/>
        </w:rPr>
        <w:t>Analysis of this data is not meant to imply that less</w:t>
      </w:r>
      <w:r w:rsidR="008C79BC" w:rsidRPr="002D45A7">
        <w:rPr>
          <w:rFonts w:cs="Arial"/>
        </w:rPr>
        <w:t>-</w:t>
      </w:r>
      <w:r w:rsidRPr="002D45A7">
        <w:rPr>
          <w:rFonts w:cs="Arial"/>
        </w:rPr>
        <w:t xml:space="preserve">experienced educators are necessarily lower-quality educators. This data is included to draw attention to the statewide, substantial inequity in low income and minority students’ access to experienced educators. </w:t>
      </w:r>
    </w:p>
    <w:p w14:paraId="4F078B39" w14:textId="77777777" w:rsidR="009407C8" w:rsidRPr="002D45A7" w:rsidRDefault="009407C8" w:rsidP="002D45A7">
      <w:pPr>
        <w:spacing w:after="0" w:line="240" w:lineRule="auto"/>
        <w:contextualSpacing/>
        <w:rPr>
          <w:rFonts w:cs="Arial"/>
          <w:sz w:val="10"/>
          <w:szCs w:val="10"/>
        </w:rPr>
      </w:pPr>
      <w:r w:rsidRPr="002D45A7">
        <w:rPr>
          <w:rFonts w:cs="Arial"/>
          <w:sz w:val="10"/>
          <w:szCs w:val="10"/>
        </w:rPr>
        <w:t xml:space="preserve"> </w:t>
      </w:r>
      <w:r w:rsidR="002D45A7" w:rsidRPr="002D45A7">
        <w:rPr>
          <w:rFonts w:cs="Arial"/>
          <w:sz w:val="10"/>
          <w:szCs w:val="10"/>
        </w:rPr>
        <w:t xml:space="preserve"> </w:t>
      </w:r>
    </w:p>
    <w:p w14:paraId="4F078B3A" w14:textId="77777777" w:rsidR="009407C8" w:rsidRPr="002D45A7" w:rsidRDefault="009407C8" w:rsidP="002D45A7">
      <w:pPr>
        <w:spacing w:after="0" w:line="240" w:lineRule="auto"/>
        <w:contextualSpacing/>
        <w:rPr>
          <w:rFonts w:cs="Arial"/>
        </w:rPr>
      </w:pPr>
      <w:r w:rsidRPr="002D45A7">
        <w:rPr>
          <w:rFonts w:cs="Arial"/>
        </w:rPr>
        <w:t xml:space="preserve">When </w:t>
      </w:r>
      <w:r w:rsidRPr="002D45A7">
        <w:rPr>
          <w:rFonts w:cs="Arial"/>
          <w:b/>
        </w:rPr>
        <w:t>high minority schools employ nearly twice as many first year teachers</w:t>
      </w:r>
      <w:r w:rsidRPr="002D45A7">
        <w:rPr>
          <w:rFonts w:cs="Arial"/>
        </w:rPr>
        <w:t xml:space="preserve"> as do low minority schools</w:t>
      </w:r>
      <w:r w:rsidR="008C79BC" w:rsidRPr="002D45A7">
        <w:rPr>
          <w:rFonts w:cs="Arial"/>
        </w:rPr>
        <w:t xml:space="preserve">, then regardless of the success of some first year teachers </w:t>
      </w:r>
      <w:r w:rsidRPr="002D45A7">
        <w:rPr>
          <w:rFonts w:cs="Arial"/>
        </w:rPr>
        <w:t xml:space="preserve">we are facing an equity gap that </w:t>
      </w:r>
      <w:r w:rsidR="008C79BC" w:rsidRPr="002D45A7">
        <w:rPr>
          <w:rFonts w:cs="Arial"/>
        </w:rPr>
        <w:t>must</w:t>
      </w:r>
      <w:r w:rsidRPr="002D45A7">
        <w:rPr>
          <w:rFonts w:cs="Arial"/>
        </w:rPr>
        <w:t xml:space="preserve"> be closed.</w:t>
      </w:r>
    </w:p>
    <w:p w14:paraId="4F078B3B" w14:textId="77777777" w:rsidR="00D225D4" w:rsidRPr="002D45A7" w:rsidRDefault="00D225D4" w:rsidP="002D45A7">
      <w:pPr>
        <w:spacing w:after="0" w:line="240" w:lineRule="auto"/>
        <w:contextualSpacing/>
        <w:rPr>
          <w:rStyle w:val="CommentReference"/>
          <w:sz w:val="22"/>
          <w:szCs w:val="22"/>
        </w:rPr>
      </w:pPr>
    </w:p>
    <w:p w14:paraId="4F078B3C" w14:textId="77777777" w:rsidR="000F31C3" w:rsidRPr="002D45A7" w:rsidRDefault="000F31C3" w:rsidP="002D45A7">
      <w:pPr>
        <w:spacing w:after="0" w:line="240" w:lineRule="auto"/>
        <w:contextualSpacing/>
        <w:rPr>
          <w:rStyle w:val="CommentReference"/>
          <w:sz w:val="22"/>
          <w:szCs w:val="22"/>
        </w:rPr>
      </w:pPr>
    </w:p>
    <w:p w14:paraId="4F078B3D" w14:textId="77777777" w:rsidR="00DA6FC1" w:rsidRPr="002D45A7" w:rsidRDefault="00DA6FC1" w:rsidP="00D225D4">
      <w:pPr>
        <w:spacing w:after="0" w:line="264" w:lineRule="auto"/>
        <w:rPr>
          <w:rStyle w:val="CommentReference"/>
        </w:rPr>
      </w:pPr>
    </w:p>
    <w:p w14:paraId="4F078B3E" w14:textId="77777777" w:rsidR="004B10BF" w:rsidRPr="002D45A7" w:rsidRDefault="004B10BF" w:rsidP="00D225D4">
      <w:pPr>
        <w:spacing w:after="0" w:line="264" w:lineRule="auto"/>
        <w:rPr>
          <w:rStyle w:val="CommentReference"/>
        </w:rPr>
      </w:pPr>
    </w:p>
    <w:p w14:paraId="4F078B3F" w14:textId="77777777" w:rsidR="00083522" w:rsidRPr="002D45A7" w:rsidRDefault="00083522" w:rsidP="00083522">
      <w:pPr>
        <w:spacing w:after="0" w:line="240" w:lineRule="auto"/>
        <w:rPr>
          <w:rFonts w:cs="Arial"/>
        </w:rPr>
      </w:pPr>
      <w:r w:rsidRPr="002D45A7">
        <w:rPr>
          <w:rFonts w:cs="Arial"/>
          <w:b/>
          <w:color w:val="E36C0A" w:themeColor="accent6" w:themeShade="BF"/>
          <w:sz w:val="28"/>
          <w:szCs w:val="28"/>
        </w:rPr>
        <w:lastRenderedPageBreak/>
        <w:t>What the Equity Plan Means for Teachers</w:t>
      </w:r>
    </w:p>
    <w:p w14:paraId="4F078B40" w14:textId="77777777" w:rsidR="00083522" w:rsidRPr="002D45A7" w:rsidRDefault="00083522" w:rsidP="00083522">
      <w:pPr>
        <w:spacing w:after="0" w:line="240" w:lineRule="auto"/>
        <w:contextualSpacing/>
        <w:rPr>
          <w:sz w:val="26"/>
          <w:szCs w:val="26"/>
        </w:rPr>
      </w:pPr>
      <w:r w:rsidRPr="002D45A7">
        <w:rPr>
          <w:rFonts w:cs="Arial"/>
          <w:sz w:val="26"/>
          <w:szCs w:val="26"/>
        </w:rPr>
        <w:t xml:space="preserve">The Equity Plan provides strategies and resources to help districts and schools meet goals they are already pursuing, such as </w:t>
      </w:r>
      <w:r w:rsidRPr="002D45A7">
        <w:rPr>
          <w:rFonts w:cs="Arial"/>
          <w:b/>
          <w:sz w:val="26"/>
          <w:szCs w:val="26"/>
        </w:rPr>
        <w:t>closing achievement gaps</w:t>
      </w:r>
      <w:r w:rsidRPr="002D45A7">
        <w:rPr>
          <w:rFonts w:cs="Arial"/>
          <w:sz w:val="26"/>
          <w:szCs w:val="26"/>
        </w:rPr>
        <w:t xml:space="preserve">, </w:t>
      </w:r>
      <w:r w:rsidRPr="002D45A7">
        <w:rPr>
          <w:rFonts w:cs="Arial"/>
          <w:b/>
          <w:sz w:val="26"/>
          <w:szCs w:val="26"/>
        </w:rPr>
        <w:t>improving educator quality</w:t>
      </w:r>
      <w:r w:rsidRPr="002D45A7">
        <w:rPr>
          <w:rFonts w:cs="Arial"/>
          <w:sz w:val="26"/>
          <w:szCs w:val="26"/>
        </w:rPr>
        <w:t xml:space="preserve">, </w:t>
      </w:r>
      <w:r w:rsidRPr="002D45A7">
        <w:rPr>
          <w:rFonts w:cs="Arial"/>
          <w:b/>
          <w:sz w:val="26"/>
          <w:szCs w:val="26"/>
        </w:rPr>
        <w:t>recruiting qualified and effective new educators</w:t>
      </w:r>
      <w:r w:rsidRPr="002D45A7">
        <w:rPr>
          <w:rFonts w:cs="Arial"/>
          <w:sz w:val="26"/>
          <w:szCs w:val="26"/>
        </w:rPr>
        <w:t xml:space="preserve">, and </w:t>
      </w:r>
      <w:r w:rsidRPr="002D45A7">
        <w:rPr>
          <w:rFonts w:cs="Arial"/>
          <w:b/>
          <w:sz w:val="26"/>
          <w:szCs w:val="26"/>
        </w:rPr>
        <w:t xml:space="preserve">reducing educator turnover. </w:t>
      </w:r>
      <w:r w:rsidRPr="002D45A7">
        <w:rPr>
          <w:rFonts w:cs="Arial"/>
          <w:sz w:val="26"/>
          <w:szCs w:val="26"/>
        </w:rPr>
        <w:t>Meeting these goals will also increase poor and minority students’ access to effective educators.</w:t>
      </w:r>
    </w:p>
    <w:p w14:paraId="4F078B41" w14:textId="77777777" w:rsidR="00083522" w:rsidRPr="002D45A7" w:rsidRDefault="00083522" w:rsidP="00083522">
      <w:pPr>
        <w:spacing w:after="0" w:line="240" w:lineRule="auto"/>
        <w:contextualSpacing/>
        <w:rPr>
          <w:rFonts w:cs="Arial"/>
          <w:sz w:val="8"/>
          <w:szCs w:val="8"/>
        </w:rPr>
      </w:pPr>
      <w:r w:rsidRPr="002D45A7">
        <w:rPr>
          <w:rFonts w:cs="Arial"/>
          <w:sz w:val="8"/>
          <w:szCs w:val="8"/>
        </w:rPr>
        <w:t xml:space="preserve">  </w:t>
      </w:r>
    </w:p>
    <w:p w14:paraId="4F078B42" w14:textId="77777777" w:rsidR="00083522" w:rsidRPr="002D45A7" w:rsidRDefault="00083522" w:rsidP="00083522">
      <w:pPr>
        <w:spacing w:after="0" w:line="240" w:lineRule="auto"/>
        <w:contextualSpacing/>
        <w:rPr>
          <w:rFonts w:cs="Arial"/>
          <w:sz w:val="26"/>
          <w:szCs w:val="26"/>
        </w:rPr>
      </w:pPr>
      <w:r w:rsidRPr="002D45A7">
        <w:rPr>
          <w:rFonts w:cs="Arial"/>
          <w:b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4F078B5A" wp14:editId="4F078B5B">
            <wp:simplePos x="0" y="0"/>
            <wp:positionH relativeFrom="column">
              <wp:posOffset>5857875</wp:posOffset>
            </wp:positionH>
            <wp:positionV relativeFrom="paragraph">
              <wp:posOffset>24765</wp:posOffset>
            </wp:positionV>
            <wp:extent cx="1028700" cy="1866900"/>
            <wp:effectExtent l="19050" t="0" r="0" b="0"/>
            <wp:wrapTight wrapText="bothSides">
              <wp:wrapPolygon edited="0">
                <wp:start x="-400" y="0"/>
                <wp:lineTo x="-400" y="21380"/>
                <wp:lineTo x="21600" y="21380"/>
                <wp:lineTo x="21600" y="0"/>
                <wp:lineTo x="-400" y="0"/>
              </wp:wrapPolygon>
            </wp:wrapTight>
            <wp:docPr id="3" name="Picture 12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5A7">
        <w:rPr>
          <w:rFonts w:cs="Arial"/>
          <w:b/>
          <w:sz w:val="26"/>
          <w:szCs w:val="26"/>
        </w:rPr>
        <w:t>Teachers committed to equitable access</w:t>
      </w:r>
      <w:r w:rsidRPr="002D45A7">
        <w:rPr>
          <w:rFonts w:cs="Arial"/>
          <w:sz w:val="26"/>
          <w:szCs w:val="26"/>
        </w:rPr>
        <w:t xml:space="preserve"> can do any of the following:</w:t>
      </w:r>
    </w:p>
    <w:p w14:paraId="4F078B43" w14:textId="77777777" w:rsidR="00083522" w:rsidRPr="002D45A7" w:rsidRDefault="00083522" w:rsidP="00083522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6"/>
          <w:szCs w:val="26"/>
        </w:rPr>
      </w:pPr>
      <w:r w:rsidRPr="002D45A7">
        <w:rPr>
          <w:rFonts w:cs="Arial"/>
          <w:sz w:val="26"/>
          <w:szCs w:val="26"/>
        </w:rPr>
        <w:t xml:space="preserve">In discussions of school goals and plans: ask leaders about the school’s equitable access data and how the school will respond; </w:t>
      </w:r>
      <w:r w:rsidRPr="002D45A7">
        <w:rPr>
          <w:rFonts w:cs="Arial"/>
          <w:b/>
          <w:sz w:val="26"/>
          <w:szCs w:val="26"/>
        </w:rPr>
        <w:t>share your perspective on root causes</w:t>
      </w:r>
      <w:r w:rsidRPr="002D45A7">
        <w:rPr>
          <w:rFonts w:cs="Arial"/>
          <w:sz w:val="26"/>
          <w:szCs w:val="26"/>
        </w:rPr>
        <w:t xml:space="preserve"> of school equity gaps</w:t>
      </w:r>
    </w:p>
    <w:p w14:paraId="4F078B44" w14:textId="180569D1" w:rsidR="00083522" w:rsidRPr="002D45A7" w:rsidRDefault="00083522" w:rsidP="00083522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6"/>
          <w:szCs w:val="26"/>
        </w:rPr>
      </w:pPr>
      <w:r w:rsidRPr="002D45A7">
        <w:rPr>
          <w:rFonts w:cs="Arial"/>
          <w:sz w:val="26"/>
          <w:szCs w:val="26"/>
        </w:rPr>
        <w:t>Identify how you or your team can benefit from Equity Plan strategies such as the</w:t>
      </w:r>
      <w:r w:rsidR="00581D3B">
        <w:rPr>
          <w:rFonts w:cs="Arial"/>
          <w:sz w:val="26"/>
          <w:szCs w:val="26"/>
        </w:rPr>
        <w:t xml:space="preserve"> </w:t>
      </w:r>
      <w:hyperlink r:id="rId14" w:history="1">
        <w:r w:rsidR="00581D3B">
          <w:rPr>
            <w:rStyle w:val="Hyperlink"/>
            <w:rFonts w:cs="Arial"/>
            <w:sz w:val="26"/>
            <w:szCs w:val="26"/>
          </w:rPr>
          <w:t>Massachusetts Tiered System of Supports</w:t>
        </w:r>
      </w:hyperlink>
      <w:bookmarkStart w:id="0" w:name="_GoBack"/>
      <w:bookmarkEnd w:id="0"/>
      <w:r w:rsidR="00581D3B">
        <w:rPr>
          <w:rFonts w:cs="Arial"/>
          <w:sz w:val="26"/>
          <w:szCs w:val="26"/>
        </w:rPr>
        <w:t xml:space="preserve"> and the </w:t>
      </w:r>
      <w:hyperlink r:id="rId15" w:history="1">
        <w:r w:rsidR="00581D3B">
          <w:rPr>
            <w:rStyle w:val="Hyperlink"/>
            <w:rFonts w:cs="Arial"/>
            <w:sz w:val="26"/>
            <w:szCs w:val="26"/>
          </w:rPr>
          <w:t>Educator Evaluation Guidebook for Inclusive Practices</w:t>
        </w:r>
      </w:hyperlink>
      <w:r w:rsidR="00581D3B">
        <w:rPr>
          <w:rFonts w:cs="Arial"/>
          <w:sz w:val="26"/>
          <w:szCs w:val="26"/>
        </w:rPr>
        <w:t xml:space="preserve"> </w:t>
      </w:r>
    </w:p>
    <w:p w14:paraId="4F078B45" w14:textId="7E65E90D" w:rsidR="00083522" w:rsidRPr="002D45A7" w:rsidRDefault="00083522" w:rsidP="00083522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6"/>
          <w:szCs w:val="26"/>
        </w:rPr>
      </w:pPr>
      <w:r w:rsidRPr="002D45A7">
        <w:rPr>
          <w:rFonts w:cs="Arial"/>
          <w:sz w:val="26"/>
          <w:szCs w:val="26"/>
        </w:rPr>
        <w:t xml:space="preserve">Teachers involved </w:t>
      </w:r>
      <w:r w:rsidRPr="00CD32F7">
        <w:rPr>
          <w:rFonts w:cs="Arial"/>
          <w:sz w:val="26"/>
          <w:szCs w:val="26"/>
        </w:rPr>
        <w:t xml:space="preserve">in their school’s </w:t>
      </w:r>
      <w:r w:rsidRPr="00CD32F7">
        <w:rPr>
          <w:rFonts w:cs="Arial"/>
          <w:b/>
          <w:sz w:val="26"/>
          <w:szCs w:val="26"/>
        </w:rPr>
        <w:t>hiring process</w:t>
      </w:r>
      <w:r w:rsidRPr="00CD32F7">
        <w:rPr>
          <w:rFonts w:cs="Arial"/>
          <w:sz w:val="26"/>
          <w:szCs w:val="26"/>
        </w:rPr>
        <w:t xml:space="preserve">: review the Root Causes and Strategy 1 sections of the </w:t>
      </w:r>
      <w:hyperlink r:id="rId16" w:history="1">
        <w:r w:rsidR="00CD32F7" w:rsidRPr="00CD32F7">
          <w:rPr>
            <w:rStyle w:val="Hyperlink"/>
            <w:rFonts w:cstheme="minorBidi"/>
            <w:sz w:val="26"/>
            <w:szCs w:val="26"/>
          </w:rPr>
          <w:t>Equity Plan</w:t>
        </w:r>
      </w:hyperlink>
      <w:r w:rsidRPr="00CD32F7">
        <w:rPr>
          <w:rFonts w:cs="Arial"/>
          <w:sz w:val="26"/>
          <w:szCs w:val="26"/>
        </w:rPr>
        <w:t>, and forthcoming</w:t>
      </w:r>
      <w:r w:rsidRPr="002D45A7">
        <w:rPr>
          <w:rFonts w:cs="Arial"/>
          <w:sz w:val="26"/>
          <w:szCs w:val="26"/>
        </w:rPr>
        <w:t xml:space="preserve"> resources on recruiting and retaining diverse educators</w:t>
      </w:r>
    </w:p>
    <w:p w14:paraId="4F078B46" w14:textId="2926A0D9" w:rsidR="00083522" w:rsidRPr="002D45A7" w:rsidRDefault="00083522" w:rsidP="00083522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6"/>
          <w:szCs w:val="26"/>
        </w:rPr>
      </w:pPr>
      <w:r w:rsidRPr="002D45A7">
        <w:rPr>
          <w:rFonts w:cs="Arial"/>
          <w:sz w:val="26"/>
          <w:szCs w:val="26"/>
        </w:rPr>
        <w:t xml:space="preserve">Teachers in </w:t>
      </w:r>
      <w:r w:rsidRPr="002D45A7">
        <w:rPr>
          <w:rFonts w:cs="Arial"/>
          <w:b/>
          <w:sz w:val="26"/>
          <w:szCs w:val="26"/>
        </w:rPr>
        <w:t>Level 5 schools</w:t>
      </w:r>
      <w:r w:rsidRPr="002D45A7">
        <w:rPr>
          <w:rFonts w:cs="Arial"/>
          <w:sz w:val="26"/>
          <w:szCs w:val="26"/>
        </w:rPr>
        <w:t xml:space="preserve">: review the sample strategies described on p. 36-37 of the </w:t>
      </w:r>
      <w:hyperlink r:id="rId17" w:history="1">
        <w:r w:rsidR="00CD32F7" w:rsidRPr="00CD32F7">
          <w:rPr>
            <w:rStyle w:val="Hyperlink"/>
            <w:rFonts w:cstheme="minorBidi"/>
            <w:sz w:val="26"/>
            <w:szCs w:val="26"/>
          </w:rPr>
          <w:t>Equity Plan</w:t>
        </w:r>
      </w:hyperlink>
      <w:r w:rsidRPr="002D45A7">
        <w:rPr>
          <w:rFonts w:cs="Arial"/>
          <w:sz w:val="26"/>
          <w:szCs w:val="26"/>
        </w:rPr>
        <w:t xml:space="preserve">, which have been found to increase teacher job satisfaction and equitable access </w:t>
      </w:r>
    </w:p>
    <w:p w14:paraId="4F078B47" w14:textId="77777777" w:rsidR="00083522" w:rsidRPr="002D45A7" w:rsidRDefault="00083522" w:rsidP="00083522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6"/>
          <w:szCs w:val="26"/>
        </w:rPr>
      </w:pPr>
      <w:r w:rsidRPr="002D45A7">
        <w:rPr>
          <w:rFonts w:cs="Arial"/>
          <w:sz w:val="26"/>
          <w:szCs w:val="26"/>
        </w:rPr>
        <w:t xml:space="preserve">Provide </w:t>
      </w:r>
      <w:r w:rsidRPr="002D45A7">
        <w:rPr>
          <w:rFonts w:cs="Arial"/>
          <w:b/>
          <w:sz w:val="26"/>
          <w:szCs w:val="26"/>
        </w:rPr>
        <w:t>feedback on strategies and root causes</w:t>
      </w:r>
      <w:r w:rsidRPr="002D45A7">
        <w:rPr>
          <w:rFonts w:cs="Arial"/>
          <w:sz w:val="26"/>
          <w:szCs w:val="26"/>
        </w:rPr>
        <w:t xml:space="preserve"> by emailing </w:t>
      </w:r>
      <w:hyperlink r:id="rId18" w:history="1">
        <w:r w:rsidRPr="002D45A7">
          <w:rPr>
            <w:rStyle w:val="Hyperlink"/>
            <w:rFonts w:cs="Arial"/>
            <w:sz w:val="26"/>
            <w:szCs w:val="26"/>
          </w:rPr>
          <w:t>educatordevelopment@doe.mass.edu</w:t>
        </w:r>
      </w:hyperlink>
    </w:p>
    <w:p w14:paraId="4F078B48" w14:textId="77777777" w:rsidR="00083522" w:rsidRPr="002D45A7" w:rsidRDefault="002D45A7" w:rsidP="0067335D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E36C0A" w:themeColor="accent6" w:themeShade="BF"/>
          <w:sz w:val="10"/>
          <w:szCs w:val="10"/>
        </w:rPr>
      </w:pPr>
      <w:r>
        <w:rPr>
          <w:rFonts w:asciiTheme="minorHAnsi" w:hAnsiTheme="minorHAnsi" w:cs="Arial"/>
          <w:color w:val="E36C0A" w:themeColor="accent6" w:themeShade="BF"/>
          <w:sz w:val="28"/>
        </w:rPr>
        <w:t xml:space="preserve"> </w:t>
      </w:r>
    </w:p>
    <w:p w14:paraId="4F078B49" w14:textId="77777777" w:rsidR="0067335D" w:rsidRPr="002D45A7" w:rsidRDefault="0067335D" w:rsidP="0067335D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E36C0A" w:themeColor="accent6" w:themeShade="BF"/>
          <w:sz w:val="28"/>
        </w:rPr>
      </w:pPr>
      <w:r w:rsidRPr="002D45A7">
        <w:rPr>
          <w:rFonts w:asciiTheme="minorHAnsi" w:hAnsiTheme="minorHAnsi" w:cs="Arial"/>
          <w:color w:val="E36C0A" w:themeColor="accent6" w:themeShade="BF"/>
          <w:sz w:val="28"/>
        </w:rPr>
        <w:t xml:space="preserve">Four Key Strategies Highlighted in </w:t>
      </w:r>
      <w:r w:rsidR="008C79BC" w:rsidRPr="002D45A7">
        <w:rPr>
          <w:rFonts w:asciiTheme="minorHAnsi" w:hAnsiTheme="minorHAnsi" w:cs="Arial"/>
          <w:color w:val="E36C0A" w:themeColor="accent6" w:themeShade="BF"/>
          <w:sz w:val="28"/>
        </w:rPr>
        <w:t xml:space="preserve">the MA </w:t>
      </w:r>
      <w:r w:rsidRPr="002D45A7">
        <w:rPr>
          <w:rFonts w:asciiTheme="minorHAnsi" w:hAnsiTheme="minorHAnsi" w:cs="Arial"/>
          <w:color w:val="E36C0A" w:themeColor="accent6" w:themeShade="BF"/>
          <w:sz w:val="28"/>
        </w:rPr>
        <w:t>Equity Plan</w:t>
      </w:r>
    </w:p>
    <w:p w14:paraId="4F078B4A" w14:textId="77777777" w:rsidR="0067335D" w:rsidRPr="002D45A7" w:rsidRDefault="0067335D" w:rsidP="0067335D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2D45A7">
        <w:rPr>
          <w:rFonts w:cs="Arial"/>
          <w:sz w:val="24"/>
          <w:szCs w:val="24"/>
        </w:rPr>
        <w:t>Educator Preparation – changes to state approval of Ed Prep Programs and monitoring of outcomes</w:t>
      </w:r>
    </w:p>
    <w:p w14:paraId="4F078B4B" w14:textId="77777777" w:rsidR="0067335D" w:rsidRPr="002D45A7" w:rsidRDefault="0067335D" w:rsidP="0067335D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2D45A7">
        <w:rPr>
          <w:rFonts w:cs="Arial"/>
          <w:sz w:val="24"/>
          <w:szCs w:val="24"/>
        </w:rPr>
        <w:t xml:space="preserve">Educator Evaluation System – state </w:t>
      </w:r>
      <w:r w:rsidRPr="002D45A7">
        <w:rPr>
          <w:rFonts w:cs="Arial"/>
          <w:b/>
          <w:sz w:val="24"/>
          <w:szCs w:val="24"/>
        </w:rPr>
        <w:t>supports</w:t>
      </w:r>
      <w:r w:rsidRPr="002D45A7">
        <w:rPr>
          <w:rFonts w:cs="Arial"/>
          <w:sz w:val="24"/>
          <w:szCs w:val="24"/>
        </w:rPr>
        <w:t xml:space="preserve"> </w:t>
      </w:r>
      <w:r w:rsidR="00880A7D" w:rsidRPr="002D45A7">
        <w:rPr>
          <w:rFonts w:cs="Arial"/>
          <w:b/>
          <w:sz w:val="24"/>
          <w:szCs w:val="24"/>
        </w:rPr>
        <w:t>for</w:t>
      </w:r>
      <w:r w:rsidR="00880A7D" w:rsidRPr="002D45A7">
        <w:rPr>
          <w:rFonts w:cs="Arial"/>
          <w:sz w:val="24"/>
          <w:szCs w:val="24"/>
        </w:rPr>
        <w:t xml:space="preserve"> </w:t>
      </w:r>
      <w:r w:rsidRPr="002D45A7">
        <w:rPr>
          <w:rFonts w:cs="Arial"/>
          <w:b/>
          <w:sz w:val="24"/>
          <w:szCs w:val="24"/>
        </w:rPr>
        <w:t>districts and schools</w:t>
      </w:r>
      <w:r w:rsidRPr="002D45A7">
        <w:rPr>
          <w:rFonts w:cs="Arial"/>
          <w:sz w:val="24"/>
          <w:szCs w:val="24"/>
        </w:rPr>
        <w:t xml:space="preserve"> in effective implementation </w:t>
      </w:r>
    </w:p>
    <w:p w14:paraId="4F078B4C" w14:textId="77777777" w:rsidR="008C79BC" w:rsidRPr="002D45A7" w:rsidRDefault="0067335D" w:rsidP="00BC2A1D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2D45A7">
        <w:rPr>
          <w:rFonts w:cs="Arial"/>
          <w:sz w:val="24"/>
          <w:szCs w:val="24"/>
        </w:rPr>
        <w:t xml:space="preserve">Student Learning Experience Report – provides actionable data for </w:t>
      </w:r>
      <w:r w:rsidRPr="002D45A7">
        <w:rPr>
          <w:rFonts w:cs="Arial"/>
          <w:b/>
          <w:sz w:val="24"/>
          <w:szCs w:val="24"/>
        </w:rPr>
        <w:t>school &amp; district leaders</w:t>
      </w:r>
      <w:r w:rsidRPr="002D45A7">
        <w:rPr>
          <w:rFonts w:cs="Arial"/>
          <w:sz w:val="24"/>
          <w:szCs w:val="24"/>
        </w:rPr>
        <w:t xml:space="preserve"> on proportion of students’ experiences with </w:t>
      </w:r>
      <w:r w:rsidR="008C79BC" w:rsidRPr="002D45A7">
        <w:rPr>
          <w:rFonts w:cs="Arial"/>
          <w:sz w:val="24"/>
          <w:szCs w:val="24"/>
        </w:rPr>
        <w:t xml:space="preserve">teachers who are inexperienced, rated Unsatisfactory/Needs Improvement, </w:t>
      </w:r>
      <w:r w:rsidR="00BC2A1D" w:rsidRPr="002D45A7">
        <w:rPr>
          <w:rFonts w:cs="Arial"/>
          <w:sz w:val="24"/>
          <w:szCs w:val="24"/>
        </w:rPr>
        <w:t>and not Highly Qualified, among other categories</w:t>
      </w:r>
      <w:r w:rsidRPr="002D45A7">
        <w:rPr>
          <w:rFonts w:cs="Arial"/>
          <w:sz w:val="24"/>
          <w:szCs w:val="24"/>
        </w:rPr>
        <w:t xml:space="preserve">; </w:t>
      </w:r>
      <w:r w:rsidR="00BC2A1D" w:rsidRPr="002D45A7">
        <w:rPr>
          <w:rFonts w:cs="Arial"/>
          <w:sz w:val="24"/>
          <w:szCs w:val="24"/>
        </w:rPr>
        <w:t xml:space="preserve">users can compare the last few years of students’ teacher experiences among individual students, grades, schools, and subgroups of students, such as </w:t>
      </w:r>
      <w:r w:rsidR="00B43AE0">
        <w:rPr>
          <w:rFonts w:cs="Arial"/>
          <w:sz w:val="24"/>
          <w:szCs w:val="24"/>
        </w:rPr>
        <w:t xml:space="preserve">English Language </w:t>
      </w:r>
      <w:r w:rsidR="00063580">
        <w:rPr>
          <w:rFonts w:cs="Arial"/>
          <w:sz w:val="24"/>
          <w:szCs w:val="24"/>
        </w:rPr>
        <w:t>Learners</w:t>
      </w:r>
      <w:r w:rsidR="00BC2A1D" w:rsidRPr="002D45A7">
        <w:rPr>
          <w:rFonts w:cs="Arial"/>
          <w:sz w:val="24"/>
          <w:szCs w:val="24"/>
        </w:rPr>
        <w:t xml:space="preserve"> and Economically Disadvantaged students</w:t>
      </w:r>
    </w:p>
    <w:p w14:paraId="4F078B4D" w14:textId="77777777" w:rsidR="0067335D" w:rsidRPr="002D45A7" w:rsidRDefault="0067335D" w:rsidP="0067335D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4"/>
          <w:szCs w:val="24"/>
        </w:rPr>
      </w:pPr>
      <w:r w:rsidRPr="002D45A7">
        <w:rPr>
          <w:rFonts w:cs="Arial"/>
          <w:sz w:val="24"/>
          <w:szCs w:val="24"/>
        </w:rPr>
        <w:t xml:space="preserve">Educator Evaluation Guidebook for Inclusive Practices – tools for </w:t>
      </w:r>
      <w:r w:rsidRPr="002D45A7">
        <w:rPr>
          <w:rFonts w:cs="Arial"/>
          <w:b/>
          <w:sz w:val="24"/>
          <w:szCs w:val="24"/>
        </w:rPr>
        <w:t>educators and evaluators</w:t>
      </w:r>
      <w:r w:rsidRPr="002D45A7">
        <w:rPr>
          <w:rFonts w:cs="Arial"/>
          <w:sz w:val="24"/>
          <w:szCs w:val="24"/>
        </w:rPr>
        <w:t xml:space="preserve"> to better teach diverse learners and boost inclusion of students with disabilities in general education classrooms</w:t>
      </w:r>
    </w:p>
    <w:p w14:paraId="4F078B4E" w14:textId="77777777" w:rsidR="003E58B7" w:rsidRPr="002D45A7" w:rsidRDefault="008378E2" w:rsidP="0067335D">
      <w:pPr>
        <w:spacing w:after="0" w:line="240" w:lineRule="auto"/>
        <w:rPr>
          <w:rFonts w:cs="Arial"/>
          <w:sz w:val="10"/>
          <w:szCs w:val="10"/>
        </w:rPr>
      </w:pPr>
      <w:r w:rsidRPr="002D45A7">
        <w:rPr>
          <w:rFonts w:cs="Arial"/>
          <w:sz w:val="10"/>
          <w:szCs w:val="10"/>
        </w:rPr>
        <w:t xml:space="preserve"> </w:t>
      </w:r>
      <w:r w:rsidR="002D45A7" w:rsidRPr="002D45A7">
        <w:rPr>
          <w:rFonts w:cs="Arial"/>
          <w:sz w:val="10"/>
          <w:szCs w:val="10"/>
        </w:rPr>
        <w:t xml:space="preserve"> </w:t>
      </w:r>
    </w:p>
    <w:p w14:paraId="4F078B4F" w14:textId="77777777" w:rsidR="008544F6" w:rsidRPr="002D45A7" w:rsidRDefault="008544F6" w:rsidP="00BC10C6">
      <w:pPr>
        <w:spacing w:after="0" w:line="240" w:lineRule="auto"/>
        <w:contextualSpacing/>
        <w:rPr>
          <w:rFonts w:cs="Arial"/>
          <w:b/>
          <w:color w:val="E36C0A" w:themeColor="accent6" w:themeShade="BF"/>
          <w:sz w:val="28"/>
          <w:szCs w:val="28"/>
        </w:rPr>
      </w:pPr>
      <w:r w:rsidRPr="002D45A7">
        <w:rPr>
          <w:rFonts w:cs="Arial"/>
          <w:b/>
          <w:color w:val="E36C0A" w:themeColor="accent6" w:themeShade="BF"/>
          <w:sz w:val="28"/>
          <w:szCs w:val="28"/>
        </w:rPr>
        <w:t>Next Steps for ESE</w:t>
      </w:r>
    </w:p>
    <w:p w14:paraId="4F078B50" w14:textId="77777777" w:rsidR="004816A9" w:rsidRPr="002D45A7" w:rsidRDefault="0000084A" w:rsidP="0067335D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 w:rsidRPr="002D45A7">
        <w:rPr>
          <w:rFonts w:eastAsiaTheme="majorEastAsia" w:cs="Arial"/>
          <w:bCs/>
          <w:sz w:val="24"/>
          <w:szCs w:val="24"/>
        </w:rPr>
        <w:t>M</w:t>
      </w:r>
      <w:r w:rsidR="00857607" w:rsidRPr="002D45A7">
        <w:rPr>
          <w:rFonts w:eastAsiaTheme="majorEastAsia" w:cs="Arial"/>
          <w:bCs/>
          <w:sz w:val="24"/>
          <w:szCs w:val="24"/>
        </w:rPr>
        <w:t xml:space="preserve">eet </w:t>
      </w:r>
      <w:r w:rsidRPr="002D45A7">
        <w:rPr>
          <w:rFonts w:eastAsiaTheme="majorEastAsia" w:cs="Arial"/>
          <w:bCs/>
          <w:sz w:val="24"/>
          <w:szCs w:val="24"/>
        </w:rPr>
        <w:t xml:space="preserve">regularly </w:t>
      </w:r>
      <w:r w:rsidR="00857607" w:rsidRPr="002D45A7">
        <w:rPr>
          <w:rFonts w:eastAsiaTheme="majorEastAsia" w:cs="Arial"/>
          <w:bCs/>
          <w:sz w:val="24"/>
          <w:szCs w:val="24"/>
        </w:rPr>
        <w:t xml:space="preserve">with diverse </w:t>
      </w:r>
      <w:r w:rsidRPr="002D45A7">
        <w:rPr>
          <w:rFonts w:eastAsiaTheme="majorEastAsia" w:cs="Arial"/>
          <w:bCs/>
          <w:sz w:val="24"/>
          <w:szCs w:val="24"/>
        </w:rPr>
        <w:t xml:space="preserve">stakeholders </w:t>
      </w:r>
      <w:r w:rsidR="00857607" w:rsidRPr="002D45A7">
        <w:rPr>
          <w:rFonts w:eastAsiaTheme="majorEastAsia" w:cs="Arial"/>
          <w:bCs/>
          <w:sz w:val="24"/>
          <w:szCs w:val="24"/>
        </w:rPr>
        <w:t xml:space="preserve">groups to </w:t>
      </w:r>
      <w:r w:rsidR="00857607" w:rsidRPr="002D45A7">
        <w:rPr>
          <w:rFonts w:eastAsiaTheme="majorEastAsia" w:cs="Arial"/>
          <w:b/>
          <w:bCs/>
          <w:sz w:val="24"/>
          <w:szCs w:val="24"/>
        </w:rPr>
        <w:t>provide updates and solicit feedback</w:t>
      </w:r>
    </w:p>
    <w:p w14:paraId="4F078B51" w14:textId="77777777" w:rsidR="008544F6" w:rsidRPr="002D45A7" w:rsidRDefault="002A286D" w:rsidP="00BC10C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>
        <w:rPr>
          <w:rFonts w:eastAsiaTheme="majorEastAsia" w:cs="Arial"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F078B5C" wp14:editId="4F078B5D">
            <wp:simplePos x="0" y="0"/>
            <wp:positionH relativeFrom="column">
              <wp:posOffset>3166110</wp:posOffset>
            </wp:positionH>
            <wp:positionV relativeFrom="paragraph">
              <wp:posOffset>41910</wp:posOffset>
            </wp:positionV>
            <wp:extent cx="3946525" cy="1913255"/>
            <wp:effectExtent l="19050" t="0" r="0" b="0"/>
            <wp:wrapTight wrapText="bothSides">
              <wp:wrapPolygon edited="0">
                <wp:start x="-104" y="0"/>
                <wp:lineTo x="-104" y="21292"/>
                <wp:lineTo x="21583" y="21292"/>
                <wp:lineTo x="21583" y="0"/>
                <wp:lineTo x="-104" y="0"/>
              </wp:wrapPolygon>
            </wp:wrapTight>
            <wp:docPr id="1" name="Picture 1" descr="Image of a chalkboard with the text:&#10;For more information: EducatorDevelopment@doe.mass.edu&#10;www.doe.mass.edu/educators/equitable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4F6" w:rsidRPr="002D45A7">
        <w:rPr>
          <w:rFonts w:eastAsiaTheme="majorEastAsia" w:cs="Arial"/>
          <w:bCs/>
          <w:sz w:val="24"/>
          <w:szCs w:val="24"/>
        </w:rPr>
        <w:t xml:space="preserve">Communicate strategies and resources included in the plan to </w:t>
      </w:r>
      <w:r w:rsidR="00857607" w:rsidRPr="002D45A7">
        <w:rPr>
          <w:rFonts w:eastAsiaTheme="majorEastAsia" w:cs="Arial"/>
          <w:bCs/>
          <w:sz w:val="24"/>
          <w:szCs w:val="24"/>
        </w:rPr>
        <w:t>ESE offices that directly support schools and districts</w:t>
      </w:r>
      <w:r w:rsidR="00226495" w:rsidRPr="002D45A7">
        <w:rPr>
          <w:rFonts w:eastAsiaTheme="majorEastAsia" w:cs="Arial"/>
          <w:bCs/>
          <w:sz w:val="24"/>
          <w:szCs w:val="24"/>
        </w:rPr>
        <w:t>, so</w:t>
      </w:r>
      <w:r w:rsidR="008544F6" w:rsidRPr="002D45A7">
        <w:rPr>
          <w:rFonts w:eastAsiaTheme="majorEastAsia" w:cs="Arial"/>
          <w:bCs/>
          <w:sz w:val="24"/>
          <w:szCs w:val="24"/>
        </w:rPr>
        <w:t xml:space="preserve"> they are prepared to </w:t>
      </w:r>
      <w:r w:rsidR="00857607" w:rsidRPr="002D45A7">
        <w:rPr>
          <w:rFonts w:eastAsiaTheme="majorEastAsia" w:cs="Arial"/>
          <w:b/>
          <w:bCs/>
          <w:sz w:val="24"/>
          <w:szCs w:val="24"/>
        </w:rPr>
        <w:t>help</w:t>
      </w:r>
      <w:r w:rsidR="008544F6" w:rsidRPr="002D45A7">
        <w:rPr>
          <w:rFonts w:eastAsiaTheme="majorEastAsia" w:cs="Arial"/>
          <w:b/>
          <w:bCs/>
          <w:sz w:val="24"/>
          <w:szCs w:val="24"/>
        </w:rPr>
        <w:t xml:space="preserve"> </w:t>
      </w:r>
      <w:r w:rsidR="00C738A4" w:rsidRPr="002D45A7">
        <w:rPr>
          <w:rFonts w:eastAsiaTheme="majorEastAsia" w:cs="Arial"/>
          <w:b/>
          <w:bCs/>
          <w:sz w:val="24"/>
          <w:szCs w:val="24"/>
        </w:rPr>
        <w:t>schools</w:t>
      </w:r>
      <w:r w:rsidR="008544F6" w:rsidRPr="002D45A7">
        <w:rPr>
          <w:rFonts w:eastAsiaTheme="majorEastAsia" w:cs="Arial"/>
          <w:b/>
          <w:bCs/>
          <w:sz w:val="24"/>
          <w:szCs w:val="24"/>
        </w:rPr>
        <w:t xml:space="preserve"> </w:t>
      </w:r>
      <w:r w:rsidR="00857607" w:rsidRPr="002D45A7">
        <w:rPr>
          <w:rFonts w:eastAsiaTheme="majorEastAsia" w:cs="Arial"/>
          <w:b/>
          <w:bCs/>
          <w:sz w:val="24"/>
          <w:szCs w:val="24"/>
        </w:rPr>
        <w:t>to close equity gaps</w:t>
      </w:r>
    </w:p>
    <w:p w14:paraId="4F078B52" w14:textId="77777777" w:rsidR="0067335D" w:rsidRPr="002D45A7" w:rsidRDefault="000F5D9C" w:rsidP="0067335D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4"/>
          <w:szCs w:val="24"/>
        </w:rPr>
      </w:pPr>
      <w:r w:rsidRPr="002D45A7">
        <w:rPr>
          <w:rFonts w:eastAsiaTheme="majorEastAsia" w:cs="Arial"/>
          <w:bCs/>
          <w:sz w:val="24"/>
          <w:szCs w:val="24"/>
        </w:rPr>
        <w:t>Pilot use of key strategies,</w:t>
      </w:r>
      <w:r w:rsidR="008544F6" w:rsidRPr="002D45A7">
        <w:rPr>
          <w:rFonts w:eastAsiaTheme="majorEastAsia" w:cs="Arial"/>
          <w:bCs/>
          <w:sz w:val="24"/>
          <w:szCs w:val="24"/>
        </w:rPr>
        <w:t xml:space="preserve"> and share outcomes with </w:t>
      </w:r>
      <w:r w:rsidR="00C738A4" w:rsidRPr="002D45A7">
        <w:rPr>
          <w:rFonts w:eastAsiaTheme="majorEastAsia" w:cs="Arial"/>
          <w:bCs/>
          <w:sz w:val="24"/>
          <w:szCs w:val="24"/>
        </w:rPr>
        <w:t>school and district</w:t>
      </w:r>
      <w:r w:rsidR="008544F6" w:rsidRPr="002D45A7">
        <w:rPr>
          <w:rFonts w:eastAsiaTheme="majorEastAsia" w:cs="Arial"/>
          <w:bCs/>
          <w:sz w:val="24"/>
          <w:szCs w:val="24"/>
        </w:rPr>
        <w:t xml:space="preserve"> leaders</w:t>
      </w:r>
    </w:p>
    <w:p w14:paraId="4F078B53" w14:textId="77777777" w:rsidR="00A30BFD" w:rsidRPr="002D45A7" w:rsidRDefault="0067335D" w:rsidP="00BC2A1D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 w:rsidRPr="002D45A7">
        <w:rPr>
          <w:rFonts w:eastAsiaTheme="majorEastAsia" w:cs="Arial"/>
          <w:bCs/>
          <w:sz w:val="24"/>
          <w:szCs w:val="24"/>
        </w:rPr>
        <w:t>Create webpage and Annual Report to share outcomes of strategies and changes to the plan</w:t>
      </w:r>
    </w:p>
    <w:sectPr w:rsidR="00A30BFD" w:rsidRPr="002D45A7" w:rsidSect="00841369">
      <w:headerReference w:type="default" r:id="rId20"/>
      <w:footerReference w:type="default" r:id="rId21"/>
      <w:pgSz w:w="12240" w:h="15840" w:code="1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8B60" w14:textId="77777777" w:rsidR="00F02D05" w:rsidRDefault="00F02D05" w:rsidP="002123C2">
      <w:pPr>
        <w:spacing w:after="0" w:line="240" w:lineRule="auto"/>
      </w:pPr>
      <w:r>
        <w:separator/>
      </w:r>
    </w:p>
  </w:endnote>
  <w:endnote w:type="continuationSeparator" w:id="0">
    <w:p w14:paraId="4F078B61" w14:textId="77777777" w:rsidR="00F02D05" w:rsidRDefault="00F02D05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4F078B64" w14:textId="06C5AEFA" w:rsidR="00F02D05" w:rsidRPr="00952DEA" w:rsidRDefault="004E458E" w:rsidP="00952DEA">
        <w:pPr>
          <w:spacing w:after="0" w:line="240" w:lineRule="auto"/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078B65" wp14:editId="1A2B360F">
                  <wp:simplePos x="0" y="0"/>
                  <wp:positionH relativeFrom="column">
                    <wp:posOffset>-640080</wp:posOffset>
                  </wp:positionH>
                  <wp:positionV relativeFrom="paragraph">
                    <wp:posOffset>-185420</wp:posOffset>
                  </wp:positionV>
                  <wp:extent cx="7764145" cy="212090"/>
                  <wp:effectExtent l="0" t="0" r="635" b="0"/>
                  <wp:wrapNone/>
                  <wp:docPr id="4" name="Text Box 1" descr="Blue 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4145" cy="2120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78B6F" w14:textId="77777777" w:rsidR="00F02D05" w:rsidRPr="00952DEA" w:rsidRDefault="00F02D05" w:rsidP="004A55A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078B6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alt="Blue line" style="position:absolute;margin-left:-50.4pt;margin-top:-14.6pt;width:611.3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" fillcolor="#c6d9f1 [671]" stroked="f">
                  <v:textbox>
                    <w:txbxContent>
                      <w:p w14:paraId="4F078B6F" w14:textId="77777777" w:rsidR="00F02D05" w:rsidRPr="00952DEA" w:rsidRDefault="00F02D05" w:rsidP="004A55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8B5E" w14:textId="77777777" w:rsidR="00F02D05" w:rsidRDefault="00F02D05" w:rsidP="002123C2">
      <w:pPr>
        <w:spacing w:after="0" w:line="240" w:lineRule="auto"/>
      </w:pPr>
      <w:r>
        <w:separator/>
      </w:r>
    </w:p>
  </w:footnote>
  <w:footnote w:type="continuationSeparator" w:id="0">
    <w:p w14:paraId="4F078B5F" w14:textId="77777777" w:rsidR="00F02D05" w:rsidRDefault="00F02D05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8B62" w14:textId="77777777" w:rsidR="00F02D05" w:rsidRPr="002D45A7" w:rsidRDefault="002D45A7" w:rsidP="002D45A7">
    <w:pPr>
      <w:pStyle w:val="Heading1"/>
      <w:tabs>
        <w:tab w:val="center" w:pos="5400"/>
        <w:tab w:val="left" w:pos="7875"/>
      </w:tabs>
      <w:spacing w:before="0" w:after="0"/>
      <w:rPr>
        <w:rFonts w:asciiTheme="minorHAnsi" w:hAnsiTheme="minorHAnsi"/>
        <w:sz w:val="20"/>
        <w:szCs w:val="20"/>
      </w:rPr>
    </w:pPr>
    <w:r w:rsidRPr="002D45A7">
      <w:rPr>
        <w:rFonts w:asciiTheme="minorHAnsi" w:hAnsiTheme="minorHAnsi"/>
        <w:noProof/>
      </w:rPr>
      <w:tab/>
    </w:r>
    <w:r w:rsidR="00A263F4">
      <w:rPr>
        <w:rFonts w:asciiTheme="minorHAnsi" w:hAnsiTheme="minorHAnsi"/>
        <w:noProof/>
      </w:rPr>
      <w:t>Teachers: Get to Know the MA Equity Plan</w:t>
    </w:r>
  </w:p>
  <w:p w14:paraId="4F078B63" w14:textId="77777777" w:rsidR="00F02D05" w:rsidRPr="00F71E79" w:rsidRDefault="00F02D05" w:rsidP="00F71E7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12A"/>
    <w:multiLevelType w:val="hybridMultilevel"/>
    <w:tmpl w:val="7BD2AD42"/>
    <w:lvl w:ilvl="0" w:tplc="5448D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F48"/>
    <w:multiLevelType w:val="hybridMultilevel"/>
    <w:tmpl w:val="440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753"/>
    <w:multiLevelType w:val="hybridMultilevel"/>
    <w:tmpl w:val="440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955"/>
    <w:multiLevelType w:val="hybridMultilevel"/>
    <w:tmpl w:val="CC986566"/>
    <w:lvl w:ilvl="0" w:tplc="689E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E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44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6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4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B1062"/>
    <w:multiLevelType w:val="hybridMultilevel"/>
    <w:tmpl w:val="7280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1382"/>
    <w:multiLevelType w:val="hybridMultilevel"/>
    <w:tmpl w:val="54A2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BB5"/>
    <w:multiLevelType w:val="hybridMultilevel"/>
    <w:tmpl w:val="BB32FC44"/>
    <w:lvl w:ilvl="0" w:tplc="D3F6086E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45D5"/>
    <w:multiLevelType w:val="hybridMultilevel"/>
    <w:tmpl w:val="65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F61E9"/>
    <w:multiLevelType w:val="hybridMultilevel"/>
    <w:tmpl w:val="030A0936"/>
    <w:lvl w:ilvl="0" w:tplc="D198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8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0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69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CA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2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276AA0"/>
    <w:multiLevelType w:val="hybridMultilevel"/>
    <w:tmpl w:val="B15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6E6"/>
    <w:multiLevelType w:val="hybridMultilevel"/>
    <w:tmpl w:val="AB9E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357D9"/>
    <w:multiLevelType w:val="hybridMultilevel"/>
    <w:tmpl w:val="C5EC843A"/>
    <w:lvl w:ilvl="0" w:tplc="31DC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8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6D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82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C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C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9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0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0B7B4E"/>
    <w:multiLevelType w:val="hybridMultilevel"/>
    <w:tmpl w:val="536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7FC48A9"/>
    <w:multiLevelType w:val="hybridMultilevel"/>
    <w:tmpl w:val="7AB047C6"/>
    <w:lvl w:ilvl="0" w:tplc="032C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08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A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8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24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AB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2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8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EC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A1423C8"/>
    <w:multiLevelType w:val="hybridMultilevel"/>
    <w:tmpl w:val="AFB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86C5D"/>
    <w:multiLevelType w:val="hybridMultilevel"/>
    <w:tmpl w:val="168ECBAC"/>
    <w:lvl w:ilvl="0" w:tplc="00A0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7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43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4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06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4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6D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4F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874FDE"/>
    <w:multiLevelType w:val="hybridMultilevel"/>
    <w:tmpl w:val="910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4D7B"/>
    <w:multiLevelType w:val="hybridMultilevel"/>
    <w:tmpl w:val="91AC0F18"/>
    <w:lvl w:ilvl="0" w:tplc="AF70F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2876CE"/>
    <w:multiLevelType w:val="hybridMultilevel"/>
    <w:tmpl w:val="D3EA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72C4A"/>
    <w:multiLevelType w:val="hybridMultilevel"/>
    <w:tmpl w:val="929C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0A37"/>
    <w:multiLevelType w:val="hybridMultilevel"/>
    <w:tmpl w:val="14463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7F367CAF"/>
    <w:multiLevelType w:val="hybridMultilevel"/>
    <w:tmpl w:val="4CEA1182"/>
    <w:lvl w:ilvl="0" w:tplc="00F03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A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8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A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82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09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2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19"/>
  </w:num>
  <w:num w:numId="5">
    <w:abstractNumId w:val="9"/>
  </w:num>
  <w:num w:numId="6">
    <w:abstractNumId w:val="16"/>
  </w:num>
  <w:num w:numId="7">
    <w:abstractNumId w:val="18"/>
  </w:num>
  <w:num w:numId="8">
    <w:abstractNumId w:val="17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12"/>
  </w:num>
  <w:num w:numId="15">
    <w:abstractNumId w:val="24"/>
  </w:num>
  <w:num w:numId="16">
    <w:abstractNumId w:val="27"/>
  </w:num>
  <w:num w:numId="17">
    <w:abstractNumId w:val="15"/>
  </w:num>
  <w:num w:numId="18">
    <w:abstractNumId w:val="22"/>
  </w:num>
  <w:num w:numId="19">
    <w:abstractNumId w:val="26"/>
  </w:num>
  <w:num w:numId="20">
    <w:abstractNumId w:val="25"/>
  </w:num>
  <w:num w:numId="21">
    <w:abstractNumId w:val="21"/>
  </w:num>
  <w:num w:numId="22">
    <w:abstractNumId w:val="14"/>
  </w:num>
  <w:num w:numId="23">
    <w:abstractNumId w:val="11"/>
  </w:num>
  <w:num w:numId="24">
    <w:abstractNumId w:val="23"/>
  </w:num>
  <w:num w:numId="25">
    <w:abstractNumId w:val="29"/>
  </w:num>
  <w:num w:numId="26">
    <w:abstractNumId w:val="3"/>
  </w:num>
  <w:num w:numId="27">
    <w:abstractNumId w:val="13"/>
  </w:num>
  <w:num w:numId="28">
    <w:abstractNumId w:val="28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f3f7f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C2"/>
    <w:rsid w:val="0000084A"/>
    <w:rsid w:val="0000606C"/>
    <w:rsid w:val="00006B02"/>
    <w:rsid w:val="000125F3"/>
    <w:rsid w:val="00012AAD"/>
    <w:rsid w:val="00015A31"/>
    <w:rsid w:val="0002190C"/>
    <w:rsid w:val="0002756C"/>
    <w:rsid w:val="00036717"/>
    <w:rsid w:val="00040D1A"/>
    <w:rsid w:val="00043D42"/>
    <w:rsid w:val="00053388"/>
    <w:rsid w:val="00056FFB"/>
    <w:rsid w:val="000604A1"/>
    <w:rsid w:val="00063580"/>
    <w:rsid w:val="0006418E"/>
    <w:rsid w:val="00065478"/>
    <w:rsid w:val="00067BEA"/>
    <w:rsid w:val="00076146"/>
    <w:rsid w:val="00076DD3"/>
    <w:rsid w:val="000808F3"/>
    <w:rsid w:val="0008207E"/>
    <w:rsid w:val="00083522"/>
    <w:rsid w:val="00084346"/>
    <w:rsid w:val="0008488A"/>
    <w:rsid w:val="00085D62"/>
    <w:rsid w:val="00086F4E"/>
    <w:rsid w:val="000A5D6C"/>
    <w:rsid w:val="000B1404"/>
    <w:rsid w:val="000B799A"/>
    <w:rsid w:val="000C0AC8"/>
    <w:rsid w:val="000D19E1"/>
    <w:rsid w:val="000D3FCB"/>
    <w:rsid w:val="000D4A78"/>
    <w:rsid w:val="000F31C3"/>
    <w:rsid w:val="000F5D9C"/>
    <w:rsid w:val="000F6D88"/>
    <w:rsid w:val="000F7E63"/>
    <w:rsid w:val="001049B7"/>
    <w:rsid w:val="00105139"/>
    <w:rsid w:val="001128DB"/>
    <w:rsid w:val="00117433"/>
    <w:rsid w:val="0012247C"/>
    <w:rsid w:val="001257AF"/>
    <w:rsid w:val="00143ED3"/>
    <w:rsid w:val="00155B64"/>
    <w:rsid w:val="001574D3"/>
    <w:rsid w:val="0016166F"/>
    <w:rsid w:val="00165B80"/>
    <w:rsid w:val="00166A92"/>
    <w:rsid w:val="00167137"/>
    <w:rsid w:val="00170435"/>
    <w:rsid w:val="00174313"/>
    <w:rsid w:val="00174E70"/>
    <w:rsid w:val="00181AC2"/>
    <w:rsid w:val="001860A8"/>
    <w:rsid w:val="00191665"/>
    <w:rsid w:val="001A3C32"/>
    <w:rsid w:val="001B111D"/>
    <w:rsid w:val="001B239F"/>
    <w:rsid w:val="001C0B2D"/>
    <w:rsid w:val="001C1C93"/>
    <w:rsid w:val="001C2F42"/>
    <w:rsid w:val="001D4FF2"/>
    <w:rsid w:val="001E09BE"/>
    <w:rsid w:val="001E312C"/>
    <w:rsid w:val="001E4A3B"/>
    <w:rsid w:val="001F0C9A"/>
    <w:rsid w:val="001F3001"/>
    <w:rsid w:val="001F3EC7"/>
    <w:rsid w:val="00200FAC"/>
    <w:rsid w:val="0020151F"/>
    <w:rsid w:val="002039AE"/>
    <w:rsid w:val="00206031"/>
    <w:rsid w:val="0020643D"/>
    <w:rsid w:val="002123C2"/>
    <w:rsid w:val="00214510"/>
    <w:rsid w:val="002146C9"/>
    <w:rsid w:val="002165B5"/>
    <w:rsid w:val="002259FC"/>
    <w:rsid w:val="00226495"/>
    <w:rsid w:val="00231D56"/>
    <w:rsid w:val="00231DDF"/>
    <w:rsid w:val="00243065"/>
    <w:rsid w:val="0024610A"/>
    <w:rsid w:val="002636CA"/>
    <w:rsid w:val="002677CD"/>
    <w:rsid w:val="00267B36"/>
    <w:rsid w:val="00270A58"/>
    <w:rsid w:val="0027147A"/>
    <w:rsid w:val="00274744"/>
    <w:rsid w:val="0028002C"/>
    <w:rsid w:val="00290BF6"/>
    <w:rsid w:val="00294558"/>
    <w:rsid w:val="002A0D06"/>
    <w:rsid w:val="002A286D"/>
    <w:rsid w:val="002A3C59"/>
    <w:rsid w:val="002B087C"/>
    <w:rsid w:val="002C1B71"/>
    <w:rsid w:val="002D39D2"/>
    <w:rsid w:val="002D45A7"/>
    <w:rsid w:val="002E3C86"/>
    <w:rsid w:val="002E6CE8"/>
    <w:rsid w:val="002F26AA"/>
    <w:rsid w:val="002F7031"/>
    <w:rsid w:val="00301353"/>
    <w:rsid w:val="00305DB7"/>
    <w:rsid w:val="003102F2"/>
    <w:rsid w:val="003120D3"/>
    <w:rsid w:val="00324A40"/>
    <w:rsid w:val="003250D3"/>
    <w:rsid w:val="0032571E"/>
    <w:rsid w:val="0033533C"/>
    <w:rsid w:val="003366D4"/>
    <w:rsid w:val="0034241C"/>
    <w:rsid w:val="00342FD0"/>
    <w:rsid w:val="003500AC"/>
    <w:rsid w:val="00350577"/>
    <w:rsid w:val="00356028"/>
    <w:rsid w:val="00377E65"/>
    <w:rsid w:val="003802BD"/>
    <w:rsid w:val="00382625"/>
    <w:rsid w:val="003A121B"/>
    <w:rsid w:val="003A4FB0"/>
    <w:rsid w:val="003A6BCA"/>
    <w:rsid w:val="003A7D39"/>
    <w:rsid w:val="003B2F2B"/>
    <w:rsid w:val="003B31B0"/>
    <w:rsid w:val="003B5D1E"/>
    <w:rsid w:val="003C5493"/>
    <w:rsid w:val="003D31F2"/>
    <w:rsid w:val="003E389B"/>
    <w:rsid w:val="003E58B7"/>
    <w:rsid w:val="003F156C"/>
    <w:rsid w:val="003F66FA"/>
    <w:rsid w:val="003F6F0B"/>
    <w:rsid w:val="004019BB"/>
    <w:rsid w:val="00407BE0"/>
    <w:rsid w:val="0042470F"/>
    <w:rsid w:val="00426E2E"/>
    <w:rsid w:val="004305CE"/>
    <w:rsid w:val="0043728A"/>
    <w:rsid w:val="004558A7"/>
    <w:rsid w:val="00477D32"/>
    <w:rsid w:val="004816A9"/>
    <w:rsid w:val="00482610"/>
    <w:rsid w:val="00483BC5"/>
    <w:rsid w:val="004845B4"/>
    <w:rsid w:val="00485676"/>
    <w:rsid w:val="00494F18"/>
    <w:rsid w:val="00495012"/>
    <w:rsid w:val="004967FF"/>
    <w:rsid w:val="004A22BC"/>
    <w:rsid w:val="004A4AB3"/>
    <w:rsid w:val="004A55AF"/>
    <w:rsid w:val="004B10BF"/>
    <w:rsid w:val="004B19D8"/>
    <w:rsid w:val="004B6498"/>
    <w:rsid w:val="004C7584"/>
    <w:rsid w:val="004C7ED5"/>
    <w:rsid w:val="004D43E5"/>
    <w:rsid w:val="004E1065"/>
    <w:rsid w:val="004E2D0E"/>
    <w:rsid w:val="004E458E"/>
    <w:rsid w:val="004F1DE2"/>
    <w:rsid w:val="004F29A0"/>
    <w:rsid w:val="004F7284"/>
    <w:rsid w:val="00511F7E"/>
    <w:rsid w:val="005206E9"/>
    <w:rsid w:val="00532791"/>
    <w:rsid w:val="00532D81"/>
    <w:rsid w:val="00533551"/>
    <w:rsid w:val="00537AC3"/>
    <w:rsid w:val="00544235"/>
    <w:rsid w:val="00545F57"/>
    <w:rsid w:val="00546B72"/>
    <w:rsid w:val="00547FDF"/>
    <w:rsid w:val="00550FC8"/>
    <w:rsid w:val="00555745"/>
    <w:rsid w:val="00564973"/>
    <w:rsid w:val="00581514"/>
    <w:rsid w:val="00581D3B"/>
    <w:rsid w:val="005857BC"/>
    <w:rsid w:val="00592B55"/>
    <w:rsid w:val="005938CA"/>
    <w:rsid w:val="005A1932"/>
    <w:rsid w:val="005B7E59"/>
    <w:rsid w:val="005C6C1D"/>
    <w:rsid w:val="005C7D9C"/>
    <w:rsid w:val="005D29B4"/>
    <w:rsid w:val="005D61EF"/>
    <w:rsid w:val="00601532"/>
    <w:rsid w:val="00605784"/>
    <w:rsid w:val="00610E9A"/>
    <w:rsid w:val="00611C41"/>
    <w:rsid w:val="00615ED8"/>
    <w:rsid w:val="00621434"/>
    <w:rsid w:val="00623E03"/>
    <w:rsid w:val="00631AA7"/>
    <w:rsid w:val="0063603F"/>
    <w:rsid w:val="00643D1F"/>
    <w:rsid w:val="00644B24"/>
    <w:rsid w:val="0067240D"/>
    <w:rsid w:val="0067335D"/>
    <w:rsid w:val="006819E3"/>
    <w:rsid w:val="00683B71"/>
    <w:rsid w:val="0068601C"/>
    <w:rsid w:val="006974B3"/>
    <w:rsid w:val="00697710"/>
    <w:rsid w:val="006B1C8F"/>
    <w:rsid w:val="006C2022"/>
    <w:rsid w:val="006C7F29"/>
    <w:rsid w:val="006D5258"/>
    <w:rsid w:val="006E127E"/>
    <w:rsid w:val="006E13B5"/>
    <w:rsid w:val="006E781A"/>
    <w:rsid w:val="006F2014"/>
    <w:rsid w:val="006F43F0"/>
    <w:rsid w:val="006F7A4C"/>
    <w:rsid w:val="007338F6"/>
    <w:rsid w:val="00737B4D"/>
    <w:rsid w:val="00740971"/>
    <w:rsid w:val="00743F65"/>
    <w:rsid w:val="00744CE8"/>
    <w:rsid w:val="007470EB"/>
    <w:rsid w:val="00747AF9"/>
    <w:rsid w:val="00747FF1"/>
    <w:rsid w:val="00750C74"/>
    <w:rsid w:val="00754E95"/>
    <w:rsid w:val="00774EB2"/>
    <w:rsid w:val="00783E7A"/>
    <w:rsid w:val="007856AB"/>
    <w:rsid w:val="007858F8"/>
    <w:rsid w:val="00791FD6"/>
    <w:rsid w:val="007944D2"/>
    <w:rsid w:val="00795AB9"/>
    <w:rsid w:val="007A5A1E"/>
    <w:rsid w:val="007B2E02"/>
    <w:rsid w:val="007B48A1"/>
    <w:rsid w:val="007C3806"/>
    <w:rsid w:val="007D0D5B"/>
    <w:rsid w:val="007D62D3"/>
    <w:rsid w:val="007E217F"/>
    <w:rsid w:val="007E638A"/>
    <w:rsid w:val="007E6990"/>
    <w:rsid w:val="00803F2B"/>
    <w:rsid w:val="00806391"/>
    <w:rsid w:val="008135CE"/>
    <w:rsid w:val="00814B0B"/>
    <w:rsid w:val="00815EF4"/>
    <w:rsid w:val="00822312"/>
    <w:rsid w:val="008231A8"/>
    <w:rsid w:val="0082515C"/>
    <w:rsid w:val="00833E89"/>
    <w:rsid w:val="00833F0F"/>
    <w:rsid w:val="00834CE6"/>
    <w:rsid w:val="008378E2"/>
    <w:rsid w:val="00841369"/>
    <w:rsid w:val="008414AC"/>
    <w:rsid w:val="00844745"/>
    <w:rsid w:val="00845120"/>
    <w:rsid w:val="008530BF"/>
    <w:rsid w:val="008544F6"/>
    <w:rsid w:val="00857607"/>
    <w:rsid w:val="008625FC"/>
    <w:rsid w:val="00867377"/>
    <w:rsid w:val="00870AAA"/>
    <w:rsid w:val="00873CCA"/>
    <w:rsid w:val="00880A7D"/>
    <w:rsid w:val="00881193"/>
    <w:rsid w:val="00883038"/>
    <w:rsid w:val="00885253"/>
    <w:rsid w:val="00886DFB"/>
    <w:rsid w:val="00896C0D"/>
    <w:rsid w:val="008A197C"/>
    <w:rsid w:val="008B19DD"/>
    <w:rsid w:val="008B63C8"/>
    <w:rsid w:val="008C0CF9"/>
    <w:rsid w:val="008C0F0D"/>
    <w:rsid w:val="008C79BC"/>
    <w:rsid w:val="008D1003"/>
    <w:rsid w:val="008D36A3"/>
    <w:rsid w:val="008E0E2F"/>
    <w:rsid w:val="008E5152"/>
    <w:rsid w:val="008F3BB4"/>
    <w:rsid w:val="008F5E0F"/>
    <w:rsid w:val="008F7C6F"/>
    <w:rsid w:val="00900741"/>
    <w:rsid w:val="00903340"/>
    <w:rsid w:val="009147F9"/>
    <w:rsid w:val="00930339"/>
    <w:rsid w:val="009363EF"/>
    <w:rsid w:val="009407C8"/>
    <w:rsid w:val="009421C4"/>
    <w:rsid w:val="00951A3A"/>
    <w:rsid w:val="00952DEA"/>
    <w:rsid w:val="00953570"/>
    <w:rsid w:val="009545EC"/>
    <w:rsid w:val="00956109"/>
    <w:rsid w:val="0095611B"/>
    <w:rsid w:val="00956237"/>
    <w:rsid w:val="0096030C"/>
    <w:rsid w:val="00962643"/>
    <w:rsid w:val="00964B06"/>
    <w:rsid w:val="00966D4C"/>
    <w:rsid w:val="00971A94"/>
    <w:rsid w:val="0097445C"/>
    <w:rsid w:val="009837D6"/>
    <w:rsid w:val="00984A11"/>
    <w:rsid w:val="00990261"/>
    <w:rsid w:val="0099059B"/>
    <w:rsid w:val="00992EF7"/>
    <w:rsid w:val="00993C66"/>
    <w:rsid w:val="0099504F"/>
    <w:rsid w:val="009A0CB7"/>
    <w:rsid w:val="009B741F"/>
    <w:rsid w:val="009C1CC3"/>
    <w:rsid w:val="009C3CEB"/>
    <w:rsid w:val="009D5F80"/>
    <w:rsid w:val="009E12D1"/>
    <w:rsid w:val="009E493C"/>
    <w:rsid w:val="009E540B"/>
    <w:rsid w:val="009F18BA"/>
    <w:rsid w:val="009F29B9"/>
    <w:rsid w:val="009F4B90"/>
    <w:rsid w:val="00A02381"/>
    <w:rsid w:val="00A135A8"/>
    <w:rsid w:val="00A16A10"/>
    <w:rsid w:val="00A204F3"/>
    <w:rsid w:val="00A225A7"/>
    <w:rsid w:val="00A263F4"/>
    <w:rsid w:val="00A30BFD"/>
    <w:rsid w:val="00A362B4"/>
    <w:rsid w:val="00A36670"/>
    <w:rsid w:val="00A366EB"/>
    <w:rsid w:val="00A428CB"/>
    <w:rsid w:val="00A50D93"/>
    <w:rsid w:val="00A55F37"/>
    <w:rsid w:val="00A66CB1"/>
    <w:rsid w:val="00A67F40"/>
    <w:rsid w:val="00A80564"/>
    <w:rsid w:val="00A81C25"/>
    <w:rsid w:val="00A92E9E"/>
    <w:rsid w:val="00A94E43"/>
    <w:rsid w:val="00AA3932"/>
    <w:rsid w:val="00AA4F8D"/>
    <w:rsid w:val="00AB05E3"/>
    <w:rsid w:val="00AB254B"/>
    <w:rsid w:val="00AD410A"/>
    <w:rsid w:val="00AD49C1"/>
    <w:rsid w:val="00AE756A"/>
    <w:rsid w:val="00AF11A7"/>
    <w:rsid w:val="00AF5F28"/>
    <w:rsid w:val="00B01C5D"/>
    <w:rsid w:val="00B071F6"/>
    <w:rsid w:val="00B14A57"/>
    <w:rsid w:val="00B17F4A"/>
    <w:rsid w:val="00B230DE"/>
    <w:rsid w:val="00B23990"/>
    <w:rsid w:val="00B25ACA"/>
    <w:rsid w:val="00B3218F"/>
    <w:rsid w:val="00B40191"/>
    <w:rsid w:val="00B43AE0"/>
    <w:rsid w:val="00B4475A"/>
    <w:rsid w:val="00B5196C"/>
    <w:rsid w:val="00B554F9"/>
    <w:rsid w:val="00B5641C"/>
    <w:rsid w:val="00B714E2"/>
    <w:rsid w:val="00B73CEB"/>
    <w:rsid w:val="00B7445A"/>
    <w:rsid w:val="00B7702D"/>
    <w:rsid w:val="00B77C97"/>
    <w:rsid w:val="00B96B60"/>
    <w:rsid w:val="00BA29B9"/>
    <w:rsid w:val="00BA3188"/>
    <w:rsid w:val="00BA5EA3"/>
    <w:rsid w:val="00BA76DA"/>
    <w:rsid w:val="00BB2195"/>
    <w:rsid w:val="00BB21A0"/>
    <w:rsid w:val="00BB23A4"/>
    <w:rsid w:val="00BB6A50"/>
    <w:rsid w:val="00BC10C6"/>
    <w:rsid w:val="00BC2A1D"/>
    <w:rsid w:val="00BD0357"/>
    <w:rsid w:val="00BE19C3"/>
    <w:rsid w:val="00BE26C7"/>
    <w:rsid w:val="00BF02BE"/>
    <w:rsid w:val="00BF2AFB"/>
    <w:rsid w:val="00BF4166"/>
    <w:rsid w:val="00C11075"/>
    <w:rsid w:val="00C117FB"/>
    <w:rsid w:val="00C11999"/>
    <w:rsid w:val="00C12A1C"/>
    <w:rsid w:val="00C22057"/>
    <w:rsid w:val="00C26AE4"/>
    <w:rsid w:val="00C31011"/>
    <w:rsid w:val="00C42D44"/>
    <w:rsid w:val="00C44FC1"/>
    <w:rsid w:val="00C5082E"/>
    <w:rsid w:val="00C55996"/>
    <w:rsid w:val="00C56E6F"/>
    <w:rsid w:val="00C738A4"/>
    <w:rsid w:val="00C75326"/>
    <w:rsid w:val="00C80D4D"/>
    <w:rsid w:val="00C835D4"/>
    <w:rsid w:val="00C83AE6"/>
    <w:rsid w:val="00C86F58"/>
    <w:rsid w:val="00C944A9"/>
    <w:rsid w:val="00CA4D14"/>
    <w:rsid w:val="00CA6580"/>
    <w:rsid w:val="00CA683B"/>
    <w:rsid w:val="00CA6DE6"/>
    <w:rsid w:val="00CB0BCB"/>
    <w:rsid w:val="00CB2B87"/>
    <w:rsid w:val="00CB636F"/>
    <w:rsid w:val="00CC71BF"/>
    <w:rsid w:val="00CC7E1A"/>
    <w:rsid w:val="00CD02B6"/>
    <w:rsid w:val="00CD216B"/>
    <w:rsid w:val="00CD32F7"/>
    <w:rsid w:val="00CE405C"/>
    <w:rsid w:val="00CE60EE"/>
    <w:rsid w:val="00CE6144"/>
    <w:rsid w:val="00CE69D9"/>
    <w:rsid w:val="00CF0B56"/>
    <w:rsid w:val="00CF274C"/>
    <w:rsid w:val="00CF2941"/>
    <w:rsid w:val="00CF48CE"/>
    <w:rsid w:val="00CF4C60"/>
    <w:rsid w:val="00CF5678"/>
    <w:rsid w:val="00D03398"/>
    <w:rsid w:val="00D04A5C"/>
    <w:rsid w:val="00D0630D"/>
    <w:rsid w:val="00D06D22"/>
    <w:rsid w:val="00D130A8"/>
    <w:rsid w:val="00D13471"/>
    <w:rsid w:val="00D20433"/>
    <w:rsid w:val="00D21B28"/>
    <w:rsid w:val="00D22302"/>
    <w:rsid w:val="00D225D4"/>
    <w:rsid w:val="00D22A62"/>
    <w:rsid w:val="00D27070"/>
    <w:rsid w:val="00D279FB"/>
    <w:rsid w:val="00D44F6C"/>
    <w:rsid w:val="00D46084"/>
    <w:rsid w:val="00D54287"/>
    <w:rsid w:val="00D61D57"/>
    <w:rsid w:val="00D659A6"/>
    <w:rsid w:val="00D707F8"/>
    <w:rsid w:val="00D76F51"/>
    <w:rsid w:val="00D814E7"/>
    <w:rsid w:val="00D85AE9"/>
    <w:rsid w:val="00D86719"/>
    <w:rsid w:val="00D977DF"/>
    <w:rsid w:val="00DA4272"/>
    <w:rsid w:val="00DA670D"/>
    <w:rsid w:val="00DA6FC1"/>
    <w:rsid w:val="00DB72D3"/>
    <w:rsid w:val="00DC58EF"/>
    <w:rsid w:val="00DC63FB"/>
    <w:rsid w:val="00DD1CB5"/>
    <w:rsid w:val="00DD5E81"/>
    <w:rsid w:val="00DD7467"/>
    <w:rsid w:val="00DE1F71"/>
    <w:rsid w:val="00DE2279"/>
    <w:rsid w:val="00DE35E2"/>
    <w:rsid w:val="00DF551B"/>
    <w:rsid w:val="00E02D14"/>
    <w:rsid w:val="00E06C40"/>
    <w:rsid w:val="00E122E4"/>
    <w:rsid w:val="00E16EF3"/>
    <w:rsid w:val="00E26698"/>
    <w:rsid w:val="00E4096A"/>
    <w:rsid w:val="00E50259"/>
    <w:rsid w:val="00E66518"/>
    <w:rsid w:val="00E674BE"/>
    <w:rsid w:val="00E70C1D"/>
    <w:rsid w:val="00E73A35"/>
    <w:rsid w:val="00E768BF"/>
    <w:rsid w:val="00E77C4A"/>
    <w:rsid w:val="00E80178"/>
    <w:rsid w:val="00E95C8B"/>
    <w:rsid w:val="00E97976"/>
    <w:rsid w:val="00EB3A99"/>
    <w:rsid w:val="00EC05B7"/>
    <w:rsid w:val="00EC342F"/>
    <w:rsid w:val="00EC794E"/>
    <w:rsid w:val="00ED00FB"/>
    <w:rsid w:val="00EE339F"/>
    <w:rsid w:val="00EF11BB"/>
    <w:rsid w:val="00EF34F5"/>
    <w:rsid w:val="00EF4E18"/>
    <w:rsid w:val="00EF56DE"/>
    <w:rsid w:val="00EF5F4E"/>
    <w:rsid w:val="00F02D05"/>
    <w:rsid w:val="00F114D6"/>
    <w:rsid w:val="00F1534A"/>
    <w:rsid w:val="00F2142A"/>
    <w:rsid w:val="00F2593C"/>
    <w:rsid w:val="00F2754F"/>
    <w:rsid w:val="00F426BF"/>
    <w:rsid w:val="00F65083"/>
    <w:rsid w:val="00F71E79"/>
    <w:rsid w:val="00F73465"/>
    <w:rsid w:val="00F73915"/>
    <w:rsid w:val="00F76954"/>
    <w:rsid w:val="00F95AB8"/>
    <w:rsid w:val="00FA2E43"/>
    <w:rsid w:val="00FB0D62"/>
    <w:rsid w:val="00FB431C"/>
    <w:rsid w:val="00FB5CAB"/>
    <w:rsid w:val="00FC5A9C"/>
    <w:rsid w:val="00FD50C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3f7fb"/>
    </o:shapedefaults>
    <o:shapelayout v:ext="edit">
      <o:idmap v:ext="edit" data="1"/>
    </o:shapelayout>
  </w:shapeDefaults>
  <w:decimalSymbol w:val="."/>
  <w:listSeparator w:val=","/>
  <w14:docId w14:val="4F078B1F"/>
  <w15:docId w15:val="{6F3BF651-51CA-44E4-9B2D-8D50F68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A428CB"/>
    <w:pPr>
      <w:spacing w:before="1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8CB"/>
    <w:rPr>
      <w:rFonts w:ascii="Times New Roman" w:eastAsia="Times New Roman" w:hAnsi="Times New Roman" w:cs="Times New Roman"/>
      <w:sz w:val="20"/>
      <w:szCs w:val="20"/>
    </w:rPr>
  </w:style>
  <w:style w:type="table" w:styleId="LightList-Accent6">
    <w:name w:val="Light List Accent 6"/>
    <w:basedOn w:val="TableNormal"/>
    <w:uiPriority w:val="61"/>
    <w:rsid w:val="00A42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21B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21B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61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0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educatordevelopment@doe.mass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oe.mass.edu/edeffectiveness/equitableaccess/plan/pl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equitableaccess/plan/pla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edeval/guidebook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fss/mt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DESE-231-19482</_dlc_DocId>
    <_dlc_DocIdUrl xmlns="733efe1c-5bbe-4968-87dc-d400e65c879f">
      <Url>https://sharepoint.doemass.org/ese/webteam/cps/_layouts/DocIdRedir.aspx?ID=DESE-231-19482</Url>
      <Description>DESE-231-19482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4D55-1515-46D4-8CFE-4A1AA66B30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BE6263-C4E2-4A3E-BFFD-1AC7CB94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BF567-1B7C-41FD-B44F-CAC1D7B13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F7A88-995E-458B-86C7-24A7945D8835}">
  <ds:schemaRefs>
    <ds:schemaRef ds:uri="http://schemas.openxmlformats.org/package/2006/metadata/core-properties"/>
    <ds:schemaRef ds:uri="733efe1c-5bbe-4968-87dc-d400e65c879f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0a4e05da-b9bc-4326-ad73-01ef31b9556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D41790C-D7C4-4858-B8CC-BC8E3AFC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One-pager: Equity Plan for teachers</vt:lpstr>
    </vt:vector>
  </TitlesOfParts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One-pager: Equity Plan for Teachers</dc:title>
  <dc:creator>ESE</dc:creator>
  <cp:lastModifiedBy>Zou, Dong (EOE)</cp:lastModifiedBy>
  <cp:revision>3</cp:revision>
  <cp:lastPrinted>2015-08-03T15:03:00Z</cp:lastPrinted>
  <dcterms:created xsi:type="dcterms:W3CDTF">2015-09-22T21:25:00Z</dcterms:created>
  <dcterms:modified xsi:type="dcterms:W3CDTF">2020-06-09T20:51:00Z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2015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b171df03-d02b-4047-8ccd-62596b180a80</vt:lpwstr>
  </property>
</Properties>
</file>