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2D33" w14:textId="77777777" w:rsidR="00127877" w:rsidRPr="00C063A0" w:rsidRDefault="00127877" w:rsidP="00127877">
      <w:pPr>
        <w:pStyle w:val="Heading2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District Equity Templates: Monitoring progress</w:t>
      </w:r>
    </w:p>
    <w:p w14:paraId="1E3EA97F" w14:textId="22A4148A" w:rsidR="00127877" w:rsidRDefault="00127877" w:rsidP="00DC0F89">
      <w:pPr>
        <w:jc w:val="center"/>
      </w:pPr>
      <w:r>
        <w:t xml:space="preserve">For additional guidance, see the </w:t>
      </w:r>
      <w:hyperlink r:id="rId11" w:history="1">
        <w:r w:rsidRPr="00D0735D">
          <w:rPr>
            <w:rStyle w:val="Hyperlink"/>
          </w:rPr>
          <w:t>Equity Roadmap</w:t>
        </w:r>
      </w:hyperlink>
      <w:r>
        <w:t xml:space="preserve"> and additional District Equity Templates </w:t>
      </w:r>
    </w:p>
    <w:p w14:paraId="17D2411C" w14:textId="42145941" w:rsidR="00065558" w:rsidRDefault="00C56FDB" w:rsidP="00065558">
      <w:pPr>
        <w:spacing w:after="0" w:line="240" w:lineRule="auto"/>
        <w:contextualSpacing/>
      </w:pPr>
      <w:r w:rsidRPr="007C5405">
        <w:t>Planning for effective strategy implementation includes identification of progress metrics, a projected trajectory of those metrics, and plans for quantitat</w:t>
      </w:r>
      <w:r w:rsidR="00FC3043">
        <w:t>ive and qualitative monitoring.</w:t>
      </w:r>
      <w:r w:rsidR="00065558">
        <w:t xml:space="preserve"> </w:t>
      </w:r>
      <w:r w:rsidRPr="00FC3043">
        <w:rPr>
          <w:b/>
        </w:rPr>
        <w:t xml:space="preserve">For each strategy </w:t>
      </w:r>
      <w:r w:rsidR="00766E99" w:rsidRPr="00FC3043">
        <w:rPr>
          <w:b/>
        </w:rPr>
        <w:t xml:space="preserve">described in your </w:t>
      </w:r>
      <w:hyperlink r:id="rId12" w:history="1">
        <w:r w:rsidR="00766E99" w:rsidRPr="00B45E8D">
          <w:rPr>
            <w:rStyle w:val="Hyperlink"/>
            <w:b/>
          </w:rPr>
          <w:t>strategy profiles</w:t>
        </w:r>
      </w:hyperlink>
      <w:bookmarkStart w:id="0" w:name="_GoBack"/>
      <w:bookmarkEnd w:id="0"/>
      <w:r w:rsidR="00766E99">
        <w:t xml:space="preserve">, </w:t>
      </w:r>
      <w:r w:rsidRPr="007C5405">
        <w:t>provide the following information.</w:t>
      </w:r>
    </w:p>
    <w:p w14:paraId="617DF346" w14:textId="7B57EB87" w:rsidR="00065558" w:rsidRDefault="00065558" w:rsidP="00065558">
      <w:pPr>
        <w:spacing w:after="0" w:line="240" w:lineRule="auto"/>
        <w:contextualSpacing/>
      </w:pPr>
    </w:p>
    <w:p w14:paraId="01207B23" w14:textId="2FAAE3C7" w:rsidR="00C56FDB" w:rsidRDefault="00C56FDB" w:rsidP="00065558">
      <w:pPr>
        <w:spacing w:after="0" w:line="240" w:lineRule="auto"/>
        <w:contextualSpacing/>
      </w:pPr>
      <w:r w:rsidRPr="007C5405">
        <w:t xml:space="preserve"> </w:t>
      </w:r>
      <w:r w:rsidRPr="007C5405">
        <w:rPr>
          <w:b/>
        </w:rPr>
        <w:t xml:space="preserve">Note: </w:t>
      </w:r>
      <w:r w:rsidRPr="007C5405">
        <w:t xml:space="preserve"> Milestones such as “First working group meeting” </w:t>
      </w:r>
      <w:r w:rsidR="00FC3043">
        <w:t xml:space="preserve">are points in a strategy timeline, but </w:t>
      </w:r>
      <w:r w:rsidR="00FC3043">
        <w:rPr>
          <w:i/>
        </w:rPr>
        <w:t>not</w:t>
      </w:r>
      <w:r w:rsidR="00FC3043">
        <w:t xml:space="preserve"> progress metrics.</w:t>
      </w:r>
      <w:r w:rsidR="00065558">
        <w:t xml:space="preserve"> Projected progress metrics </w:t>
      </w:r>
      <w:r w:rsidR="00DC0F89">
        <w:t xml:space="preserve">may </w:t>
      </w:r>
      <w:r w:rsidR="00065558">
        <w:t>include:</w:t>
      </w:r>
    </w:p>
    <w:p w14:paraId="34FA5B23" w14:textId="4362B189" w:rsidR="00065558" w:rsidRDefault="00DC0F89" w:rsidP="00065558">
      <w:pPr>
        <w:pStyle w:val="ListParagraph"/>
        <w:numPr>
          <w:ilvl w:val="0"/>
          <w:numId w:val="1"/>
        </w:numPr>
        <w:spacing w:after="0" w:line="240" w:lineRule="auto"/>
      </w:pPr>
      <w:r>
        <w:t>By month X, we will retain 90 percent</w:t>
      </w:r>
      <w:r w:rsidR="00065558">
        <w:t xml:space="preserve"> of E/P rated teachers in our Level 3 and 4 schools</w:t>
      </w:r>
    </w:p>
    <w:p w14:paraId="645CBD3C" w14:textId="085C774D" w:rsidR="00065558" w:rsidRDefault="00065558" w:rsidP="00DC0F8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By the end of school year Y, 100 percent of teachers will participate </w:t>
      </w:r>
      <w:r w:rsidR="005E3FE6">
        <w:t xml:space="preserve">in training on </w:t>
      </w:r>
      <w:hyperlink r:id="rId13" w:history="1">
        <w:r w:rsidR="00DC0F89">
          <w:rPr>
            <w:rStyle w:val="Hyperlink"/>
          </w:rPr>
          <w:t>best practices for inclusion</w:t>
        </w:r>
      </w:hyperlink>
      <w:r>
        <w:t>, and have been obs</w:t>
      </w:r>
      <w:r w:rsidR="005E3FE6">
        <w:t>erved by administrators using</w:t>
      </w:r>
      <w:r w:rsidR="00DC0F89">
        <w:t xml:space="preserve"> </w:t>
      </w:r>
      <w:hyperlink r:id="rId14" w:history="1">
        <w:r w:rsidR="00DC0F89">
          <w:rPr>
            <w:rStyle w:val="Hyperlink"/>
          </w:rPr>
          <w:t>inclusive practices observation tools</w:t>
        </w:r>
      </w:hyperlink>
    </w:p>
    <w:p w14:paraId="7E860BA9" w14:textId="2974D7A3" w:rsidR="005E3FE6" w:rsidRPr="00FC3043" w:rsidRDefault="00DC0F89" w:rsidP="00065558">
      <w:pPr>
        <w:pStyle w:val="ListParagraph"/>
        <w:numPr>
          <w:ilvl w:val="0"/>
          <w:numId w:val="1"/>
        </w:numPr>
        <w:spacing w:after="0" w:line="240" w:lineRule="auto"/>
      </w:pPr>
      <w:r>
        <w:t>By the end of school year Z, we will have increased by 75 percent the proportion of teachers in inclusion classrooms who are rated E/P in Standard II</w:t>
      </w:r>
    </w:p>
    <w:p w14:paraId="3E97F22C" w14:textId="02813E3E" w:rsidR="00C56FDB" w:rsidRDefault="00065558" w:rsidP="00C56FDB">
      <w:r w:rsidRPr="00FC3043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C30A0" wp14:editId="5390A0B8">
                <wp:simplePos x="0" y="0"/>
                <wp:positionH relativeFrom="column">
                  <wp:posOffset>-180975</wp:posOffset>
                </wp:positionH>
                <wp:positionV relativeFrom="paragraph">
                  <wp:posOffset>71120</wp:posOffset>
                </wp:positionV>
                <wp:extent cx="7042150" cy="2752725"/>
                <wp:effectExtent l="0" t="0" r="25400" b="28575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275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5CFBAB" w14:textId="73980A08" w:rsidR="00C56FDB" w:rsidRPr="00FF40A4" w:rsidRDefault="00C56FDB" w:rsidP="00C56FDB">
                            <w:pPr>
                              <w:spacing w:line="240" w:lineRule="auto"/>
                              <w:contextualSpacing/>
                            </w:pPr>
                            <w:r w:rsidRPr="00FF40A4">
                              <w:rPr>
                                <w:b/>
                                <w:color w:val="5B9BD5" w:themeColor="accent1"/>
                              </w:rPr>
                              <w:t xml:space="preserve">Example cases: </w:t>
                            </w:r>
                            <w:r w:rsidRPr="00FF40A4">
                              <w:t xml:space="preserve">District C chose to focus on earlier and prioritized hiring in targeted schools. The district </w:t>
                            </w:r>
                            <w:r w:rsidR="0026546D" w:rsidRPr="00FF40A4">
                              <w:t xml:space="preserve">could </w:t>
                            </w:r>
                            <w:r w:rsidRPr="00FF40A4">
                              <w:t>monitor its short-term progress by the proportion of teachers hired by certain dates in each school. As longer-term metrics, the district may compare the ratings of these new hires in their first few years, and the rates of student assignment to higher rated teachers.</w:t>
                            </w:r>
                          </w:p>
                          <w:p w14:paraId="662F8FA2" w14:textId="77777777" w:rsidR="00C56FDB" w:rsidRPr="00FF40A4" w:rsidRDefault="00C56FDB" w:rsidP="00C56FDB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9A622C0" w14:textId="2AC5C5E6" w:rsidR="00C56FDB" w:rsidRPr="00FF40A4" w:rsidRDefault="00C56FDB" w:rsidP="00C56FDB">
                            <w:pPr>
                              <w:spacing w:line="240" w:lineRule="auto"/>
                              <w:contextualSpacing/>
                            </w:pPr>
                            <w:r w:rsidRPr="00FF40A4">
                              <w:t xml:space="preserve">District F chose to assign highly rated teachers more equitably across course levels, and to encourage students of color to take advanced courses. The district </w:t>
                            </w:r>
                            <w:r w:rsidR="0026546D" w:rsidRPr="00FF40A4">
                              <w:t xml:space="preserve">could </w:t>
                            </w:r>
                            <w:r w:rsidRPr="00FF40A4">
                              <w:t>monitor short-term progress by comparing the proportions of advanced courses taught by teachers with different ratings, and longer-term progress by tracking one-year SLE Report data for subgroups’ assignments to highly rated teachers.</w:t>
                            </w:r>
                          </w:p>
                          <w:p w14:paraId="059004FB" w14:textId="77777777" w:rsidR="00C56FDB" w:rsidRPr="00FF40A4" w:rsidRDefault="00C56FDB" w:rsidP="00C56FDB">
                            <w:pPr>
                              <w:spacing w:line="240" w:lineRule="auto"/>
                              <w:contextualSpacing/>
                            </w:pPr>
                          </w:p>
                          <w:p w14:paraId="011BD3E0" w14:textId="3041ABD4" w:rsidR="00C56FDB" w:rsidRPr="00FF40A4" w:rsidRDefault="00C56FDB" w:rsidP="00C56FDB">
                            <w:pPr>
                              <w:spacing w:line="240" w:lineRule="auto"/>
                              <w:contextualSpacing/>
                            </w:pPr>
                            <w:r w:rsidRPr="00FF40A4">
                              <w:t xml:space="preserve">District H chose to improve retention of new teachers in its high-poverty schools. The district may monitor short-term progress through a workplace climate survey and feedback on its induction and mentoring program. Tracking retention rates of effective teachers and rates of student assignment to experienced teachers may allow the district </w:t>
                            </w:r>
                            <w:r w:rsidR="00FC3043" w:rsidRPr="00FF40A4">
                              <w:t>to monitor longer-term 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C30A0" id="AutoShape 44" o:spid="_x0000_s1026" style="position:absolute;margin-left:-14.25pt;margin-top:5.6pt;width:554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" strokecolor="#8496b0 [1951]">
                <v:textbox>
                  <w:txbxContent>
                    <w:p w14:paraId="0C5CFBAB" w14:textId="73980A08" w:rsidR="00C56FDB" w:rsidRPr="00FF40A4" w:rsidRDefault="00C56FDB" w:rsidP="00C56FDB">
                      <w:pPr>
                        <w:spacing w:line="240" w:lineRule="auto"/>
                        <w:contextualSpacing/>
                      </w:pPr>
                      <w:r w:rsidRPr="00FF40A4">
                        <w:rPr>
                          <w:b/>
                          <w:color w:val="5B9BD5" w:themeColor="accent1"/>
                        </w:rPr>
                        <w:t xml:space="preserve">Example cases: </w:t>
                      </w:r>
                      <w:r w:rsidRPr="00FF40A4">
                        <w:t xml:space="preserve">District C chose to focus on earlier and prioritized hiring in targeted schools. The district </w:t>
                      </w:r>
                      <w:r w:rsidR="0026546D" w:rsidRPr="00FF40A4">
                        <w:t xml:space="preserve">could </w:t>
                      </w:r>
                      <w:r w:rsidRPr="00FF40A4">
                        <w:t>monitor its short-term progress by the proportion of teachers hired by certain dates in each school. As longer-term metrics, the district may compare the ratings of these new hires in their first few years, and the rates of student assignment to higher rated teachers.</w:t>
                      </w:r>
                    </w:p>
                    <w:p w14:paraId="662F8FA2" w14:textId="77777777" w:rsidR="00C56FDB" w:rsidRPr="00FF40A4" w:rsidRDefault="00C56FDB" w:rsidP="00C56FDB">
                      <w:pPr>
                        <w:spacing w:line="240" w:lineRule="auto"/>
                        <w:contextualSpacing/>
                      </w:pPr>
                    </w:p>
                    <w:p w14:paraId="49A622C0" w14:textId="2AC5C5E6" w:rsidR="00C56FDB" w:rsidRPr="00FF40A4" w:rsidRDefault="00C56FDB" w:rsidP="00C56FDB">
                      <w:pPr>
                        <w:spacing w:line="240" w:lineRule="auto"/>
                        <w:contextualSpacing/>
                      </w:pPr>
                      <w:r w:rsidRPr="00FF40A4">
                        <w:t xml:space="preserve">District F chose to assign highly rated teachers more equitably across course levels, and to encourage students of color to take advanced courses. The district </w:t>
                      </w:r>
                      <w:r w:rsidR="0026546D" w:rsidRPr="00FF40A4">
                        <w:t xml:space="preserve">could </w:t>
                      </w:r>
                      <w:r w:rsidRPr="00FF40A4">
                        <w:t>monitor short-term progress by comparing the proportions of advanced courses taught by teachers with different ratings, and longer-term progress by tracking one-year SLE Report data for subgroups’ assignments to highly rated teachers.</w:t>
                      </w:r>
                    </w:p>
                    <w:p w14:paraId="059004FB" w14:textId="77777777" w:rsidR="00C56FDB" w:rsidRPr="00FF40A4" w:rsidRDefault="00C56FDB" w:rsidP="00C56FDB">
                      <w:pPr>
                        <w:spacing w:line="240" w:lineRule="auto"/>
                        <w:contextualSpacing/>
                      </w:pPr>
                    </w:p>
                    <w:p w14:paraId="011BD3E0" w14:textId="3041ABD4" w:rsidR="00C56FDB" w:rsidRPr="00FF40A4" w:rsidRDefault="00C56FDB" w:rsidP="00C56FDB">
                      <w:pPr>
                        <w:spacing w:line="240" w:lineRule="auto"/>
                        <w:contextualSpacing/>
                      </w:pPr>
                      <w:r w:rsidRPr="00FF40A4">
                        <w:t xml:space="preserve">District H chose to improve retention of new teachers in its high-poverty schools. The district may monitor short-term progress through a workplace climate survey and feedback on its induction and mentoring program. Tracking retention rates of effective teachers and rates of student assignment to experienced teachers may allow the district </w:t>
                      </w:r>
                      <w:r w:rsidR="00FC3043" w:rsidRPr="00FF40A4">
                        <w:t>to monitor longer-term progress.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245A5" w14:textId="77777777" w:rsidR="00C56FDB" w:rsidRDefault="00C56FDB" w:rsidP="00C56FDB"/>
    <w:p w14:paraId="31A6A59B" w14:textId="77777777" w:rsidR="00C56FDB" w:rsidRDefault="00C56FDB" w:rsidP="00C56FDB"/>
    <w:p w14:paraId="612BFCE7" w14:textId="77777777" w:rsidR="00C56FDB" w:rsidRDefault="00C56FDB" w:rsidP="00C56FDB"/>
    <w:p w14:paraId="6F9222B3" w14:textId="77777777" w:rsidR="00C56FDB" w:rsidRDefault="00C56FDB" w:rsidP="00C56FDB"/>
    <w:p w14:paraId="544A25BC" w14:textId="77777777" w:rsidR="00C56FDB" w:rsidRDefault="00C56FDB" w:rsidP="00C56FDB"/>
    <w:p w14:paraId="3B968F1D" w14:textId="49F1229B" w:rsidR="00C56FDB" w:rsidRDefault="00C56FDB" w:rsidP="00C56FDB"/>
    <w:p w14:paraId="42C981EE" w14:textId="77777777" w:rsidR="00DC0F89" w:rsidRDefault="00DC0F89" w:rsidP="00C56FDB"/>
    <w:p w14:paraId="1F0E4B5E" w14:textId="1BD55F4A" w:rsidR="00C56FDB" w:rsidRDefault="00C56FDB" w:rsidP="00C56F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gress monitoring for Strategy 1"/>
      </w:tblPr>
      <w:tblGrid>
        <w:gridCol w:w="4469"/>
        <w:gridCol w:w="1157"/>
        <w:gridCol w:w="1425"/>
        <w:gridCol w:w="3739"/>
      </w:tblGrid>
      <w:tr w:rsidR="00C56FDB" w:rsidRPr="007C5405" w14:paraId="63C39678" w14:textId="77777777" w:rsidTr="00F96810">
        <w:trPr>
          <w:tblHeader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282C" w14:textId="77777777" w:rsidR="00C56FDB" w:rsidRPr="00E43189" w:rsidRDefault="00C56FDB" w:rsidP="00615988">
            <w:pPr>
              <w:rPr>
                <w:b/>
                <w:u w:val="single"/>
              </w:rPr>
            </w:pPr>
            <w:r w:rsidRPr="00E43189">
              <w:rPr>
                <w:b/>
                <w:u w:val="single"/>
              </w:rPr>
              <w:t>STRATEGY 1:</w:t>
            </w:r>
          </w:p>
          <w:p w14:paraId="5707DD59" w14:textId="4C03D58F" w:rsidR="00C56FDB" w:rsidRPr="007C5405" w:rsidRDefault="00DC0F89" w:rsidP="00615988">
            <w:r>
              <w:rPr>
                <w:u w:val="single"/>
              </w:rPr>
              <w:t>Gap/s that it</w:t>
            </w:r>
            <w:r w:rsidR="00C56FDB">
              <w:rPr>
                <w:u w:val="single"/>
              </w:rPr>
              <w:t xml:space="preserve"> addresses:</w:t>
            </w:r>
          </w:p>
        </w:tc>
      </w:tr>
      <w:tr w:rsidR="00C56FDB" w:rsidRPr="007C5405" w14:paraId="36EC752D" w14:textId="77777777" w:rsidTr="00615988"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706317" w14:textId="77777777" w:rsidR="00C56FDB" w:rsidRPr="007C5405" w:rsidRDefault="00C56FDB" w:rsidP="00615988">
            <w:r>
              <w:t>Long-term metric</w:t>
            </w:r>
            <w:r w:rsidRPr="007C5405"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965FF8" w14:textId="77777777" w:rsidR="00C56FDB" w:rsidRPr="007C5405" w:rsidRDefault="00C56FDB" w:rsidP="00615988">
            <w:r w:rsidRPr="007C5405">
              <w:t>How data will be collected:</w:t>
            </w:r>
          </w:p>
        </w:tc>
      </w:tr>
      <w:tr w:rsidR="00C56FDB" w:rsidRPr="007C5405" w14:paraId="3C313E5E" w14:textId="77777777" w:rsidTr="00916B78">
        <w:trPr>
          <w:trHeight w:val="323"/>
        </w:trPr>
        <w:tc>
          <w:tcPr>
            <w:tcW w:w="4518" w:type="dxa"/>
            <w:tcBorders>
              <w:left w:val="single" w:sz="4" w:space="0" w:color="auto"/>
              <w:bottom w:val="single" w:sz="4" w:space="0" w:color="auto"/>
            </w:tcBorders>
          </w:tcPr>
          <w:p w14:paraId="28580F26" w14:textId="77777777" w:rsidR="00C56FDB" w:rsidRPr="007C5405" w:rsidRDefault="00C56FDB" w:rsidP="00615988">
            <w:r w:rsidRPr="007C5405">
              <w:t xml:space="preserve">Projected measure after 1 </w:t>
            </w:r>
            <w:proofErr w:type="spellStart"/>
            <w:r w:rsidRPr="007C5405">
              <w:t>yr</w:t>
            </w:r>
            <w:proofErr w:type="spellEnd"/>
            <w:r w:rsidRPr="007C5405"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5549E970" w14:textId="77777777" w:rsidR="00C56FDB" w:rsidRPr="007C5405" w:rsidRDefault="00C56FDB" w:rsidP="00615988">
            <w:r w:rsidRPr="007C5405">
              <w:t xml:space="preserve">After 2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0F8D5637" w14:textId="77777777" w:rsidR="00C56FDB" w:rsidRPr="007C5405" w:rsidRDefault="00C56FDB" w:rsidP="00615988">
            <w:r w:rsidRPr="007C5405">
              <w:t xml:space="preserve">After 3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</w:tr>
      <w:tr w:rsidR="00C56FDB" w:rsidRPr="007C5405" w14:paraId="19F7E93D" w14:textId="77777777" w:rsidTr="00615988"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327371" w14:textId="77777777" w:rsidR="00C56FDB" w:rsidRPr="007C5405" w:rsidRDefault="00C56FDB" w:rsidP="00615988">
            <w:r>
              <w:t>Short-term metric</w:t>
            </w:r>
            <w:r w:rsidRPr="007C5405"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8380FA" w14:textId="77777777" w:rsidR="00C56FDB" w:rsidRPr="007C5405" w:rsidRDefault="00C56FDB" w:rsidP="00615988">
            <w:r w:rsidRPr="007C5405">
              <w:t>How data will be collected:</w:t>
            </w:r>
          </w:p>
        </w:tc>
      </w:tr>
      <w:tr w:rsidR="00C56FDB" w:rsidRPr="007C5405" w14:paraId="484D98B3" w14:textId="77777777" w:rsidTr="00916B78">
        <w:trPr>
          <w:trHeight w:val="323"/>
        </w:trPr>
        <w:tc>
          <w:tcPr>
            <w:tcW w:w="4518" w:type="dxa"/>
            <w:tcBorders>
              <w:left w:val="single" w:sz="4" w:space="0" w:color="auto"/>
              <w:bottom w:val="single" w:sz="4" w:space="0" w:color="auto"/>
            </w:tcBorders>
          </w:tcPr>
          <w:p w14:paraId="56BB8AA5" w14:textId="77777777" w:rsidR="00C56FDB" w:rsidRPr="007C5405" w:rsidRDefault="00C56FDB" w:rsidP="00615988">
            <w:r w:rsidRPr="007C5405">
              <w:t xml:space="preserve">Projected measure after 1 </w:t>
            </w:r>
            <w:proofErr w:type="spellStart"/>
            <w:r w:rsidRPr="007C5405">
              <w:t>yr</w:t>
            </w:r>
            <w:proofErr w:type="spellEnd"/>
            <w:r w:rsidRPr="007C5405"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73C2D2B3" w14:textId="77777777" w:rsidR="00C56FDB" w:rsidRPr="007C5405" w:rsidRDefault="00C56FDB" w:rsidP="00615988">
            <w:r w:rsidRPr="007C5405">
              <w:t xml:space="preserve">After 2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141A1969" w14:textId="77777777" w:rsidR="00C56FDB" w:rsidRPr="007C5405" w:rsidRDefault="00C56FDB" w:rsidP="00615988">
            <w:r w:rsidRPr="007C5405">
              <w:t xml:space="preserve">After 3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</w:tr>
      <w:tr w:rsidR="00C56FDB" w:rsidRPr="007C5405" w14:paraId="2B7A552B" w14:textId="77777777" w:rsidTr="00916B78">
        <w:trPr>
          <w:trHeight w:val="323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6C6" w14:textId="77777777" w:rsidR="00C56FDB" w:rsidRPr="007C5405" w:rsidRDefault="00C56FDB" w:rsidP="00615988">
            <w:r w:rsidRPr="007C5405">
              <w:t>How the district will monitor metrics and fidelity to implementation plan:</w:t>
            </w:r>
          </w:p>
          <w:p w14:paraId="54F2EB69" w14:textId="77777777" w:rsidR="00C56FDB" w:rsidRPr="007C5405" w:rsidRDefault="00C56FDB" w:rsidP="00615988"/>
          <w:p w14:paraId="063E010D" w14:textId="77777777" w:rsidR="00C56FDB" w:rsidRPr="007C5405" w:rsidRDefault="00C56FDB" w:rsidP="00615988">
            <w:r w:rsidRPr="007C5405">
              <w:t>Who:</w:t>
            </w:r>
          </w:p>
          <w:p w14:paraId="13BB0466" w14:textId="77777777" w:rsidR="00C56FDB" w:rsidRPr="007C5405" w:rsidRDefault="00C56FDB" w:rsidP="00615988"/>
          <w:p w14:paraId="08A48B22" w14:textId="77777777" w:rsidR="00C56FDB" w:rsidRPr="007C5405" w:rsidRDefault="00C56FDB" w:rsidP="00615988">
            <w:r w:rsidRPr="007C5405">
              <w:t>When:</w:t>
            </w:r>
          </w:p>
        </w:tc>
      </w:tr>
    </w:tbl>
    <w:p w14:paraId="0F2226D8" w14:textId="77777777" w:rsidR="00C56FDB" w:rsidRPr="007C5405" w:rsidRDefault="00C56FDB" w:rsidP="00C56F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gress monitoring for Strategy 2"/>
      </w:tblPr>
      <w:tblGrid>
        <w:gridCol w:w="4469"/>
        <w:gridCol w:w="1157"/>
        <w:gridCol w:w="1425"/>
        <w:gridCol w:w="3739"/>
      </w:tblGrid>
      <w:tr w:rsidR="00C56FDB" w:rsidRPr="007C5405" w14:paraId="0A7ACAB3" w14:textId="77777777" w:rsidTr="00F96810">
        <w:trPr>
          <w:tblHeader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8E63D" w14:textId="77777777" w:rsidR="00C56FDB" w:rsidRPr="00E43189" w:rsidRDefault="00C56FDB" w:rsidP="00615988">
            <w:pPr>
              <w:rPr>
                <w:b/>
                <w:u w:val="single"/>
              </w:rPr>
            </w:pPr>
            <w:r w:rsidRPr="00E43189">
              <w:rPr>
                <w:b/>
                <w:u w:val="single"/>
              </w:rPr>
              <w:t>STRATEGY 2:</w:t>
            </w:r>
          </w:p>
          <w:p w14:paraId="1DE58DBA" w14:textId="5A3ECF0B" w:rsidR="00C56FDB" w:rsidRPr="007C5405" w:rsidRDefault="00DC0F89" w:rsidP="00615988">
            <w:r>
              <w:rPr>
                <w:u w:val="single"/>
              </w:rPr>
              <w:t>Gap/s that it</w:t>
            </w:r>
            <w:r w:rsidR="00C56FDB">
              <w:rPr>
                <w:u w:val="single"/>
              </w:rPr>
              <w:t xml:space="preserve"> addresses:</w:t>
            </w:r>
          </w:p>
        </w:tc>
      </w:tr>
      <w:tr w:rsidR="00C56FDB" w:rsidRPr="007C5405" w14:paraId="7C82F42E" w14:textId="77777777" w:rsidTr="00F96810">
        <w:trPr>
          <w:tblHeader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BEFC5C" w14:textId="77777777" w:rsidR="00C56FDB" w:rsidRPr="007C5405" w:rsidRDefault="00C56FDB" w:rsidP="00615988">
            <w:r>
              <w:t>Long-term metric</w:t>
            </w:r>
            <w:r w:rsidRPr="007C5405"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E42C43" w14:textId="77777777" w:rsidR="00C56FDB" w:rsidRPr="007C5405" w:rsidRDefault="00C56FDB" w:rsidP="00615988">
            <w:r w:rsidRPr="007C5405">
              <w:t>How data will be collected:</w:t>
            </w:r>
          </w:p>
        </w:tc>
      </w:tr>
      <w:tr w:rsidR="00C56FDB" w:rsidRPr="007C5405" w14:paraId="3ABF8012" w14:textId="77777777" w:rsidTr="00F96810">
        <w:trPr>
          <w:trHeight w:val="323"/>
          <w:tblHeader/>
        </w:trPr>
        <w:tc>
          <w:tcPr>
            <w:tcW w:w="4518" w:type="dxa"/>
            <w:tcBorders>
              <w:left w:val="single" w:sz="4" w:space="0" w:color="auto"/>
              <w:bottom w:val="single" w:sz="4" w:space="0" w:color="auto"/>
            </w:tcBorders>
          </w:tcPr>
          <w:p w14:paraId="46DE9401" w14:textId="77777777" w:rsidR="00C56FDB" w:rsidRPr="007C5405" w:rsidRDefault="00C56FDB" w:rsidP="00615988">
            <w:r w:rsidRPr="007C5405">
              <w:t xml:space="preserve">Projected measure after 1 </w:t>
            </w:r>
            <w:proofErr w:type="spellStart"/>
            <w:r w:rsidRPr="007C5405">
              <w:t>yr</w:t>
            </w:r>
            <w:proofErr w:type="spellEnd"/>
            <w:r w:rsidRPr="007C5405"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63E0B79D" w14:textId="77777777" w:rsidR="00C56FDB" w:rsidRPr="007C5405" w:rsidRDefault="00C56FDB" w:rsidP="00615988">
            <w:r w:rsidRPr="007C5405">
              <w:t xml:space="preserve">After 2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3EF0E64A" w14:textId="77777777" w:rsidR="00C56FDB" w:rsidRPr="007C5405" w:rsidRDefault="00C56FDB" w:rsidP="00615988">
            <w:r w:rsidRPr="007C5405">
              <w:t xml:space="preserve">After 3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</w:tr>
      <w:tr w:rsidR="00C56FDB" w:rsidRPr="007C5405" w14:paraId="70C3E0DC" w14:textId="77777777" w:rsidTr="00F96810">
        <w:trPr>
          <w:tblHeader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A10E8D" w14:textId="77777777" w:rsidR="00C56FDB" w:rsidRPr="007C5405" w:rsidRDefault="00C56FDB" w:rsidP="00615988">
            <w:r>
              <w:t>Short-term metric</w:t>
            </w:r>
            <w:r w:rsidRPr="007C5405"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B81329" w14:textId="77777777" w:rsidR="00C56FDB" w:rsidRPr="007C5405" w:rsidRDefault="00C56FDB" w:rsidP="00615988">
            <w:r w:rsidRPr="007C5405">
              <w:t>How data will be collected:</w:t>
            </w:r>
          </w:p>
        </w:tc>
      </w:tr>
      <w:tr w:rsidR="00C56FDB" w:rsidRPr="007C5405" w14:paraId="76A13C16" w14:textId="77777777" w:rsidTr="00F96810">
        <w:trPr>
          <w:trHeight w:val="323"/>
          <w:tblHeader/>
        </w:trPr>
        <w:tc>
          <w:tcPr>
            <w:tcW w:w="4518" w:type="dxa"/>
            <w:tcBorders>
              <w:left w:val="single" w:sz="4" w:space="0" w:color="auto"/>
              <w:bottom w:val="single" w:sz="4" w:space="0" w:color="auto"/>
            </w:tcBorders>
          </w:tcPr>
          <w:p w14:paraId="25965760" w14:textId="77777777" w:rsidR="00C56FDB" w:rsidRPr="007C5405" w:rsidRDefault="00C56FDB" w:rsidP="00615988">
            <w:r w:rsidRPr="007C5405">
              <w:t xml:space="preserve">Projected measure after 1 </w:t>
            </w:r>
            <w:proofErr w:type="spellStart"/>
            <w:r w:rsidRPr="007C5405">
              <w:t>yr</w:t>
            </w:r>
            <w:proofErr w:type="spellEnd"/>
            <w:r w:rsidRPr="007C5405"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13A2D6AB" w14:textId="77777777" w:rsidR="00C56FDB" w:rsidRPr="007C5405" w:rsidRDefault="00C56FDB" w:rsidP="00615988">
            <w:r w:rsidRPr="007C5405">
              <w:t xml:space="preserve">After 2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69121AF6" w14:textId="77777777" w:rsidR="00C56FDB" w:rsidRPr="007C5405" w:rsidRDefault="00C56FDB" w:rsidP="00615988">
            <w:r w:rsidRPr="007C5405">
              <w:t xml:space="preserve">After 3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</w:tr>
      <w:tr w:rsidR="00C56FDB" w:rsidRPr="007C5405" w14:paraId="0D42F416" w14:textId="77777777" w:rsidTr="00F96810">
        <w:trPr>
          <w:trHeight w:val="323"/>
          <w:tblHeader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756" w14:textId="77777777" w:rsidR="00C56FDB" w:rsidRPr="007C5405" w:rsidRDefault="00C56FDB" w:rsidP="00615988">
            <w:r w:rsidRPr="007C5405">
              <w:t>How the district will monitor metrics and fidelity to implementation plan:</w:t>
            </w:r>
          </w:p>
          <w:p w14:paraId="4AA54515" w14:textId="77777777" w:rsidR="00C56FDB" w:rsidRPr="007C5405" w:rsidRDefault="00C56FDB" w:rsidP="00615988"/>
          <w:p w14:paraId="41582479" w14:textId="77777777" w:rsidR="00C56FDB" w:rsidRPr="007C5405" w:rsidRDefault="00C56FDB" w:rsidP="00615988">
            <w:r w:rsidRPr="007C5405">
              <w:t>Who:</w:t>
            </w:r>
          </w:p>
          <w:p w14:paraId="6D7C1ABC" w14:textId="77777777" w:rsidR="00C56FDB" w:rsidRPr="007C5405" w:rsidRDefault="00C56FDB" w:rsidP="00615988"/>
          <w:p w14:paraId="4D1A83E6" w14:textId="77777777" w:rsidR="00C56FDB" w:rsidRPr="007C5405" w:rsidRDefault="00C56FDB" w:rsidP="00615988">
            <w:r w:rsidRPr="007C5405">
              <w:t>When:</w:t>
            </w:r>
          </w:p>
        </w:tc>
      </w:tr>
    </w:tbl>
    <w:p w14:paraId="5C9AA830" w14:textId="77777777" w:rsidR="00C56FDB" w:rsidRPr="007C5405" w:rsidRDefault="00C56FDB" w:rsidP="00C56F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gress monitoring for Strategy 3"/>
      </w:tblPr>
      <w:tblGrid>
        <w:gridCol w:w="4469"/>
        <w:gridCol w:w="1157"/>
        <w:gridCol w:w="1425"/>
        <w:gridCol w:w="3739"/>
      </w:tblGrid>
      <w:tr w:rsidR="00C56FDB" w:rsidRPr="007C5405" w14:paraId="2097E9B8" w14:textId="77777777" w:rsidTr="00F96810">
        <w:trPr>
          <w:tblHeader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31C1E" w14:textId="77777777" w:rsidR="00C56FDB" w:rsidRPr="00E43189" w:rsidRDefault="00C56FDB" w:rsidP="00615988">
            <w:pPr>
              <w:rPr>
                <w:b/>
                <w:u w:val="single"/>
              </w:rPr>
            </w:pPr>
            <w:r w:rsidRPr="00E43189">
              <w:rPr>
                <w:b/>
                <w:u w:val="single"/>
              </w:rPr>
              <w:t>STRATEGY 3:</w:t>
            </w:r>
          </w:p>
          <w:p w14:paraId="27CA8D35" w14:textId="338D798E" w:rsidR="00C56FDB" w:rsidRPr="007C5405" w:rsidRDefault="00DC0F89" w:rsidP="00615988">
            <w:r>
              <w:rPr>
                <w:u w:val="single"/>
              </w:rPr>
              <w:t>Gap/s that it</w:t>
            </w:r>
            <w:r w:rsidR="00C56FDB">
              <w:rPr>
                <w:u w:val="single"/>
              </w:rPr>
              <w:t xml:space="preserve"> addresses:</w:t>
            </w:r>
          </w:p>
        </w:tc>
      </w:tr>
      <w:tr w:rsidR="00C56FDB" w:rsidRPr="007C5405" w14:paraId="3331C8C5" w14:textId="77777777" w:rsidTr="00F96810">
        <w:trPr>
          <w:tblHeader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EE0BE9" w14:textId="77777777" w:rsidR="00C56FDB" w:rsidRPr="007C5405" w:rsidRDefault="00C56FDB" w:rsidP="00615988">
            <w:r>
              <w:t>Long-term metric</w:t>
            </w:r>
            <w:r w:rsidRPr="007C5405"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4BE235" w14:textId="77777777" w:rsidR="00C56FDB" w:rsidRPr="007C5405" w:rsidRDefault="00C56FDB" w:rsidP="00615988">
            <w:r w:rsidRPr="007C5405">
              <w:t>How data will be collected:</w:t>
            </w:r>
          </w:p>
        </w:tc>
      </w:tr>
      <w:tr w:rsidR="00C56FDB" w:rsidRPr="007C5405" w14:paraId="24BEFDF7" w14:textId="77777777" w:rsidTr="00F96810">
        <w:trPr>
          <w:trHeight w:val="323"/>
          <w:tblHeader/>
        </w:trPr>
        <w:tc>
          <w:tcPr>
            <w:tcW w:w="4518" w:type="dxa"/>
            <w:tcBorders>
              <w:left w:val="single" w:sz="4" w:space="0" w:color="auto"/>
              <w:bottom w:val="single" w:sz="4" w:space="0" w:color="auto"/>
            </w:tcBorders>
          </w:tcPr>
          <w:p w14:paraId="17F00C47" w14:textId="77777777" w:rsidR="00C56FDB" w:rsidRPr="007C5405" w:rsidRDefault="00C56FDB" w:rsidP="00615988">
            <w:r w:rsidRPr="007C5405">
              <w:t xml:space="preserve">Projected measure after 1 </w:t>
            </w:r>
            <w:proofErr w:type="spellStart"/>
            <w:r w:rsidRPr="007C5405">
              <w:t>yr</w:t>
            </w:r>
            <w:proofErr w:type="spellEnd"/>
            <w:r w:rsidRPr="007C5405"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6F13CA0B" w14:textId="77777777" w:rsidR="00C56FDB" w:rsidRPr="007C5405" w:rsidRDefault="00C56FDB" w:rsidP="00615988">
            <w:r w:rsidRPr="007C5405">
              <w:t xml:space="preserve">After 2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653B086C" w14:textId="77777777" w:rsidR="00C56FDB" w:rsidRPr="007C5405" w:rsidRDefault="00C56FDB" w:rsidP="00615988">
            <w:r w:rsidRPr="007C5405">
              <w:t xml:space="preserve">After 3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</w:tr>
      <w:tr w:rsidR="00C56FDB" w:rsidRPr="007C5405" w14:paraId="082DABDA" w14:textId="77777777" w:rsidTr="00F96810">
        <w:trPr>
          <w:tblHeader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21A154" w14:textId="77777777" w:rsidR="00C56FDB" w:rsidRPr="007C5405" w:rsidRDefault="00C56FDB" w:rsidP="00615988">
            <w:r>
              <w:t>Short-term metric</w:t>
            </w:r>
            <w:r w:rsidRPr="007C5405"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3700FC" w14:textId="77777777" w:rsidR="00C56FDB" w:rsidRPr="007C5405" w:rsidRDefault="00C56FDB" w:rsidP="00615988">
            <w:r w:rsidRPr="007C5405">
              <w:t>How data will be collected:</w:t>
            </w:r>
          </w:p>
        </w:tc>
      </w:tr>
      <w:tr w:rsidR="00C56FDB" w:rsidRPr="007C5405" w14:paraId="4D06FFD0" w14:textId="77777777" w:rsidTr="00F96810">
        <w:trPr>
          <w:trHeight w:val="323"/>
          <w:tblHeader/>
        </w:trPr>
        <w:tc>
          <w:tcPr>
            <w:tcW w:w="4518" w:type="dxa"/>
            <w:tcBorders>
              <w:left w:val="single" w:sz="4" w:space="0" w:color="auto"/>
              <w:bottom w:val="single" w:sz="4" w:space="0" w:color="auto"/>
            </w:tcBorders>
          </w:tcPr>
          <w:p w14:paraId="5B2677AD" w14:textId="77777777" w:rsidR="00C56FDB" w:rsidRPr="007C5405" w:rsidRDefault="00C56FDB" w:rsidP="00615988">
            <w:r w:rsidRPr="007C5405">
              <w:t xml:space="preserve">Projected measure after 1 </w:t>
            </w:r>
            <w:proofErr w:type="spellStart"/>
            <w:r w:rsidRPr="007C5405">
              <w:t>yr</w:t>
            </w:r>
            <w:proofErr w:type="spellEnd"/>
            <w:r w:rsidRPr="007C5405"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6DCA0B80" w14:textId="77777777" w:rsidR="00C56FDB" w:rsidRPr="007C5405" w:rsidRDefault="00C56FDB" w:rsidP="00615988">
            <w:r w:rsidRPr="007C5405">
              <w:t xml:space="preserve">After 2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7B281DAA" w14:textId="77777777" w:rsidR="00C56FDB" w:rsidRPr="007C5405" w:rsidRDefault="00C56FDB" w:rsidP="00615988">
            <w:r w:rsidRPr="007C5405">
              <w:t xml:space="preserve">After 3 </w:t>
            </w:r>
            <w:proofErr w:type="spellStart"/>
            <w:r w:rsidRPr="007C5405">
              <w:t>yrs</w:t>
            </w:r>
            <w:proofErr w:type="spellEnd"/>
            <w:r w:rsidRPr="007C5405">
              <w:t>:</w:t>
            </w:r>
          </w:p>
        </w:tc>
      </w:tr>
      <w:tr w:rsidR="00C56FDB" w:rsidRPr="007C5405" w14:paraId="0CB6EEB1" w14:textId="77777777" w:rsidTr="00F96810">
        <w:trPr>
          <w:trHeight w:val="323"/>
          <w:tblHeader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E8C" w14:textId="77777777" w:rsidR="00C56FDB" w:rsidRPr="007C5405" w:rsidRDefault="00C56FDB" w:rsidP="00615988">
            <w:r w:rsidRPr="007C5405">
              <w:t>How the district will monitor metrics and fidelity to implementation plan:</w:t>
            </w:r>
          </w:p>
          <w:p w14:paraId="6984FE7C" w14:textId="77777777" w:rsidR="00C56FDB" w:rsidRPr="007C5405" w:rsidRDefault="00C56FDB" w:rsidP="00615988"/>
          <w:p w14:paraId="2E23BBC8" w14:textId="77777777" w:rsidR="00C56FDB" w:rsidRPr="007C5405" w:rsidRDefault="00C56FDB" w:rsidP="00615988">
            <w:r w:rsidRPr="007C5405">
              <w:t>Who:</w:t>
            </w:r>
          </w:p>
          <w:p w14:paraId="2BE7AE3E" w14:textId="77777777" w:rsidR="00C56FDB" w:rsidRPr="007C5405" w:rsidRDefault="00C56FDB" w:rsidP="00615988"/>
          <w:p w14:paraId="7214380B" w14:textId="77777777" w:rsidR="00C56FDB" w:rsidRPr="007C5405" w:rsidRDefault="00C56FDB" w:rsidP="00615988">
            <w:r w:rsidRPr="007C5405">
              <w:t>When:</w:t>
            </w:r>
          </w:p>
        </w:tc>
      </w:tr>
    </w:tbl>
    <w:p w14:paraId="674B2A8C" w14:textId="4A3AA0BC" w:rsidR="00BB1400" w:rsidRPr="00DC0F89" w:rsidRDefault="00BB1400">
      <w:pPr>
        <w:rPr>
          <w:b/>
        </w:rPr>
      </w:pPr>
    </w:p>
    <w:sectPr w:rsidR="00BB1400" w:rsidRPr="00DC0F89" w:rsidSect="00C5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6CF3" w14:textId="77777777" w:rsidR="00B34E4B" w:rsidRDefault="00B34E4B" w:rsidP="00C56FDB">
      <w:pPr>
        <w:spacing w:after="0" w:line="240" w:lineRule="auto"/>
      </w:pPr>
      <w:r>
        <w:separator/>
      </w:r>
    </w:p>
  </w:endnote>
  <w:endnote w:type="continuationSeparator" w:id="0">
    <w:p w14:paraId="55292788" w14:textId="77777777" w:rsidR="00B34E4B" w:rsidRDefault="00B34E4B" w:rsidP="00C5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8B41" w14:textId="77777777" w:rsidR="00B34E4B" w:rsidRDefault="00B34E4B" w:rsidP="00C56FDB">
      <w:pPr>
        <w:spacing w:after="0" w:line="240" w:lineRule="auto"/>
      </w:pPr>
      <w:r>
        <w:separator/>
      </w:r>
    </w:p>
  </w:footnote>
  <w:footnote w:type="continuationSeparator" w:id="0">
    <w:p w14:paraId="2EDC3A47" w14:textId="77777777" w:rsidR="00B34E4B" w:rsidRDefault="00B34E4B" w:rsidP="00C5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138E"/>
    <w:multiLevelType w:val="hybridMultilevel"/>
    <w:tmpl w:val="28745FA6"/>
    <w:lvl w:ilvl="0" w:tplc="518C02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DB"/>
    <w:rsid w:val="00065558"/>
    <w:rsid w:val="0008770C"/>
    <w:rsid w:val="00127877"/>
    <w:rsid w:val="0026546D"/>
    <w:rsid w:val="003903DD"/>
    <w:rsid w:val="00413C76"/>
    <w:rsid w:val="00522B5B"/>
    <w:rsid w:val="00561E6B"/>
    <w:rsid w:val="005E3FE6"/>
    <w:rsid w:val="006D25F8"/>
    <w:rsid w:val="00731729"/>
    <w:rsid w:val="00766E99"/>
    <w:rsid w:val="007D16D0"/>
    <w:rsid w:val="008C02C6"/>
    <w:rsid w:val="00916B78"/>
    <w:rsid w:val="00B34E4B"/>
    <w:rsid w:val="00B457BC"/>
    <w:rsid w:val="00B45E8D"/>
    <w:rsid w:val="00BB1400"/>
    <w:rsid w:val="00C56FDB"/>
    <w:rsid w:val="00D0735D"/>
    <w:rsid w:val="00DC0F89"/>
    <w:rsid w:val="00DF7389"/>
    <w:rsid w:val="00EC1DCA"/>
    <w:rsid w:val="00F60E9F"/>
    <w:rsid w:val="00F96810"/>
    <w:rsid w:val="00FC304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DFBA"/>
  <w15:chartTrackingRefBased/>
  <w15:docId w15:val="{7BCDB3FB-FE4D-421E-8593-31F72A0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6FD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6F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56FD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5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6FD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FDB"/>
  </w:style>
  <w:style w:type="paragraph" w:styleId="Footer">
    <w:name w:val="footer"/>
    <w:basedOn w:val="Normal"/>
    <w:link w:val="FooterChar"/>
    <w:uiPriority w:val="99"/>
    <w:unhideWhenUsed/>
    <w:rsid w:val="00C5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FDB"/>
  </w:style>
  <w:style w:type="character" w:styleId="CommentReference">
    <w:name w:val="annotation reference"/>
    <w:basedOn w:val="DefaultParagraphFont"/>
    <w:uiPriority w:val="99"/>
    <w:semiHidden/>
    <w:unhideWhenUsed/>
    <w:rsid w:val="00DF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edeval/guideboo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edeffectiveness/equitableaccess/resources/templates-strategie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edeffectiveness/equitableaccess/resourc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edeval/guidebook/observ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DESE-231-43003</_dlc_DocId>
    <_dlc_DocIdUrl xmlns="733efe1c-5bbe-4968-87dc-d400e65c879f">
      <Url>https://sharepoint.doemass.org/ese/webteam/cps/_layouts/DocIdRedir.aspx?ID=DESE-231-43003</Url>
      <Description>DESE-231-43003</Description>
    </_dlc_DocIdUrl>
  </documentManagement>
</p:properties>
</file>

<file path=customXml/itemProps1.xml><?xml version="1.0" encoding="utf-8"?>
<ds:datastoreItem xmlns:ds="http://schemas.openxmlformats.org/officeDocument/2006/customXml" ds:itemID="{4ED6D9AA-3A50-4CAA-8EBC-5BFD2B5F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D189C-B6A4-42F8-8456-29969D0DB6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3804B-6010-4590-B5B8-4791BBB30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644A6-0960-4694-9122-B5E8EE9C763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Equity Templates - Monitoring progress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Templates - Monitoring progress</dc:title>
  <dc:subject/>
  <dc:creator>DESE</dc:creator>
  <cp:keywords/>
  <dc:description/>
  <cp:lastModifiedBy>Zou, Dong (EOE)</cp:lastModifiedBy>
  <cp:revision>8</cp:revision>
  <dcterms:created xsi:type="dcterms:W3CDTF">2018-06-06T17:39:00Z</dcterms:created>
  <dcterms:modified xsi:type="dcterms:W3CDTF">2020-06-09T20:54:00Z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