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B072A" w14:textId="3EFDDFB5" w:rsidR="005C713D" w:rsidRDefault="005C713D" w:rsidP="005C713D">
      <w:pPr>
        <w:pStyle w:val="Heading2"/>
        <w:jc w:val="center"/>
        <w:rPr>
          <w:sz w:val="30"/>
          <w:szCs w:val="30"/>
        </w:rPr>
      </w:pPr>
      <w:r>
        <w:rPr>
          <w:sz w:val="30"/>
          <w:szCs w:val="30"/>
        </w:rPr>
        <w:t>Distr</w:t>
      </w:r>
      <w:r w:rsidR="00971EC5">
        <w:rPr>
          <w:sz w:val="30"/>
          <w:szCs w:val="30"/>
        </w:rPr>
        <w:t>ict Equity Templates: Engaging Stakeholders in Root Cause A</w:t>
      </w:r>
      <w:r>
        <w:rPr>
          <w:sz w:val="30"/>
          <w:szCs w:val="30"/>
        </w:rPr>
        <w:t>nalysis</w:t>
      </w:r>
    </w:p>
    <w:p w14:paraId="534ECD51" w14:textId="5BB55695" w:rsidR="005C713D" w:rsidRDefault="005C713D" w:rsidP="005C713D">
      <w:pPr>
        <w:jc w:val="center"/>
      </w:pPr>
      <w:r>
        <w:t>For additional g</w:t>
      </w:r>
      <w:r w:rsidR="00DB2ECC">
        <w:t xml:space="preserve">uidance, see the </w:t>
      </w:r>
      <w:hyperlink r:id="rId12" w:history="1">
        <w:r w:rsidR="00DB2ECC" w:rsidRPr="0014492A">
          <w:rPr>
            <w:rStyle w:val="Hyperlink"/>
          </w:rPr>
          <w:t>Equity Roadmap</w:t>
        </w:r>
      </w:hyperlink>
      <w:bookmarkStart w:id="0" w:name="_GoBack"/>
      <w:bookmarkEnd w:id="0"/>
      <w:r>
        <w:t xml:space="preserve"> and additional District Equity </w:t>
      </w:r>
      <w:r w:rsidR="00DB2ECC">
        <w:t>Templates</w:t>
      </w:r>
    </w:p>
    <w:p w14:paraId="11278E52" w14:textId="2EDF4553" w:rsidR="001D7A8D" w:rsidRPr="008429DC" w:rsidRDefault="00924DF8" w:rsidP="001D7A8D">
      <w:pPr>
        <w:rPr>
          <w:color w:val="ED7D31" w:themeColor="accent2"/>
        </w:rPr>
      </w:pPr>
      <w:r>
        <w:rPr>
          <w:noProof/>
          <w:lang w:eastAsia="zh-CN"/>
        </w:rPr>
        <mc:AlternateContent>
          <mc:Choice Requires="wps">
            <w:drawing>
              <wp:anchor distT="0" distB="0" distL="114300" distR="114300" simplePos="0" relativeHeight="251659264" behindDoc="0" locked="0" layoutInCell="1" allowOverlap="1" wp14:anchorId="5D46D7C9" wp14:editId="03D0C24C">
                <wp:simplePos x="0" y="0"/>
                <wp:positionH relativeFrom="column">
                  <wp:posOffset>-170953</wp:posOffset>
                </wp:positionH>
                <wp:positionV relativeFrom="paragraph">
                  <wp:posOffset>847670</wp:posOffset>
                </wp:positionV>
                <wp:extent cx="7095066" cy="1876508"/>
                <wp:effectExtent l="0" t="0" r="10795"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5066" cy="1876508"/>
                        </a:xfrm>
                        <a:prstGeom prst="roundRect">
                          <a:avLst>
                            <a:gd name="adj" fmla="val 16667"/>
                          </a:avLst>
                        </a:prstGeom>
                        <a:solidFill>
                          <a:srgbClr val="FFFFFF"/>
                        </a:solidFill>
                        <a:ln w="9525">
                          <a:solidFill>
                            <a:schemeClr val="accent5"/>
                          </a:solidFill>
                          <a:round/>
                          <a:headEnd/>
                          <a:tailEnd/>
                        </a:ln>
                      </wps:spPr>
                      <wps:txbx>
                        <w:txbxContent>
                          <w:p w14:paraId="508924A4" w14:textId="225E3092" w:rsidR="001D7A8D" w:rsidRDefault="001D7A8D" w:rsidP="001D7A8D">
                            <w:pPr>
                              <w:spacing w:line="240" w:lineRule="auto"/>
                              <w:contextualSpacing/>
                            </w:pPr>
                            <w:r w:rsidRPr="00010B43">
                              <w:rPr>
                                <w:b/>
                                <w:color w:val="4472C4" w:themeColor="accent5"/>
                              </w:rPr>
                              <w:t>Example</w:t>
                            </w:r>
                            <w:r w:rsidR="00010B43" w:rsidRPr="00010B43">
                              <w:rPr>
                                <w:b/>
                                <w:color w:val="4472C4" w:themeColor="accent5"/>
                              </w:rPr>
                              <w:t xml:space="preserve"> cases</w:t>
                            </w:r>
                            <w:r w:rsidRPr="00010B43">
                              <w:rPr>
                                <w:b/>
                                <w:color w:val="4472C4" w:themeColor="accent5"/>
                              </w:rPr>
                              <w:t xml:space="preserve">: </w:t>
                            </w:r>
                            <w:r w:rsidR="002B3D2A" w:rsidRPr="00010B43">
                              <w:t>Economically disadvantaged students in</w:t>
                            </w:r>
                            <w:r w:rsidR="002B3D2A">
                              <w:rPr>
                                <w:b/>
                                <w:color w:val="5B9BD5" w:themeColor="accent1"/>
                              </w:rPr>
                              <w:t xml:space="preserve"> </w:t>
                            </w:r>
                            <w:r>
                              <w:t xml:space="preserve">District F experience gaps </w:t>
                            </w:r>
                            <w:r w:rsidR="00010B43">
                              <w:t xml:space="preserve">in </w:t>
                            </w:r>
                            <w:r>
                              <w:t xml:space="preserve">access to highly rated and in-field </w:t>
                            </w:r>
                            <w:r w:rsidR="00010B43">
                              <w:t>teachers. District</w:t>
                            </w:r>
                            <w:r w:rsidR="002B3D2A">
                              <w:t xml:space="preserve"> data</w:t>
                            </w:r>
                            <w:r>
                              <w:t xml:space="preserve"> </w:t>
                            </w:r>
                            <w:r w:rsidR="002B3D2A">
                              <w:t>suggests t</w:t>
                            </w:r>
                            <w:r>
                              <w:t xml:space="preserve">hat a root cause may be a lack of new teachers’ preparation for the district’s context and student needs. </w:t>
                            </w:r>
                            <w:r w:rsidR="002B3D2A">
                              <w:t>The</w:t>
                            </w:r>
                            <w:r>
                              <w:t xml:space="preserve"> district can consult new teachers, educator preparation programs, and teacher candidates/student teachers</w:t>
                            </w:r>
                            <w:r w:rsidR="00DB2ECC">
                              <w:t>, and ask about how teacher candidates learn to serve economically disadvantaged students</w:t>
                            </w:r>
                            <w:r w:rsidR="002B3D2A">
                              <w:t xml:space="preserve"> to</w:t>
                            </w:r>
                            <w:r>
                              <w:t xml:space="preserve"> help develop a better picture of h</w:t>
                            </w:r>
                            <w:r w:rsidR="00924DF8">
                              <w:t xml:space="preserve">ow </w:t>
                            </w:r>
                            <w:r w:rsidR="00010B43">
                              <w:t>to inform</w:t>
                            </w:r>
                            <w:r w:rsidR="00924DF8">
                              <w:t xml:space="preserve"> educator </w:t>
                            </w:r>
                            <w:r>
                              <w:t>preparation.</w:t>
                            </w:r>
                          </w:p>
                          <w:p w14:paraId="384F81A5" w14:textId="77777777" w:rsidR="001D7A8D" w:rsidRPr="005563B7" w:rsidRDefault="001D7A8D" w:rsidP="001D7A8D">
                            <w:pPr>
                              <w:spacing w:line="240" w:lineRule="auto"/>
                              <w:contextualSpacing/>
                              <w:rPr>
                                <w:sz w:val="8"/>
                                <w:szCs w:val="8"/>
                              </w:rPr>
                            </w:pPr>
                            <w:r w:rsidRPr="005563B7">
                              <w:rPr>
                                <w:sz w:val="8"/>
                                <w:szCs w:val="8"/>
                              </w:rPr>
                              <w:t xml:space="preserve"> </w:t>
                            </w:r>
                          </w:p>
                          <w:p w14:paraId="5D2D5727" w14:textId="77777777" w:rsidR="001D7A8D" w:rsidRPr="00F10F78" w:rsidRDefault="001D7A8D" w:rsidP="001D7A8D">
                            <w:pPr>
                              <w:spacing w:line="240" w:lineRule="auto"/>
                              <w:contextualSpacing/>
                            </w:pPr>
                            <w:r>
                              <w:t xml:space="preserve">In District G’s high school, students of color have lower rates of assignment to highly rated teachers, and one root cause is lower enrollment in advanced courses. The district can consult middle and high school teachers, school counselors, students, and parents to </w:t>
                            </w:r>
                            <w:r w:rsidR="007453E8">
                              <w:t xml:space="preserve">understand better the </w:t>
                            </w:r>
                            <w:r>
                              <w:t>barriers to advanced-course enrollment for students of color, and what the district can do to address the barriers.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46D7C9" id="Rounded Rectangle 1" o:spid="_x0000_s1026" style="position:absolute;margin-left:-13.45pt;margin-top:66.75pt;width:558.6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" strokecolor="#4472c4 [3208]">
                <v:textbox>
                  <w:txbxContent>
                    <w:p w14:paraId="508924A4" w14:textId="225E3092" w:rsidR="001D7A8D" w:rsidRDefault="001D7A8D" w:rsidP="001D7A8D">
                      <w:pPr>
                        <w:spacing w:line="240" w:lineRule="auto"/>
                        <w:contextualSpacing/>
                      </w:pPr>
                      <w:r w:rsidRPr="00010B43">
                        <w:rPr>
                          <w:b/>
                          <w:color w:val="4472C4" w:themeColor="accent5"/>
                        </w:rPr>
                        <w:t>Example</w:t>
                      </w:r>
                      <w:r w:rsidR="00010B43" w:rsidRPr="00010B43">
                        <w:rPr>
                          <w:b/>
                          <w:color w:val="4472C4" w:themeColor="accent5"/>
                        </w:rPr>
                        <w:t xml:space="preserve"> cases</w:t>
                      </w:r>
                      <w:r w:rsidRPr="00010B43">
                        <w:rPr>
                          <w:b/>
                          <w:color w:val="4472C4" w:themeColor="accent5"/>
                        </w:rPr>
                        <w:t xml:space="preserve">: </w:t>
                      </w:r>
                      <w:r w:rsidR="002B3D2A" w:rsidRPr="00010B43">
                        <w:t>Economically disadvantaged students in</w:t>
                      </w:r>
                      <w:r w:rsidR="002B3D2A">
                        <w:rPr>
                          <w:b/>
                          <w:color w:val="5B9BD5" w:themeColor="accent1"/>
                        </w:rPr>
                        <w:t xml:space="preserve"> </w:t>
                      </w:r>
                      <w:r>
                        <w:t xml:space="preserve">District F experience gaps </w:t>
                      </w:r>
                      <w:r w:rsidR="00010B43">
                        <w:t xml:space="preserve">in </w:t>
                      </w:r>
                      <w:r>
                        <w:t xml:space="preserve">access to highly rated and in-field </w:t>
                      </w:r>
                      <w:r w:rsidR="00010B43">
                        <w:t>teachers. District</w:t>
                      </w:r>
                      <w:r w:rsidR="002B3D2A">
                        <w:t xml:space="preserve"> data</w:t>
                      </w:r>
                      <w:r>
                        <w:t xml:space="preserve"> </w:t>
                      </w:r>
                      <w:r w:rsidR="002B3D2A">
                        <w:t>suggests t</w:t>
                      </w:r>
                      <w:r>
                        <w:t xml:space="preserve">hat a root cause may be a lack of new teachers’ preparation for the district’s context and student needs. </w:t>
                      </w:r>
                      <w:r w:rsidR="002B3D2A">
                        <w:t>The</w:t>
                      </w:r>
                      <w:r>
                        <w:t xml:space="preserve"> district can consult new teachers, educator preparation programs, and teacher candidates/student teachers</w:t>
                      </w:r>
                      <w:r w:rsidR="00DB2ECC">
                        <w:t>, and ask about how teacher candidates learn to serve economically disadvantaged students</w:t>
                      </w:r>
                      <w:r w:rsidR="002B3D2A">
                        <w:t xml:space="preserve"> to</w:t>
                      </w:r>
                      <w:r>
                        <w:t xml:space="preserve"> help develop a better picture of h</w:t>
                      </w:r>
                      <w:r w:rsidR="00924DF8">
                        <w:t xml:space="preserve">ow </w:t>
                      </w:r>
                      <w:r w:rsidR="00010B43">
                        <w:t>to inform</w:t>
                      </w:r>
                      <w:r w:rsidR="00924DF8">
                        <w:t xml:space="preserve"> educator </w:t>
                      </w:r>
                      <w:r>
                        <w:t>preparation.</w:t>
                      </w:r>
                    </w:p>
                    <w:p w14:paraId="384F81A5" w14:textId="77777777" w:rsidR="001D7A8D" w:rsidRPr="005563B7" w:rsidRDefault="001D7A8D" w:rsidP="001D7A8D">
                      <w:pPr>
                        <w:spacing w:line="240" w:lineRule="auto"/>
                        <w:contextualSpacing/>
                        <w:rPr>
                          <w:sz w:val="8"/>
                          <w:szCs w:val="8"/>
                        </w:rPr>
                      </w:pPr>
                      <w:r w:rsidRPr="005563B7">
                        <w:rPr>
                          <w:sz w:val="8"/>
                          <w:szCs w:val="8"/>
                        </w:rPr>
                        <w:t xml:space="preserve"> </w:t>
                      </w:r>
                    </w:p>
                    <w:p w14:paraId="5D2D5727" w14:textId="77777777" w:rsidR="001D7A8D" w:rsidRPr="00F10F78" w:rsidRDefault="001D7A8D" w:rsidP="001D7A8D">
                      <w:pPr>
                        <w:spacing w:line="240" w:lineRule="auto"/>
                        <w:contextualSpacing/>
                      </w:pPr>
                      <w:r>
                        <w:t xml:space="preserve">In District G’s high school, students of color have lower rates of assignment to highly rated teachers, and one root cause is lower enrollment in advanced courses. The district can consult middle and high school teachers, school counselors, students, and parents to </w:t>
                      </w:r>
                      <w:r w:rsidR="007453E8">
                        <w:t xml:space="preserve">understand better the </w:t>
                      </w:r>
                      <w:r>
                        <w:t>barriers to advanced-course enrollment for students of color, and what the district can do to address the barriers.</w:t>
                      </w:r>
                    </w:p>
                  </w:txbxContent>
                </v:textbox>
              </v:roundrect>
            </w:pict>
          </mc:Fallback>
        </mc:AlternateContent>
      </w:r>
      <w:r w:rsidR="001D7A8D">
        <w:t>Developing an equity plan will require stakeholder engagement and application of stakeholder input</w:t>
      </w:r>
      <w:r w:rsidR="00DF7E74">
        <w:t>—</w:t>
      </w:r>
      <w:r w:rsidR="00934418">
        <w:t>that</w:t>
      </w:r>
      <w:r w:rsidR="001D7A8D">
        <w:t xml:space="preserve"> can </w:t>
      </w:r>
      <w:r w:rsidR="001D7A8D">
        <w:rPr>
          <w:b/>
        </w:rPr>
        <w:t>also help inform root cause analysis</w:t>
      </w:r>
      <w:r w:rsidR="001D7A8D" w:rsidRPr="00DF7E74">
        <w:t>. C</w:t>
      </w:r>
      <w:r w:rsidR="001D7A8D">
        <w:t>onsider how to ensure inclusion of diverse stakeholders, includin</w:t>
      </w:r>
      <w:r w:rsidR="00DF7E74">
        <w:t>g district data coordinators, human resources</w:t>
      </w:r>
      <w:r w:rsidR="001D7A8D">
        <w:t xml:space="preserve"> personnel, students, and representatives of historically disadvantaged student groups. Districts should prioritize consulting</w:t>
      </w:r>
      <w:r w:rsidR="00DF7E74">
        <w:t xml:space="preserve"> with</w:t>
      </w:r>
      <w:r w:rsidR="001D7A8D">
        <w:t xml:space="preserve"> </w:t>
      </w:r>
      <w:r w:rsidR="001D7A8D" w:rsidRPr="004A31B3">
        <w:rPr>
          <w:b/>
        </w:rPr>
        <w:t>administrators, teachers and parents</w:t>
      </w:r>
      <w:r w:rsidR="001D7A8D">
        <w:t>.</w:t>
      </w:r>
    </w:p>
    <w:p w14:paraId="358B96DD" w14:textId="77777777" w:rsidR="001D7A8D" w:rsidRDefault="001D7A8D" w:rsidP="001D7A8D">
      <w:pPr>
        <w:pStyle w:val="Heading2"/>
      </w:pPr>
    </w:p>
    <w:p w14:paraId="4727632B" w14:textId="77777777" w:rsidR="001D7A8D" w:rsidRDefault="001D7A8D" w:rsidP="001D7A8D"/>
    <w:p w14:paraId="4D143C04" w14:textId="77777777" w:rsidR="001D7A8D" w:rsidRDefault="001D7A8D" w:rsidP="001D7A8D"/>
    <w:p w14:paraId="1C4F45AA" w14:textId="77777777" w:rsidR="001D7A8D" w:rsidRDefault="001D7A8D" w:rsidP="001D7A8D"/>
    <w:p w14:paraId="283046ED" w14:textId="77777777" w:rsidR="001D7A8D" w:rsidRDefault="001D7A8D" w:rsidP="001D7A8D"/>
    <w:p w14:paraId="5F1DC677" w14:textId="77777777" w:rsidR="00924DF8" w:rsidRDefault="00924DF8" w:rsidP="001D7A8D">
      <w:pPr>
        <w:rPr>
          <w:b/>
        </w:rPr>
      </w:pPr>
    </w:p>
    <w:p w14:paraId="1453B14E" w14:textId="77777777" w:rsidR="008E06B3" w:rsidRDefault="008E06B3" w:rsidP="001D7A8D">
      <w:pPr>
        <w:rPr>
          <w:b/>
        </w:rPr>
      </w:pPr>
      <w:r>
        <w:rPr>
          <w:b/>
        </w:rPr>
        <w:t>Examples of stakeholder engagement questions:</w:t>
      </w:r>
    </w:p>
    <w:p w14:paraId="69C5AA4A" w14:textId="77777777" w:rsidR="008E06B3" w:rsidRDefault="008E06B3" w:rsidP="008E06B3">
      <w:pPr>
        <w:pStyle w:val="ListParagraph"/>
        <w:numPr>
          <w:ilvl w:val="0"/>
          <w:numId w:val="1"/>
        </w:numPr>
        <w:spacing w:after="0" w:line="240" w:lineRule="auto"/>
        <w:rPr>
          <w:rFonts w:eastAsia="FangSong" w:cstheme="minorHAnsi"/>
        </w:rPr>
      </w:pPr>
      <w:r w:rsidRPr="005E4550">
        <w:rPr>
          <w:rFonts w:eastAsia="FangSong" w:cstheme="minorHAnsi"/>
        </w:rPr>
        <w:t>How are students assigned to teachers each year?</w:t>
      </w:r>
    </w:p>
    <w:p w14:paraId="5F22D87C" w14:textId="77777777" w:rsidR="008E06B3" w:rsidRDefault="008E06B3" w:rsidP="008E06B3">
      <w:pPr>
        <w:pStyle w:val="ListParagraph"/>
        <w:numPr>
          <w:ilvl w:val="0"/>
          <w:numId w:val="1"/>
        </w:numPr>
        <w:spacing w:after="0" w:line="240" w:lineRule="auto"/>
        <w:rPr>
          <w:rFonts w:eastAsia="FangSong" w:cstheme="minorHAnsi"/>
        </w:rPr>
      </w:pPr>
      <w:r>
        <w:rPr>
          <w:rFonts w:eastAsia="FangSong" w:cstheme="minorHAnsi"/>
        </w:rPr>
        <w:t>What are we prioritizing in hiring new teachers?</w:t>
      </w:r>
    </w:p>
    <w:p w14:paraId="56D7F3B3" w14:textId="77777777" w:rsidR="008E06B3" w:rsidRDefault="008E06B3" w:rsidP="008E06B3">
      <w:pPr>
        <w:pStyle w:val="ListParagraph"/>
        <w:numPr>
          <w:ilvl w:val="0"/>
          <w:numId w:val="1"/>
        </w:numPr>
        <w:spacing w:after="0" w:line="240" w:lineRule="auto"/>
        <w:rPr>
          <w:rFonts w:eastAsia="FangSong" w:cstheme="minorHAnsi"/>
        </w:rPr>
      </w:pPr>
      <w:r>
        <w:rPr>
          <w:rFonts w:eastAsia="FangSong" w:cstheme="minorHAnsi"/>
        </w:rPr>
        <w:t>How does the distribution of our educator evaluation ratings and feedback contribute to gaps in performance?</w:t>
      </w:r>
    </w:p>
    <w:p w14:paraId="35ACEE06" w14:textId="2021962A" w:rsidR="008E06B3" w:rsidRPr="005E4550" w:rsidRDefault="008E06B3" w:rsidP="008E06B3">
      <w:pPr>
        <w:pStyle w:val="ListParagraph"/>
        <w:numPr>
          <w:ilvl w:val="0"/>
          <w:numId w:val="1"/>
        </w:numPr>
        <w:spacing w:after="0" w:line="240" w:lineRule="auto"/>
        <w:rPr>
          <w:rFonts w:eastAsia="FangSong" w:cstheme="minorHAnsi"/>
        </w:rPr>
      </w:pPr>
      <w:r>
        <w:rPr>
          <w:rFonts w:eastAsia="FangSong" w:cstheme="minorHAnsi"/>
        </w:rPr>
        <w:t xml:space="preserve">What structures </w:t>
      </w:r>
      <w:r w:rsidR="00DF7E74">
        <w:rPr>
          <w:rFonts w:eastAsia="FangSong" w:cstheme="minorHAnsi"/>
        </w:rPr>
        <w:t>in the</w:t>
      </w:r>
      <w:r>
        <w:rPr>
          <w:rFonts w:eastAsia="FangSong" w:cstheme="minorHAnsi"/>
        </w:rPr>
        <w:t xml:space="preserve"> master schedule are influencing assignment?</w:t>
      </w:r>
    </w:p>
    <w:p w14:paraId="0A86DEE0" w14:textId="77777777" w:rsidR="00010B43" w:rsidRPr="005E4550" w:rsidRDefault="00010B43" w:rsidP="00010B43">
      <w:pPr>
        <w:pStyle w:val="ListParagraph"/>
        <w:numPr>
          <w:ilvl w:val="0"/>
          <w:numId w:val="1"/>
        </w:numPr>
        <w:spacing w:after="0" w:line="240" w:lineRule="auto"/>
        <w:rPr>
          <w:rFonts w:eastAsia="FangSong" w:cstheme="minorHAnsi"/>
        </w:rPr>
      </w:pPr>
      <w:r w:rsidRPr="005E4550">
        <w:rPr>
          <w:rFonts w:eastAsia="FangSong" w:cstheme="minorHAnsi"/>
        </w:rPr>
        <w:t>Could root causes of gaps be different in elementary and secondary schools? For example, class assignment often occurs differently in high school. Tracked classes are more common in secondary schools.</w:t>
      </w:r>
    </w:p>
    <w:p w14:paraId="59D8A8B5" w14:textId="77777777" w:rsidR="008E06B3" w:rsidRDefault="008E06B3" w:rsidP="001D7A8D">
      <w:pPr>
        <w:pStyle w:val="ListParagraph"/>
        <w:numPr>
          <w:ilvl w:val="0"/>
          <w:numId w:val="1"/>
        </w:numPr>
        <w:spacing w:after="0" w:line="240" w:lineRule="auto"/>
        <w:rPr>
          <w:rFonts w:eastAsia="FangSong" w:cstheme="minorHAnsi"/>
        </w:rPr>
      </w:pPr>
      <w:r w:rsidRPr="005E4550">
        <w:rPr>
          <w:rFonts w:eastAsia="FangSong" w:cstheme="minorHAnsi"/>
        </w:rPr>
        <w:t xml:space="preserve">How </w:t>
      </w:r>
      <w:r>
        <w:rPr>
          <w:rFonts w:eastAsia="FangSong" w:cstheme="minorHAnsi"/>
        </w:rPr>
        <w:t>do schools decide which teachers have which classes</w:t>
      </w:r>
      <w:r w:rsidRPr="005E4550">
        <w:rPr>
          <w:rFonts w:eastAsia="FangSong" w:cstheme="minorHAnsi"/>
        </w:rPr>
        <w:t>? For example, are certain types of teachers more likely to teach advanced, inclusion, or SEI classes? Does this vary across schools?</w:t>
      </w:r>
    </w:p>
    <w:p w14:paraId="67CCFF1E" w14:textId="77777777" w:rsidR="008E06B3" w:rsidRPr="008E06B3" w:rsidRDefault="008E06B3" w:rsidP="008E06B3">
      <w:pPr>
        <w:pStyle w:val="ListParagraph"/>
        <w:spacing w:after="0" w:line="240" w:lineRule="auto"/>
        <w:ind w:left="360"/>
        <w:rPr>
          <w:rFonts w:eastAsia="FangSong" w:cstheme="minorHAnsi"/>
        </w:rPr>
      </w:pPr>
    </w:p>
    <w:tbl>
      <w:tblPr>
        <w:tblStyle w:val="TableGrid"/>
        <w:tblW w:w="0" w:type="auto"/>
        <w:tblLook w:val="04A0" w:firstRow="1" w:lastRow="0" w:firstColumn="1" w:lastColumn="0" w:noHBand="0" w:noVBand="1"/>
        <w:tblDescription w:val="Table for tracking stakeholder input"/>
      </w:tblPr>
      <w:tblGrid>
        <w:gridCol w:w="1975"/>
        <w:gridCol w:w="8815"/>
      </w:tblGrid>
      <w:tr w:rsidR="00924DF8" w:rsidRPr="001F6D99" w14:paraId="5B736ECF" w14:textId="77777777" w:rsidTr="005819B7">
        <w:trPr>
          <w:trHeight w:val="710"/>
          <w:tblHeader/>
        </w:trPr>
        <w:tc>
          <w:tcPr>
            <w:tcW w:w="1975" w:type="dxa"/>
          </w:tcPr>
          <w:p w14:paraId="3E641A29" w14:textId="77777777" w:rsidR="00924DF8" w:rsidRPr="00174FB1" w:rsidRDefault="00924DF8" w:rsidP="00924DF8">
            <w:pPr>
              <w:jc w:val="center"/>
              <w:rPr>
                <w:b/>
              </w:rPr>
            </w:pPr>
            <w:r w:rsidRPr="00174FB1">
              <w:rPr>
                <w:b/>
              </w:rPr>
              <w:t xml:space="preserve">Stakeholder </w:t>
            </w:r>
            <w:r>
              <w:rPr>
                <w:b/>
              </w:rPr>
              <w:t>name:</w:t>
            </w:r>
          </w:p>
        </w:tc>
        <w:tc>
          <w:tcPr>
            <w:tcW w:w="8815" w:type="dxa"/>
          </w:tcPr>
          <w:p w14:paraId="214C5ED4" w14:textId="77777777" w:rsidR="00924DF8" w:rsidRPr="00174FB1" w:rsidRDefault="00924DF8" w:rsidP="00924DF8">
            <w:pPr>
              <w:rPr>
                <w:b/>
              </w:rPr>
            </w:pPr>
            <w:r w:rsidRPr="00174FB1">
              <w:rPr>
                <w:b/>
              </w:rPr>
              <w:t>Key questions/input to solicit</w:t>
            </w:r>
            <w:r>
              <w:rPr>
                <w:b/>
              </w:rPr>
              <w:t>:</w:t>
            </w:r>
          </w:p>
          <w:p w14:paraId="09DEACE2" w14:textId="77777777" w:rsidR="00924DF8" w:rsidRDefault="00924DF8" w:rsidP="00615988">
            <w:pPr>
              <w:contextualSpacing/>
              <w:rPr>
                <w:color w:val="5B9BD5" w:themeColor="accent1"/>
              </w:rPr>
            </w:pPr>
          </w:p>
          <w:p w14:paraId="3E9B009D" w14:textId="77777777" w:rsidR="00924DF8" w:rsidRPr="00174FB1" w:rsidRDefault="00924DF8" w:rsidP="00615988">
            <w:pPr>
              <w:contextualSpacing/>
              <w:rPr>
                <w:b/>
              </w:rPr>
            </w:pPr>
          </w:p>
        </w:tc>
      </w:tr>
      <w:tr w:rsidR="005B1042" w14:paraId="012F65C5" w14:textId="77777777" w:rsidTr="005819B7">
        <w:trPr>
          <w:tblHeader/>
        </w:trPr>
        <w:tc>
          <w:tcPr>
            <w:tcW w:w="10790" w:type="dxa"/>
            <w:gridSpan w:val="2"/>
          </w:tcPr>
          <w:p w14:paraId="766EEAFD" w14:textId="77777777" w:rsidR="005B1042" w:rsidRPr="005B1042" w:rsidRDefault="005B1042" w:rsidP="00615988">
            <w:pPr>
              <w:contextualSpacing/>
              <w:rPr>
                <w:b/>
              </w:rPr>
            </w:pPr>
            <w:r w:rsidRPr="005B1042">
              <w:rPr>
                <w:b/>
              </w:rPr>
              <w:t>Key takeaways for root cause analysis:</w:t>
            </w:r>
          </w:p>
          <w:p w14:paraId="1839EC6A" w14:textId="77777777" w:rsidR="005B1042" w:rsidRPr="005B1042" w:rsidRDefault="005B1042" w:rsidP="00615988">
            <w:pPr>
              <w:contextualSpacing/>
            </w:pPr>
          </w:p>
        </w:tc>
      </w:tr>
      <w:tr w:rsidR="005B1042" w14:paraId="1D8D768E" w14:textId="77777777" w:rsidTr="005819B7">
        <w:trPr>
          <w:tblHeader/>
        </w:trPr>
        <w:tc>
          <w:tcPr>
            <w:tcW w:w="10790" w:type="dxa"/>
            <w:gridSpan w:val="2"/>
          </w:tcPr>
          <w:p w14:paraId="125FE014" w14:textId="77777777" w:rsidR="005B1042" w:rsidRPr="005B1042" w:rsidRDefault="005B1042" w:rsidP="00615988">
            <w:pPr>
              <w:contextualSpacing/>
              <w:rPr>
                <w:b/>
              </w:rPr>
            </w:pPr>
            <w:r w:rsidRPr="005B1042">
              <w:rPr>
                <w:b/>
              </w:rPr>
              <w:t>Key takeaways for strategy development:</w:t>
            </w:r>
          </w:p>
          <w:p w14:paraId="03242AE0" w14:textId="77777777" w:rsidR="005B1042" w:rsidRPr="005B1042" w:rsidRDefault="005B1042" w:rsidP="00615988">
            <w:pPr>
              <w:contextualSpacing/>
              <w:rPr>
                <w:b/>
              </w:rPr>
            </w:pPr>
          </w:p>
        </w:tc>
      </w:tr>
      <w:tr w:rsidR="00924DF8" w:rsidRPr="00174FB1" w14:paraId="535B6FDE" w14:textId="77777777" w:rsidTr="005819B7">
        <w:trPr>
          <w:trHeight w:val="1137"/>
          <w:tblHeader/>
        </w:trPr>
        <w:tc>
          <w:tcPr>
            <w:tcW w:w="1975" w:type="dxa"/>
          </w:tcPr>
          <w:p w14:paraId="5709F6FF" w14:textId="77777777" w:rsidR="00924DF8" w:rsidRPr="00174FB1" w:rsidRDefault="00924DF8" w:rsidP="00A409D9">
            <w:pPr>
              <w:jc w:val="center"/>
              <w:rPr>
                <w:b/>
              </w:rPr>
            </w:pPr>
            <w:bookmarkStart w:id="1" w:name="_Consulting_stakeholders"/>
            <w:bookmarkStart w:id="2" w:name="_Developing_strategies_to"/>
            <w:bookmarkEnd w:id="1"/>
            <w:bookmarkEnd w:id="2"/>
            <w:r w:rsidRPr="00174FB1">
              <w:rPr>
                <w:b/>
              </w:rPr>
              <w:t xml:space="preserve">Stakeholder </w:t>
            </w:r>
            <w:r>
              <w:rPr>
                <w:b/>
              </w:rPr>
              <w:t>name:</w:t>
            </w:r>
          </w:p>
        </w:tc>
        <w:tc>
          <w:tcPr>
            <w:tcW w:w="8815" w:type="dxa"/>
          </w:tcPr>
          <w:p w14:paraId="34557FD3" w14:textId="34654AAF" w:rsidR="00924DF8" w:rsidRPr="00174FB1" w:rsidRDefault="00924DF8" w:rsidP="00924DF8">
            <w:pPr>
              <w:rPr>
                <w:b/>
              </w:rPr>
            </w:pPr>
            <w:r w:rsidRPr="00174FB1">
              <w:rPr>
                <w:b/>
              </w:rPr>
              <w:t xml:space="preserve">Key questions/input to </w:t>
            </w:r>
            <w:r w:rsidR="006D3291">
              <w:rPr>
                <w:b/>
              </w:rPr>
              <w:t>solicit:</w:t>
            </w:r>
          </w:p>
          <w:p w14:paraId="4F158217" w14:textId="77777777" w:rsidR="00924DF8" w:rsidRDefault="00924DF8" w:rsidP="00924DF8">
            <w:pPr>
              <w:contextualSpacing/>
              <w:jc w:val="both"/>
              <w:rPr>
                <w:color w:val="5B9BD5" w:themeColor="accent1"/>
              </w:rPr>
            </w:pPr>
          </w:p>
          <w:p w14:paraId="072C8E4A" w14:textId="77777777" w:rsidR="00924DF8" w:rsidRPr="00174FB1" w:rsidRDefault="00924DF8" w:rsidP="00A409D9">
            <w:pPr>
              <w:contextualSpacing/>
              <w:rPr>
                <w:b/>
              </w:rPr>
            </w:pPr>
          </w:p>
        </w:tc>
      </w:tr>
      <w:tr w:rsidR="00924DF8" w:rsidRPr="005B1042" w14:paraId="40C6D75F" w14:textId="77777777" w:rsidTr="005819B7">
        <w:trPr>
          <w:tblHeader/>
        </w:trPr>
        <w:tc>
          <w:tcPr>
            <w:tcW w:w="10790" w:type="dxa"/>
            <w:gridSpan w:val="2"/>
          </w:tcPr>
          <w:p w14:paraId="75DF8052" w14:textId="77777777" w:rsidR="00924DF8" w:rsidRPr="005B1042" w:rsidRDefault="00924DF8" w:rsidP="00A409D9">
            <w:pPr>
              <w:contextualSpacing/>
              <w:rPr>
                <w:b/>
              </w:rPr>
            </w:pPr>
            <w:r w:rsidRPr="005B1042">
              <w:rPr>
                <w:b/>
              </w:rPr>
              <w:t>Key takeaways for root cause analysis:</w:t>
            </w:r>
          </w:p>
          <w:p w14:paraId="1A4AC07A" w14:textId="77777777" w:rsidR="00924DF8" w:rsidRPr="005B1042" w:rsidRDefault="00924DF8" w:rsidP="00A409D9">
            <w:pPr>
              <w:contextualSpacing/>
            </w:pPr>
          </w:p>
        </w:tc>
      </w:tr>
      <w:tr w:rsidR="00924DF8" w:rsidRPr="005B1042" w14:paraId="739D9133" w14:textId="77777777" w:rsidTr="005819B7">
        <w:trPr>
          <w:tblHeader/>
        </w:trPr>
        <w:tc>
          <w:tcPr>
            <w:tcW w:w="10790" w:type="dxa"/>
            <w:gridSpan w:val="2"/>
          </w:tcPr>
          <w:p w14:paraId="27412331" w14:textId="77777777" w:rsidR="00924DF8" w:rsidRPr="005B1042" w:rsidRDefault="00924DF8" w:rsidP="00A409D9">
            <w:pPr>
              <w:contextualSpacing/>
              <w:rPr>
                <w:b/>
              </w:rPr>
            </w:pPr>
            <w:r w:rsidRPr="005B1042">
              <w:rPr>
                <w:b/>
              </w:rPr>
              <w:t>Key takeaways for strategy development:</w:t>
            </w:r>
          </w:p>
          <w:p w14:paraId="08EFD3D0" w14:textId="77777777" w:rsidR="00924DF8" w:rsidRPr="005B1042" w:rsidRDefault="00924DF8" w:rsidP="00A409D9">
            <w:pPr>
              <w:contextualSpacing/>
              <w:rPr>
                <w:b/>
              </w:rPr>
            </w:pPr>
          </w:p>
        </w:tc>
      </w:tr>
    </w:tbl>
    <w:p w14:paraId="7ED84C08" w14:textId="77777777" w:rsidR="00924DF8" w:rsidRDefault="00924DF8" w:rsidP="00924DF8"/>
    <w:tbl>
      <w:tblPr>
        <w:tblStyle w:val="TableGrid"/>
        <w:tblW w:w="0" w:type="auto"/>
        <w:tblLook w:val="04A0" w:firstRow="1" w:lastRow="0" w:firstColumn="1" w:lastColumn="0" w:noHBand="0" w:noVBand="1"/>
        <w:tblDescription w:val="Table for tracking stakeholder input"/>
      </w:tblPr>
      <w:tblGrid>
        <w:gridCol w:w="1975"/>
        <w:gridCol w:w="8815"/>
      </w:tblGrid>
      <w:tr w:rsidR="00924DF8" w:rsidRPr="00174FB1" w14:paraId="3B503DCF" w14:textId="77777777" w:rsidTr="005819B7">
        <w:trPr>
          <w:trHeight w:val="1137"/>
          <w:tblHeader/>
        </w:trPr>
        <w:tc>
          <w:tcPr>
            <w:tcW w:w="1975" w:type="dxa"/>
          </w:tcPr>
          <w:p w14:paraId="4AE9CE82" w14:textId="77777777" w:rsidR="00924DF8" w:rsidRPr="00174FB1" w:rsidRDefault="00924DF8" w:rsidP="00A409D9">
            <w:pPr>
              <w:jc w:val="center"/>
              <w:rPr>
                <w:b/>
              </w:rPr>
            </w:pPr>
            <w:r w:rsidRPr="00174FB1">
              <w:rPr>
                <w:b/>
              </w:rPr>
              <w:lastRenderedPageBreak/>
              <w:t xml:space="preserve">Stakeholder </w:t>
            </w:r>
            <w:r>
              <w:rPr>
                <w:b/>
              </w:rPr>
              <w:t>name:</w:t>
            </w:r>
          </w:p>
        </w:tc>
        <w:tc>
          <w:tcPr>
            <w:tcW w:w="8815" w:type="dxa"/>
          </w:tcPr>
          <w:p w14:paraId="06A437F5" w14:textId="77777777" w:rsidR="00924DF8" w:rsidRPr="00174FB1" w:rsidRDefault="00924DF8" w:rsidP="00924DF8">
            <w:pPr>
              <w:rPr>
                <w:b/>
              </w:rPr>
            </w:pPr>
            <w:r w:rsidRPr="00174FB1">
              <w:rPr>
                <w:b/>
              </w:rPr>
              <w:t>Key questions/input to solicit</w:t>
            </w:r>
            <w:r>
              <w:rPr>
                <w:b/>
              </w:rPr>
              <w:t>:</w:t>
            </w:r>
          </w:p>
          <w:p w14:paraId="6503669A" w14:textId="77777777" w:rsidR="00924DF8" w:rsidRDefault="00924DF8" w:rsidP="00A409D9">
            <w:pPr>
              <w:contextualSpacing/>
              <w:rPr>
                <w:color w:val="5B9BD5" w:themeColor="accent1"/>
              </w:rPr>
            </w:pPr>
          </w:p>
          <w:p w14:paraId="4E840F6A" w14:textId="77777777" w:rsidR="00924DF8" w:rsidRPr="00174FB1" w:rsidRDefault="00924DF8" w:rsidP="00A409D9">
            <w:pPr>
              <w:contextualSpacing/>
              <w:rPr>
                <w:b/>
              </w:rPr>
            </w:pPr>
          </w:p>
        </w:tc>
      </w:tr>
      <w:tr w:rsidR="00924DF8" w:rsidRPr="005B1042" w14:paraId="529F2779" w14:textId="77777777" w:rsidTr="005819B7">
        <w:trPr>
          <w:tblHeader/>
        </w:trPr>
        <w:tc>
          <w:tcPr>
            <w:tcW w:w="10790" w:type="dxa"/>
            <w:gridSpan w:val="2"/>
          </w:tcPr>
          <w:p w14:paraId="1060020C" w14:textId="77777777" w:rsidR="00924DF8" w:rsidRPr="005B1042" w:rsidRDefault="00924DF8" w:rsidP="00A409D9">
            <w:pPr>
              <w:contextualSpacing/>
              <w:rPr>
                <w:b/>
              </w:rPr>
            </w:pPr>
            <w:r w:rsidRPr="005B1042">
              <w:rPr>
                <w:b/>
              </w:rPr>
              <w:t>Key takeaways for root cause analysis:</w:t>
            </w:r>
          </w:p>
          <w:p w14:paraId="4E3B43A6" w14:textId="77777777" w:rsidR="00924DF8" w:rsidRPr="005B1042" w:rsidRDefault="00924DF8" w:rsidP="00A409D9">
            <w:pPr>
              <w:contextualSpacing/>
            </w:pPr>
          </w:p>
        </w:tc>
      </w:tr>
      <w:tr w:rsidR="00924DF8" w:rsidRPr="005B1042" w14:paraId="6D01D5BF" w14:textId="77777777" w:rsidTr="005819B7">
        <w:trPr>
          <w:tblHeader/>
        </w:trPr>
        <w:tc>
          <w:tcPr>
            <w:tcW w:w="10790" w:type="dxa"/>
            <w:gridSpan w:val="2"/>
          </w:tcPr>
          <w:p w14:paraId="3EBA2393" w14:textId="77777777" w:rsidR="00924DF8" w:rsidRPr="005B1042" w:rsidRDefault="00924DF8" w:rsidP="00A409D9">
            <w:pPr>
              <w:contextualSpacing/>
              <w:rPr>
                <w:b/>
              </w:rPr>
            </w:pPr>
            <w:r w:rsidRPr="005B1042">
              <w:rPr>
                <w:b/>
              </w:rPr>
              <w:t>Key takeaways for strategy development:</w:t>
            </w:r>
          </w:p>
          <w:p w14:paraId="05F39759" w14:textId="77777777" w:rsidR="00924DF8" w:rsidRPr="005B1042" w:rsidRDefault="00924DF8" w:rsidP="00A409D9">
            <w:pPr>
              <w:contextualSpacing/>
              <w:rPr>
                <w:b/>
              </w:rPr>
            </w:pPr>
          </w:p>
        </w:tc>
      </w:tr>
    </w:tbl>
    <w:p w14:paraId="7A71E4DD" w14:textId="77777777" w:rsidR="001D7A8D" w:rsidRDefault="005B1042" w:rsidP="001D7A8D">
      <w:pPr>
        <w:pStyle w:val="Heading2"/>
      </w:pPr>
      <w:r>
        <w:t>Analyzing root causes based on stakeholder feedback and quantitative/qualitative data</w:t>
      </w:r>
    </w:p>
    <w:p w14:paraId="7E65E273" w14:textId="77777777" w:rsidR="00C84BDC" w:rsidRDefault="00C84BDC" w:rsidP="00C84BDC">
      <w:r>
        <w:rPr>
          <w:noProof/>
          <w:lang w:eastAsia="zh-CN"/>
        </w:rPr>
        <mc:AlternateContent>
          <mc:Choice Requires="wps">
            <w:drawing>
              <wp:anchor distT="0" distB="0" distL="114300" distR="114300" simplePos="0" relativeHeight="251661312" behindDoc="0" locked="0" layoutInCell="1" allowOverlap="1" wp14:anchorId="4D020FF2" wp14:editId="19EB330F">
                <wp:simplePos x="0" y="0"/>
                <wp:positionH relativeFrom="margin">
                  <wp:align>right</wp:align>
                </wp:positionH>
                <wp:positionV relativeFrom="paragraph">
                  <wp:posOffset>279124</wp:posOffset>
                </wp:positionV>
                <wp:extent cx="6858000" cy="1065475"/>
                <wp:effectExtent l="0" t="0" r="19050" b="2095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65475"/>
                        </a:xfrm>
                        <a:prstGeom prst="roundRect">
                          <a:avLst>
                            <a:gd name="adj" fmla="val 16667"/>
                          </a:avLst>
                        </a:prstGeom>
                        <a:solidFill>
                          <a:srgbClr val="FFFFFF"/>
                        </a:solidFill>
                        <a:ln w="9525">
                          <a:solidFill>
                            <a:schemeClr val="accent5"/>
                          </a:solidFill>
                          <a:round/>
                          <a:headEnd/>
                          <a:tailEnd/>
                        </a:ln>
                      </wps:spPr>
                      <wps:txbx>
                        <w:txbxContent>
                          <w:p w14:paraId="45EC4B4C" w14:textId="6AB9D768" w:rsidR="00C84BDC" w:rsidRPr="00CE2DEE" w:rsidRDefault="00C84BDC" w:rsidP="00C84BDC">
                            <w:pPr>
                              <w:spacing w:line="240" w:lineRule="auto"/>
                              <w:contextualSpacing/>
                            </w:pPr>
                            <w:r w:rsidRPr="00010B43">
                              <w:rPr>
                                <w:b/>
                                <w:color w:val="4472C4" w:themeColor="accent5"/>
                              </w:rPr>
                              <w:t>Example</w:t>
                            </w:r>
                            <w:r w:rsidR="00E82444">
                              <w:rPr>
                                <w:b/>
                                <w:color w:val="4472C4" w:themeColor="accent5"/>
                              </w:rPr>
                              <w:t xml:space="preserve"> case</w:t>
                            </w:r>
                            <w:r w:rsidRPr="00010B43">
                              <w:rPr>
                                <w:b/>
                                <w:color w:val="4472C4" w:themeColor="accent5"/>
                              </w:rPr>
                              <w:t xml:space="preserve">: </w:t>
                            </w:r>
                            <w:r w:rsidR="002B3D2A">
                              <w:t>District C</w:t>
                            </w:r>
                            <w:r>
                              <w:t xml:space="preserve"> may conclude that </w:t>
                            </w:r>
                            <w:r w:rsidR="005B1042">
                              <w:t xml:space="preserve">equity gaps are partially due to teachers waiting until the summer to report that they plan to leave. </w:t>
                            </w:r>
                            <w:r w:rsidR="002B3D2A">
                              <w:t>In that case,</w:t>
                            </w:r>
                            <w:r>
                              <w:t xml:space="preserve"> </w:t>
                            </w:r>
                            <w:r w:rsidR="002B3D2A">
                              <w:t xml:space="preserve">administrators in </w:t>
                            </w:r>
                            <w:r>
                              <w:t xml:space="preserve">schools with more economically disadvantaged students </w:t>
                            </w:r>
                            <w:r w:rsidR="005B1042">
                              <w:t>must often find new hires at the last minut</w:t>
                            </w:r>
                            <w:r w:rsidR="00010B43">
                              <w:t xml:space="preserve">e, when the highest </w:t>
                            </w:r>
                            <w:r w:rsidR="005B1042">
                              <w:t>quality candidates are no longer available</w:t>
                            </w:r>
                            <w:r>
                              <w:t>. One factor that the district can control is incentives to disclose plans to leave early, such as allowing departing teachers to retain their benefits over the summer, so that the school can hire replacement teachers earlier.</w:t>
                            </w:r>
                          </w:p>
                          <w:p w14:paraId="15118A2A" w14:textId="77777777" w:rsidR="00C84BDC" w:rsidRPr="0063654A" w:rsidRDefault="00C84BDC" w:rsidP="00C84BDC">
                            <w:pPr>
                              <w:spacing w:line="240" w:lineRule="auto"/>
                              <w:contextual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020FF2" id="AutoShape 37" o:spid="_x0000_s1027" style="position:absolute;margin-left:488.8pt;margin-top:22pt;width:540pt;height:83.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" strokecolor="#4472c4 [3208]">
                <v:textbox>
                  <w:txbxContent>
                    <w:p w14:paraId="45EC4B4C" w14:textId="6AB9D768" w:rsidR="00C84BDC" w:rsidRPr="00CE2DEE" w:rsidRDefault="00C84BDC" w:rsidP="00C84BDC">
                      <w:pPr>
                        <w:spacing w:line="240" w:lineRule="auto"/>
                        <w:contextualSpacing/>
                      </w:pPr>
                      <w:r w:rsidRPr="00010B43">
                        <w:rPr>
                          <w:b/>
                          <w:color w:val="4472C4" w:themeColor="accent5"/>
                        </w:rPr>
                        <w:t>Example</w:t>
                      </w:r>
                      <w:r w:rsidR="00E82444">
                        <w:rPr>
                          <w:b/>
                          <w:color w:val="4472C4" w:themeColor="accent5"/>
                        </w:rPr>
                        <w:t xml:space="preserve"> case</w:t>
                      </w:r>
                      <w:r w:rsidRPr="00010B43">
                        <w:rPr>
                          <w:b/>
                          <w:color w:val="4472C4" w:themeColor="accent5"/>
                        </w:rPr>
                        <w:t xml:space="preserve">: </w:t>
                      </w:r>
                      <w:r w:rsidR="002B3D2A">
                        <w:t>District C</w:t>
                      </w:r>
                      <w:r>
                        <w:t xml:space="preserve"> may conclude that </w:t>
                      </w:r>
                      <w:r w:rsidR="005B1042">
                        <w:t xml:space="preserve">equity gaps are partially due to teachers waiting until the summer to report that they plan to leave. </w:t>
                      </w:r>
                      <w:r w:rsidR="002B3D2A">
                        <w:t>In that case,</w:t>
                      </w:r>
                      <w:r>
                        <w:t xml:space="preserve"> </w:t>
                      </w:r>
                      <w:r w:rsidR="002B3D2A">
                        <w:t xml:space="preserve">administrators in </w:t>
                      </w:r>
                      <w:r>
                        <w:t xml:space="preserve">schools with more economically disadvantaged students </w:t>
                      </w:r>
                      <w:r w:rsidR="005B1042">
                        <w:t>must often find new hires at the last minut</w:t>
                      </w:r>
                      <w:r w:rsidR="00010B43">
                        <w:t xml:space="preserve">e, when the highest </w:t>
                      </w:r>
                      <w:r w:rsidR="005B1042">
                        <w:t>quality candidates are no longer available</w:t>
                      </w:r>
                      <w:r>
                        <w:t>. One factor that the district can control is incentives to disclose plans to leave early, such as allowing departing teachers to retain their benefits over the summer, so that the school can hire replacement teachers earlier.</w:t>
                      </w:r>
                    </w:p>
                    <w:p w14:paraId="15118A2A" w14:textId="77777777" w:rsidR="00C84BDC" w:rsidRPr="0063654A" w:rsidRDefault="00C84BDC" w:rsidP="00C84BDC">
                      <w:pPr>
                        <w:spacing w:line="240" w:lineRule="auto"/>
                        <w:contextualSpacing/>
                      </w:pPr>
                    </w:p>
                  </w:txbxContent>
                </v:textbox>
                <w10:wrap anchorx="margin"/>
              </v:roundrect>
            </w:pict>
          </mc:Fallback>
        </mc:AlternateContent>
      </w:r>
      <w:r>
        <w:t>Quantitative data and knowledge of local contexts should inform a discussion of root causes of gaps in educator access.</w:t>
      </w:r>
    </w:p>
    <w:p w14:paraId="25AD52D6" w14:textId="77777777" w:rsidR="00C84BDC" w:rsidRDefault="00C84BDC" w:rsidP="00C84BDC"/>
    <w:p w14:paraId="054F955E" w14:textId="77777777" w:rsidR="00C84BDC" w:rsidRDefault="00C84BDC" w:rsidP="00C84BDC"/>
    <w:p w14:paraId="5921DE69" w14:textId="77777777" w:rsidR="00C84BDC" w:rsidRDefault="00C84BDC" w:rsidP="00C84BDC">
      <w:r>
        <w:t>\</w:t>
      </w:r>
    </w:p>
    <w:p w14:paraId="035E42E2" w14:textId="77777777" w:rsidR="00C84BDC" w:rsidRDefault="00C84BDC" w:rsidP="00C84BDC">
      <w:pPr>
        <w:rPr>
          <w:sz w:val="2"/>
          <w:szCs w:val="2"/>
        </w:rPr>
      </w:pPr>
      <w:r w:rsidRPr="00CE2DEE">
        <w:rPr>
          <w:sz w:val="2"/>
          <w:szCs w:val="2"/>
        </w:rPr>
        <w:t xml:space="preserve"> </w:t>
      </w:r>
    </w:p>
    <w:p w14:paraId="52387852" w14:textId="77777777" w:rsidR="00FF5AE3" w:rsidRPr="00CE2DEE" w:rsidRDefault="00FF5AE3" w:rsidP="00C84BDC">
      <w:pPr>
        <w:rPr>
          <w:sz w:val="2"/>
          <w:szCs w:val="2"/>
        </w:rPr>
      </w:pPr>
    </w:p>
    <w:tbl>
      <w:tblPr>
        <w:tblStyle w:val="TexasToolkittable1"/>
        <w:tblW w:w="0" w:type="auto"/>
        <w:tblCellMar>
          <w:left w:w="58" w:type="dxa"/>
          <w:right w:w="58" w:type="dxa"/>
        </w:tblCellMar>
        <w:tblLook w:val="0600" w:firstRow="0" w:lastRow="0" w:firstColumn="0" w:lastColumn="0" w:noHBand="1" w:noVBand="1"/>
        <w:tblDescription w:val="Table for organizing notes on root causes"/>
      </w:tblPr>
      <w:tblGrid>
        <w:gridCol w:w="10345"/>
      </w:tblGrid>
      <w:tr w:rsidR="00FF5AE3" w:rsidRPr="006D3291" w14:paraId="76021A2C" w14:textId="77777777" w:rsidTr="005819B7">
        <w:trPr>
          <w:trHeight w:val="279"/>
          <w:tblHeader/>
        </w:trPr>
        <w:tc>
          <w:tcPr>
            <w:tcW w:w="10345" w:type="dxa"/>
            <w:shd w:val="clear" w:color="auto" w:fill="BDD6EE" w:themeFill="accent1" w:themeFillTint="66"/>
          </w:tcPr>
          <w:p w14:paraId="5B6CBFAC" w14:textId="77777777" w:rsidR="00FF5AE3" w:rsidRPr="006D3291" w:rsidRDefault="00FF5AE3" w:rsidP="00A409D9">
            <w:pPr>
              <w:pStyle w:val="TableSubheading"/>
              <w:rPr>
                <w:rFonts w:asciiTheme="minorHAnsi" w:hAnsiTheme="minorHAnsi" w:cstheme="minorHAnsi"/>
                <w:b/>
              </w:rPr>
            </w:pPr>
            <w:r w:rsidRPr="006D3291">
              <w:rPr>
                <w:rFonts w:asciiTheme="minorHAnsi" w:hAnsiTheme="minorHAnsi" w:cstheme="minorHAnsi"/>
                <w:b/>
              </w:rPr>
              <w:t>Specific equity gap area:</w:t>
            </w:r>
            <w:r w:rsidRPr="006D3291">
              <w:rPr>
                <w:rStyle w:val="FootnoteReference"/>
                <w:rFonts w:asciiTheme="minorHAnsi" w:hAnsiTheme="minorHAnsi" w:cstheme="minorHAnsi"/>
                <w:b/>
              </w:rPr>
              <w:footnoteReference w:id="1"/>
            </w:r>
            <w:r w:rsidRPr="006D3291">
              <w:rPr>
                <w:rFonts w:asciiTheme="minorHAnsi" w:hAnsiTheme="minorHAnsi" w:cstheme="minorHAnsi"/>
                <w:b/>
              </w:rPr>
              <w:t xml:space="preserve"> </w:t>
            </w:r>
          </w:p>
        </w:tc>
      </w:tr>
      <w:tr w:rsidR="003816EE" w:rsidRPr="006D3291" w14:paraId="75AE98C4" w14:textId="77777777" w:rsidTr="005819B7">
        <w:trPr>
          <w:trHeight w:val="305"/>
          <w:tblHeader/>
        </w:trPr>
        <w:tc>
          <w:tcPr>
            <w:tcW w:w="10345" w:type="dxa"/>
            <w:shd w:val="clear" w:color="auto" w:fill="DEEAF6" w:themeFill="accent1" w:themeFillTint="33"/>
          </w:tcPr>
          <w:p w14:paraId="49B31161" w14:textId="77777777" w:rsidR="003816EE" w:rsidRPr="006D3291" w:rsidRDefault="003816EE" w:rsidP="00A409D9">
            <w:pPr>
              <w:pStyle w:val="TableSubheading"/>
              <w:rPr>
                <w:rFonts w:asciiTheme="minorHAnsi" w:hAnsiTheme="minorHAnsi" w:cstheme="minorHAnsi"/>
              </w:rPr>
            </w:pPr>
            <w:r w:rsidRPr="006D3291">
              <w:rPr>
                <w:rFonts w:asciiTheme="minorHAnsi" w:hAnsiTheme="minorHAnsi" w:cstheme="minorHAnsi"/>
              </w:rPr>
              <w:t>Which of the following are likely categories of root causes for this gap area?</w:t>
            </w:r>
          </w:p>
        </w:tc>
      </w:tr>
      <w:tr w:rsidR="00FF5AE3" w:rsidRPr="006D3291" w14:paraId="3837AC58" w14:textId="77777777" w:rsidTr="005819B7">
        <w:trPr>
          <w:trHeight w:val="548"/>
          <w:tblHeader/>
        </w:trPr>
        <w:tc>
          <w:tcPr>
            <w:tcW w:w="10345" w:type="dxa"/>
          </w:tcPr>
          <w:p w14:paraId="462791F0" w14:textId="77777777" w:rsidR="00643CB5" w:rsidRPr="006D3291" w:rsidRDefault="00643CB5" w:rsidP="00643CB5">
            <w:pPr>
              <w:pStyle w:val="ListParagraph"/>
              <w:numPr>
                <w:ilvl w:val="0"/>
                <w:numId w:val="1"/>
              </w:numPr>
              <w:spacing w:after="0" w:line="240" w:lineRule="auto"/>
              <w:rPr>
                <w:rFonts w:cstheme="minorHAnsi"/>
                <w:sz w:val="20"/>
                <w:szCs w:val="20"/>
              </w:rPr>
            </w:pPr>
            <w:r w:rsidRPr="006D3291">
              <w:rPr>
                <w:rFonts w:cstheme="minorHAnsi"/>
                <w:sz w:val="20"/>
                <w:szCs w:val="20"/>
              </w:rPr>
              <w:t>Teacher recruitment and hiring</w:t>
            </w:r>
          </w:p>
          <w:p w14:paraId="77166C0A" w14:textId="77777777" w:rsidR="00643CB5" w:rsidRPr="006D3291" w:rsidRDefault="00643CB5" w:rsidP="00643CB5">
            <w:pPr>
              <w:pStyle w:val="ListParagraph"/>
              <w:numPr>
                <w:ilvl w:val="0"/>
                <w:numId w:val="1"/>
              </w:numPr>
              <w:spacing w:after="0" w:line="240" w:lineRule="auto"/>
              <w:rPr>
                <w:rFonts w:cstheme="minorHAnsi"/>
                <w:sz w:val="20"/>
                <w:szCs w:val="20"/>
              </w:rPr>
            </w:pPr>
            <w:r w:rsidRPr="006D3291">
              <w:rPr>
                <w:rFonts w:cstheme="minorHAnsi"/>
                <w:sz w:val="20"/>
                <w:szCs w:val="20"/>
              </w:rPr>
              <w:t>Teacher development and assignment</w:t>
            </w:r>
          </w:p>
          <w:p w14:paraId="323BC341" w14:textId="77777777" w:rsidR="00643CB5" w:rsidRPr="006D3291" w:rsidRDefault="00643CB5" w:rsidP="00643CB5">
            <w:pPr>
              <w:pStyle w:val="ListParagraph"/>
              <w:numPr>
                <w:ilvl w:val="0"/>
                <w:numId w:val="1"/>
              </w:numPr>
              <w:spacing w:after="0" w:line="240" w:lineRule="auto"/>
              <w:rPr>
                <w:rFonts w:cstheme="minorHAnsi"/>
                <w:sz w:val="20"/>
                <w:szCs w:val="20"/>
              </w:rPr>
            </w:pPr>
            <w:r w:rsidRPr="006D3291">
              <w:rPr>
                <w:rFonts w:cstheme="minorHAnsi"/>
                <w:sz w:val="20"/>
                <w:szCs w:val="20"/>
              </w:rPr>
              <w:t>Teacher retention</w:t>
            </w:r>
          </w:p>
          <w:p w14:paraId="39BE65C3" w14:textId="77777777" w:rsidR="00643CB5" w:rsidRPr="006D3291" w:rsidRDefault="00643CB5" w:rsidP="00643CB5">
            <w:pPr>
              <w:pStyle w:val="ListParagraph"/>
              <w:numPr>
                <w:ilvl w:val="0"/>
                <w:numId w:val="1"/>
              </w:numPr>
              <w:spacing w:after="0" w:line="240" w:lineRule="auto"/>
              <w:rPr>
                <w:rFonts w:cstheme="minorHAnsi"/>
                <w:sz w:val="20"/>
                <w:szCs w:val="20"/>
              </w:rPr>
            </w:pPr>
            <w:r w:rsidRPr="006D3291">
              <w:rPr>
                <w:rFonts w:cstheme="minorHAnsi"/>
                <w:sz w:val="20"/>
                <w:szCs w:val="20"/>
              </w:rPr>
              <w:t>Evaluator calibration</w:t>
            </w:r>
          </w:p>
          <w:p w14:paraId="5852B8D0" w14:textId="77777777" w:rsidR="00643CB5" w:rsidRPr="006D3291" w:rsidRDefault="00357818" w:rsidP="00643CB5">
            <w:pPr>
              <w:pStyle w:val="ListParagraph"/>
              <w:numPr>
                <w:ilvl w:val="0"/>
                <w:numId w:val="1"/>
              </w:numPr>
              <w:spacing w:after="0" w:line="240" w:lineRule="auto"/>
              <w:rPr>
                <w:rFonts w:cstheme="minorHAnsi"/>
              </w:rPr>
            </w:pPr>
            <w:r w:rsidRPr="006D3291">
              <w:rPr>
                <w:rFonts w:cstheme="minorHAnsi"/>
                <w:sz w:val="20"/>
                <w:szCs w:val="20"/>
              </w:rPr>
              <w:t>Student course selection and assignment</w:t>
            </w:r>
          </w:p>
          <w:p w14:paraId="7888EEA2" w14:textId="77777777" w:rsidR="003816EE" w:rsidRPr="006D3291" w:rsidRDefault="003816EE" w:rsidP="00643CB5">
            <w:pPr>
              <w:pStyle w:val="ListParagraph"/>
              <w:numPr>
                <w:ilvl w:val="0"/>
                <w:numId w:val="1"/>
              </w:numPr>
              <w:spacing w:after="0" w:line="240" w:lineRule="auto"/>
              <w:rPr>
                <w:rFonts w:cstheme="minorHAnsi"/>
              </w:rPr>
            </w:pPr>
            <w:r w:rsidRPr="006D3291">
              <w:rPr>
                <w:rFonts w:cstheme="minorHAnsi"/>
                <w:sz w:val="20"/>
                <w:szCs w:val="20"/>
              </w:rPr>
              <w:t>Other: ________________________</w:t>
            </w:r>
          </w:p>
        </w:tc>
      </w:tr>
      <w:tr w:rsidR="003816EE" w:rsidRPr="006D3291" w14:paraId="6447153F" w14:textId="77777777" w:rsidTr="005819B7">
        <w:trPr>
          <w:tblHeader/>
        </w:trPr>
        <w:tc>
          <w:tcPr>
            <w:tcW w:w="10345" w:type="dxa"/>
            <w:shd w:val="clear" w:color="auto" w:fill="DEEAF6" w:themeFill="accent1" w:themeFillTint="33"/>
          </w:tcPr>
          <w:p w14:paraId="4ADB9099" w14:textId="77777777" w:rsidR="003816EE" w:rsidRPr="006D3291" w:rsidRDefault="003816EE" w:rsidP="00A409D9">
            <w:pPr>
              <w:pStyle w:val="TableSubheading"/>
              <w:rPr>
                <w:rFonts w:asciiTheme="minorHAnsi" w:hAnsiTheme="minorHAnsi" w:cstheme="minorHAnsi"/>
              </w:rPr>
            </w:pPr>
            <w:r w:rsidRPr="006D3291">
              <w:rPr>
                <w:rFonts w:asciiTheme="minorHAnsi" w:hAnsiTheme="minorHAnsi" w:cstheme="minorHAnsi"/>
              </w:rPr>
              <w:t>How are the selected root cause categories connected to this equity gap?</w:t>
            </w:r>
            <w:r w:rsidR="002B3D2A" w:rsidRPr="006D3291">
              <w:rPr>
                <w:rFonts w:asciiTheme="minorHAnsi" w:hAnsiTheme="minorHAnsi" w:cstheme="minorHAnsi"/>
              </w:rPr>
              <w:t xml:space="preserve"> Which causes are within the district’s control?</w:t>
            </w:r>
          </w:p>
        </w:tc>
      </w:tr>
      <w:tr w:rsidR="003816EE" w:rsidRPr="006D3291" w14:paraId="258AADD8" w14:textId="77777777" w:rsidTr="005819B7">
        <w:trPr>
          <w:trHeight w:val="620"/>
          <w:tblHeader/>
        </w:trPr>
        <w:tc>
          <w:tcPr>
            <w:tcW w:w="10345" w:type="dxa"/>
          </w:tcPr>
          <w:p w14:paraId="1606FFA9" w14:textId="77777777" w:rsidR="003816EE" w:rsidRPr="006D3291" w:rsidRDefault="003816EE" w:rsidP="00A409D9">
            <w:pPr>
              <w:pStyle w:val="TableSubheading"/>
              <w:rPr>
                <w:rFonts w:asciiTheme="minorHAnsi" w:hAnsiTheme="minorHAnsi" w:cstheme="minorHAnsi"/>
              </w:rPr>
            </w:pPr>
          </w:p>
        </w:tc>
      </w:tr>
      <w:tr w:rsidR="003816EE" w:rsidRPr="006D3291" w14:paraId="1C127C2C" w14:textId="77777777" w:rsidTr="005819B7">
        <w:trPr>
          <w:tblHeader/>
        </w:trPr>
        <w:tc>
          <w:tcPr>
            <w:tcW w:w="10345" w:type="dxa"/>
            <w:shd w:val="clear" w:color="auto" w:fill="DEEAF6" w:themeFill="accent1" w:themeFillTint="33"/>
          </w:tcPr>
          <w:p w14:paraId="543BFAD4" w14:textId="079442D3" w:rsidR="003816EE" w:rsidRPr="006D3291" w:rsidRDefault="003816EE" w:rsidP="002B3D2A">
            <w:pPr>
              <w:pStyle w:val="TableSubheading"/>
              <w:rPr>
                <w:rFonts w:asciiTheme="minorHAnsi" w:hAnsiTheme="minorHAnsi" w:cstheme="minorHAnsi"/>
              </w:rPr>
            </w:pPr>
            <w:r w:rsidRPr="006D3291">
              <w:rPr>
                <w:rFonts w:asciiTheme="minorHAnsi" w:hAnsiTheme="minorHAnsi" w:cstheme="minorHAnsi"/>
              </w:rPr>
              <w:t xml:space="preserve">Why do you think this is the case? </w:t>
            </w:r>
          </w:p>
        </w:tc>
      </w:tr>
      <w:tr w:rsidR="003816EE" w:rsidRPr="006D3291" w14:paraId="038E4D51" w14:textId="77777777" w:rsidTr="005819B7">
        <w:trPr>
          <w:trHeight w:val="647"/>
          <w:tblHeader/>
        </w:trPr>
        <w:tc>
          <w:tcPr>
            <w:tcW w:w="10345" w:type="dxa"/>
          </w:tcPr>
          <w:p w14:paraId="0C325FB5" w14:textId="77777777" w:rsidR="003816EE" w:rsidRPr="006D3291" w:rsidRDefault="003816EE" w:rsidP="00A409D9">
            <w:pPr>
              <w:pStyle w:val="TableSubheading"/>
              <w:rPr>
                <w:rFonts w:asciiTheme="minorHAnsi" w:hAnsiTheme="minorHAnsi" w:cstheme="minorHAnsi"/>
              </w:rPr>
            </w:pPr>
          </w:p>
        </w:tc>
      </w:tr>
      <w:tr w:rsidR="003816EE" w:rsidRPr="006D3291" w14:paraId="70899735" w14:textId="77777777" w:rsidTr="005819B7">
        <w:trPr>
          <w:tblHeader/>
        </w:trPr>
        <w:tc>
          <w:tcPr>
            <w:tcW w:w="10345" w:type="dxa"/>
            <w:shd w:val="clear" w:color="auto" w:fill="DEEAF6" w:themeFill="accent1" w:themeFillTint="33"/>
          </w:tcPr>
          <w:p w14:paraId="0538D680" w14:textId="77777777" w:rsidR="003816EE" w:rsidRPr="006D3291" w:rsidRDefault="003816EE" w:rsidP="00A409D9">
            <w:pPr>
              <w:pStyle w:val="TableSubheading"/>
              <w:rPr>
                <w:rFonts w:asciiTheme="minorHAnsi" w:hAnsiTheme="minorHAnsi" w:cstheme="minorHAnsi"/>
              </w:rPr>
            </w:pPr>
            <w:r w:rsidRPr="006D3291">
              <w:rPr>
                <w:rFonts w:asciiTheme="minorHAnsi" w:hAnsiTheme="minorHAnsi" w:cstheme="minorHAnsi"/>
              </w:rPr>
              <w:t>How do you know? (data/evidence)</w:t>
            </w:r>
          </w:p>
        </w:tc>
      </w:tr>
      <w:tr w:rsidR="003816EE" w:rsidRPr="006D3291" w14:paraId="24565508" w14:textId="77777777" w:rsidTr="005819B7">
        <w:trPr>
          <w:trHeight w:val="692"/>
          <w:tblHeader/>
        </w:trPr>
        <w:tc>
          <w:tcPr>
            <w:tcW w:w="10345" w:type="dxa"/>
          </w:tcPr>
          <w:p w14:paraId="697ABA9F" w14:textId="77777777" w:rsidR="003816EE" w:rsidRPr="006D3291" w:rsidRDefault="003816EE" w:rsidP="00A409D9">
            <w:pPr>
              <w:pStyle w:val="TableSubheading"/>
              <w:rPr>
                <w:rFonts w:asciiTheme="minorHAnsi" w:hAnsiTheme="minorHAnsi" w:cstheme="minorHAnsi"/>
              </w:rPr>
            </w:pPr>
          </w:p>
        </w:tc>
      </w:tr>
      <w:tr w:rsidR="003816EE" w:rsidRPr="006D3291" w14:paraId="33117B85" w14:textId="77777777" w:rsidTr="005819B7">
        <w:trPr>
          <w:tblHeader/>
        </w:trPr>
        <w:tc>
          <w:tcPr>
            <w:tcW w:w="10345" w:type="dxa"/>
            <w:shd w:val="clear" w:color="auto" w:fill="DEEAF6" w:themeFill="accent1" w:themeFillTint="33"/>
          </w:tcPr>
          <w:p w14:paraId="1F08E3A2" w14:textId="77777777" w:rsidR="003816EE" w:rsidRPr="006D3291" w:rsidRDefault="003816EE" w:rsidP="00A409D9">
            <w:pPr>
              <w:pStyle w:val="TableSubheading"/>
              <w:keepNext/>
              <w:rPr>
                <w:rFonts w:asciiTheme="minorHAnsi" w:hAnsiTheme="minorHAnsi" w:cstheme="minorHAnsi"/>
              </w:rPr>
            </w:pPr>
            <w:r w:rsidRPr="006D3291">
              <w:rPr>
                <w:rFonts w:asciiTheme="minorHAnsi" w:hAnsiTheme="minorHAnsi" w:cstheme="minorHAnsi"/>
              </w:rPr>
              <w:t xml:space="preserve">What are the </w:t>
            </w:r>
            <w:r w:rsidRPr="006D3291">
              <w:rPr>
                <w:rFonts w:asciiTheme="minorHAnsi" w:hAnsiTheme="minorHAnsi" w:cstheme="minorHAnsi"/>
                <w:i/>
              </w:rPr>
              <w:t>specific</w:t>
            </w:r>
            <w:r w:rsidRPr="006D3291">
              <w:rPr>
                <w:rFonts w:asciiTheme="minorHAnsi" w:hAnsiTheme="minorHAnsi" w:cstheme="minorHAnsi"/>
              </w:rPr>
              <w:t xml:space="preserve"> root cause/s?</w:t>
            </w:r>
          </w:p>
        </w:tc>
      </w:tr>
      <w:tr w:rsidR="003816EE" w:rsidRPr="006D3291" w14:paraId="1645CCF6" w14:textId="77777777" w:rsidTr="005819B7">
        <w:trPr>
          <w:trHeight w:val="647"/>
          <w:tblHeader/>
        </w:trPr>
        <w:tc>
          <w:tcPr>
            <w:tcW w:w="10345" w:type="dxa"/>
          </w:tcPr>
          <w:p w14:paraId="40BC6399" w14:textId="77777777" w:rsidR="003816EE" w:rsidRPr="006D3291" w:rsidRDefault="003816EE" w:rsidP="00A409D9">
            <w:pPr>
              <w:pStyle w:val="TableSubheading"/>
              <w:rPr>
                <w:rFonts w:asciiTheme="minorHAnsi" w:hAnsiTheme="minorHAnsi" w:cstheme="minorHAnsi"/>
              </w:rPr>
            </w:pPr>
          </w:p>
        </w:tc>
      </w:tr>
    </w:tbl>
    <w:p w14:paraId="0ED4ADD2" w14:textId="77777777" w:rsidR="00FF5AE3" w:rsidRPr="006D3291" w:rsidRDefault="00FF5AE3" w:rsidP="00C84BDC">
      <w:pPr>
        <w:rPr>
          <w:rFonts w:cstheme="minorHAnsi"/>
        </w:rPr>
      </w:pPr>
    </w:p>
    <w:p w14:paraId="45271B0C" w14:textId="2C78CCB2" w:rsidR="00C84BDC" w:rsidRPr="00FF5AE3" w:rsidRDefault="00C84BDC" w:rsidP="00FF5AE3">
      <w:pPr>
        <w:sectPr w:rsidR="00C84BDC" w:rsidRPr="00FF5AE3" w:rsidSect="00CE2DEE">
          <w:headerReference w:type="default" r:id="rId13"/>
          <w:headerReference w:type="first" r:id="rId14"/>
          <w:pgSz w:w="12240" w:h="15840"/>
          <w:pgMar w:top="720" w:right="720" w:bottom="720" w:left="720" w:header="720" w:footer="720" w:gutter="0"/>
          <w:cols w:space="720"/>
          <w:docGrid w:linePitch="360"/>
        </w:sectPr>
      </w:pPr>
    </w:p>
    <w:p w14:paraId="08456E75" w14:textId="77777777" w:rsidR="00C84BDC" w:rsidRPr="00DE5D4A" w:rsidRDefault="00C84BDC" w:rsidP="00C84BDC">
      <w:pPr>
        <w:pStyle w:val="TableTitle"/>
        <w:rPr>
          <w:rFonts w:asciiTheme="minorHAnsi" w:hAnsiTheme="minorHAnsi"/>
        </w:rPr>
      </w:pPr>
    </w:p>
    <w:p w14:paraId="6AAB42D6" w14:textId="77777777" w:rsidR="003816EE" w:rsidRDefault="00643CB5" w:rsidP="003816EE">
      <w:pPr>
        <w:pStyle w:val="TableTitle"/>
        <w:rPr>
          <w:rFonts w:asciiTheme="minorHAnsi" w:hAnsiTheme="minorHAnsi"/>
          <w:b/>
        </w:rPr>
      </w:pPr>
      <w:r>
        <w:rPr>
          <w:rFonts w:asciiTheme="minorHAnsi" w:hAnsiTheme="minorHAnsi"/>
          <w:b/>
        </w:rPr>
        <w:t>Example template:</w:t>
      </w:r>
    </w:p>
    <w:tbl>
      <w:tblPr>
        <w:tblStyle w:val="TexasToolkittable1"/>
        <w:tblW w:w="0" w:type="auto"/>
        <w:tblCellMar>
          <w:left w:w="58" w:type="dxa"/>
          <w:right w:w="58" w:type="dxa"/>
        </w:tblCellMar>
        <w:tblLook w:val="0600" w:firstRow="0" w:lastRow="0" w:firstColumn="0" w:lastColumn="0" w:noHBand="1" w:noVBand="1"/>
        <w:tblDescription w:val="Example completed template of table for taking notes on root causes"/>
      </w:tblPr>
      <w:tblGrid>
        <w:gridCol w:w="10345"/>
      </w:tblGrid>
      <w:tr w:rsidR="003816EE" w:rsidRPr="006D3291" w14:paraId="174D2B5A" w14:textId="77777777" w:rsidTr="0049777B">
        <w:trPr>
          <w:trHeight w:val="279"/>
          <w:tblHeader/>
        </w:trPr>
        <w:tc>
          <w:tcPr>
            <w:tcW w:w="10345" w:type="dxa"/>
            <w:shd w:val="clear" w:color="auto" w:fill="BDD6EE" w:themeFill="accent1" w:themeFillTint="66"/>
          </w:tcPr>
          <w:p w14:paraId="472FFEC2" w14:textId="77777777" w:rsidR="003816EE" w:rsidRPr="006D3291" w:rsidRDefault="003816EE" w:rsidP="003816EE">
            <w:pPr>
              <w:pStyle w:val="TableSubheading"/>
              <w:rPr>
                <w:rFonts w:asciiTheme="minorHAnsi" w:hAnsiTheme="minorHAnsi" w:cstheme="minorHAnsi"/>
              </w:rPr>
            </w:pPr>
            <w:r w:rsidRPr="006D3291">
              <w:rPr>
                <w:rFonts w:asciiTheme="minorHAnsi" w:hAnsiTheme="minorHAnsi" w:cstheme="minorHAnsi"/>
                <w:b/>
              </w:rPr>
              <w:t xml:space="preserve">Specific equity gap area: </w:t>
            </w:r>
            <w:r w:rsidRPr="006D3291">
              <w:rPr>
                <w:rFonts w:asciiTheme="minorHAnsi" w:hAnsiTheme="minorHAnsi" w:cstheme="minorHAnsi"/>
                <w:i/>
              </w:rPr>
              <w:t>In District E, ELs are less likely to be assigned to teachers rated E/P.</w:t>
            </w:r>
          </w:p>
        </w:tc>
      </w:tr>
      <w:tr w:rsidR="003816EE" w:rsidRPr="006D3291" w14:paraId="2F7163A4" w14:textId="77777777" w:rsidTr="0049777B">
        <w:trPr>
          <w:trHeight w:val="305"/>
          <w:tblHeader/>
        </w:trPr>
        <w:tc>
          <w:tcPr>
            <w:tcW w:w="10345" w:type="dxa"/>
            <w:shd w:val="clear" w:color="auto" w:fill="DEEAF6" w:themeFill="accent1" w:themeFillTint="33"/>
          </w:tcPr>
          <w:p w14:paraId="0684CB21" w14:textId="77777777" w:rsidR="003816EE" w:rsidRPr="006D3291" w:rsidRDefault="003816EE" w:rsidP="00A409D9">
            <w:pPr>
              <w:pStyle w:val="TableSubheading"/>
              <w:rPr>
                <w:rFonts w:asciiTheme="minorHAnsi" w:hAnsiTheme="minorHAnsi" w:cstheme="minorHAnsi"/>
              </w:rPr>
            </w:pPr>
            <w:r w:rsidRPr="006D3291">
              <w:rPr>
                <w:rFonts w:asciiTheme="minorHAnsi" w:hAnsiTheme="minorHAnsi" w:cstheme="minorHAnsi"/>
              </w:rPr>
              <w:t>Which of the following are likely categories of root causes for this gap area?</w:t>
            </w:r>
          </w:p>
        </w:tc>
      </w:tr>
      <w:tr w:rsidR="003816EE" w:rsidRPr="006D3291" w14:paraId="4D11B62A" w14:textId="77777777" w:rsidTr="0049777B">
        <w:trPr>
          <w:trHeight w:val="548"/>
          <w:tblHeader/>
        </w:trPr>
        <w:tc>
          <w:tcPr>
            <w:tcW w:w="10345" w:type="dxa"/>
          </w:tcPr>
          <w:p w14:paraId="2C085C54" w14:textId="77777777" w:rsidR="003816EE" w:rsidRPr="006D3291" w:rsidRDefault="003816EE" w:rsidP="00A409D9">
            <w:pPr>
              <w:pStyle w:val="ListParagraph"/>
              <w:numPr>
                <w:ilvl w:val="0"/>
                <w:numId w:val="1"/>
              </w:numPr>
              <w:spacing w:after="0" w:line="240" w:lineRule="auto"/>
              <w:rPr>
                <w:rFonts w:cstheme="minorHAnsi"/>
                <w:b/>
                <w:sz w:val="20"/>
                <w:szCs w:val="20"/>
                <w:u w:val="single"/>
              </w:rPr>
            </w:pPr>
            <w:r w:rsidRPr="006D3291">
              <w:rPr>
                <w:rFonts w:cstheme="minorHAnsi"/>
                <w:b/>
                <w:sz w:val="20"/>
                <w:szCs w:val="20"/>
                <w:u w:val="single"/>
              </w:rPr>
              <w:t>Teacher recruitment and hiring</w:t>
            </w:r>
          </w:p>
          <w:p w14:paraId="57CABC82" w14:textId="77777777" w:rsidR="003816EE" w:rsidRPr="006D3291" w:rsidRDefault="003816EE" w:rsidP="00A409D9">
            <w:pPr>
              <w:pStyle w:val="ListParagraph"/>
              <w:numPr>
                <w:ilvl w:val="0"/>
                <w:numId w:val="1"/>
              </w:numPr>
              <w:spacing w:after="0" w:line="240" w:lineRule="auto"/>
              <w:rPr>
                <w:rFonts w:cstheme="minorHAnsi"/>
                <w:b/>
                <w:sz w:val="20"/>
                <w:szCs w:val="20"/>
                <w:u w:val="single"/>
              </w:rPr>
            </w:pPr>
            <w:r w:rsidRPr="006D3291">
              <w:rPr>
                <w:rFonts w:cstheme="minorHAnsi"/>
                <w:b/>
                <w:sz w:val="20"/>
                <w:szCs w:val="20"/>
                <w:u w:val="single"/>
              </w:rPr>
              <w:t>Teacher development and assignment</w:t>
            </w:r>
          </w:p>
          <w:p w14:paraId="17AEB7B2" w14:textId="77777777" w:rsidR="003816EE" w:rsidRPr="006D3291" w:rsidRDefault="003816EE" w:rsidP="00A409D9">
            <w:pPr>
              <w:pStyle w:val="ListParagraph"/>
              <w:numPr>
                <w:ilvl w:val="0"/>
                <w:numId w:val="1"/>
              </w:numPr>
              <w:spacing w:after="0" w:line="240" w:lineRule="auto"/>
              <w:rPr>
                <w:rFonts w:cstheme="minorHAnsi"/>
                <w:sz w:val="20"/>
                <w:szCs w:val="20"/>
              </w:rPr>
            </w:pPr>
            <w:r w:rsidRPr="006D3291">
              <w:rPr>
                <w:rFonts w:cstheme="minorHAnsi"/>
                <w:sz w:val="20"/>
                <w:szCs w:val="20"/>
              </w:rPr>
              <w:t>Evaluator calibration</w:t>
            </w:r>
          </w:p>
          <w:p w14:paraId="24C9F3CB" w14:textId="77777777" w:rsidR="003816EE" w:rsidRPr="006D3291" w:rsidRDefault="003816EE" w:rsidP="00A409D9">
            <w:pPr>
              <w:pStyle w:val="ListParagraph"/>
              <w:numPr>
                <w:ilvl w:val="0"/>
                <w:numId w:val="1"/>
              </w:numPr>
              <w:spacing w:after="0" w:line="240" w:lineRule="auto"/>
              <w:rPr>
                <w:rFonts w:cstheme="minorHAnsi"/>
              </w:rPr>
            </w:pPr>
            <w:r w:rsidRPr="006D3291">
              <w:rPr>
                <w:rFonts w:cstheme="minorHAnsi"/>
                <w:sz w:val="20"/>
                <w:szCs w:val="20"/>
              </w:rPr>
              <w:t>Student course selection and assignment</w:t>
            </w:r>
          </w:p>
          <w:p w14:paraId="729A7B33" w14:textId="77777777" w:rsidR="003816EE" w:rsidRPr="006D3291" w:rsidRDefault="003816EE" w:rsidP="003816EE">
            <w:pPr>
              <w:pStyle w:val="ListParagraph"/>
              <w:numPr>
                <w:ilvl w:val="0"/>
                <w:numId w:val="1"/>
              </w:numPr>
              <w:spacing w:after="0" w:line="240" w:lineRule="auto"/>
              <w:rPr>
                <w:rFonts w:cstheme="minorHAnsi"/>
                <w:b/>
                <w:sz w:val="20"/>
                <w:szCs w:val="20"/>
                <w:u w:val="single"/>
              </w:rPr>
            </w:pPr>
            <w:r w:rsidRPr="006D3291">
              <w:rPr>
                <w:rFonts w:cstheme="minorHAnsi"/>
                <w:b/>
                <w:sz w:val="20"/>
                <w:szCs w:val="20"/>
                <w:u w:val="single"/>
              </w:rPr>
              <w:t>Teacher retention</w:t>
            </w:r>
          </w:p>
          <w:p w14:paraId="2B75462B" w14:textId="77777777" w:rsidR="003816EE" w:rsidRPr="006D3291" w:rsidRDefault="003816EE" w:rsidP="00A409D9">
            <w:pPr>
              <w:pStyle w:val="ListParagraph"/>
              <w:numPr>
                <w:ilvl w:val="0"/>
                <w:numId w:val="1"/>
              </w:numPr>
              <w:spacing w:after="0" w:line="240" w:lineRule="auto"/>
              <w:rPr>
                <w:rFonts w:cstheme="minorHAnsi"/>
              </w:rPr>
            </w:pPr>
            <w:r w:rsidRPr="006D3291">
              <w:rPr>
                <w:rFonts w:cstheme="minorHAnsi"/>
                <w:sz w:val="20"/>
                <w:szCs w:val="20"/>
              </w:rPr>
              <w:t>Other: ________________________</w:t>
            </w:r>
          </w:p>
        </w:tc>
      </w:tr>
      <w:tr w:rsidR="003816EE" w:rsidRPr="006D3291" w14:paraId="279B1556" w14:textId="77777777" w:rsidTr="0049777B">
        <w:trPr>
          <w:tblHeader/>
        </w:trPr>
        <w:tc>
          <w:tcPr>
            <w:tcW w:w="10345" w:type="dxa"/>
            <w:shd w:val="clear" w:color="auto" w:fill="DEEAF6" w:themeFill="accent1" w:themeFillTint="33"/>
          </w:tcPr>
          <w:p w14:paraId="3B863B3B" w14:textId="5487D9F5" w:rsidR="003816EE" w:rsidRPr="006D3291" w:rsidRDefault="003816EE" w:rsidP="00A409D9">
            <w:pPr>
              <w:pStyle w:val="TableSubheading"/>
              <w:rPr>
                <w:rFonts w:asciiTheme="minorHAnsi" w:hAnsiTheme="minorHAnsi" w:cstheme="minorHAnsi"/>
              </w:rPr>
            </w:pPr>
            <w:r w:rsidRPr="006D3291">
              <w:rPr>
                <w:rFonts w:asciiTheme="minorHAnsi" w:hAnsiTheme="minorHAnsi" w:cstheme="minorHAnsi"/>
              </w:rPr>
              <w:t>How are the selected root cause categories connected to this equity gap?</w:t>
            </w:r>
            <w:r w:rsidR="00010B43" w:rsidRPr="006D3291">
              <w:rPr>
                <w:rFonts w:asciiTheme="minorHAnsi" w:hAnsiTheme="minorHAnsi" w:cstheme="minorHAnsi"/>
              </w:rPr>
              <w:t xml:space="preserve"> Which causes are within the district’s control?</w:t>
            </w:r>
          </w:p>
        </w:tc>
      </w:tr>
      <w:tr w:rsidR="003816EE" w:rsidRPr="006D3291" w14:paraId="53FAFDF9" w14:textId="77777777" w:rsidTr="0049777B">
        <w:trPr>
          <w:trHeight w:val="620"/>
          <w:tblHeader/>
        </w:trPr>
        <w:tc>
          <w:tcPr>
            <w:tcW w:w="10345" w:type="dxa"/>
          </w:tcPr>
          <w:p w14:paraId="038E41FD" w14:textId="77777777" w:rsidR="003816EE" w:rsidRPr="006D3291" w:rsidRDefault="005E7384" w:rsidP="00E6699A">
            <w:pPr>
              <w:pStyle w:val="ListParagraph"/>
              <w:numPr>
                <w:ilvl w:val="0"/>
                <w:numId w:val="1"/>
              </w:numPr>
              <w:spacing w:after="0" w:line="240" w:lineRule="auto"/>
              <w:rPr>
                <w:rFonts w:cstheme="minorHAnsi"/>
                <w:i/>
                <w:sz w:val="20"/>
                <w:szCs w:val="20"/>
              </w:rPr>
            </w:pPr>
            <w:r w:rsidRPr="006D3291">
              <w:rPr>
                <w:rFonts w:cstheme="minorHAnsi"/>
                <w:i/>
                <w:sz w:val="20"/>
                <w:szCs w:val="20"/>
              </w:rPr>
              <w:t>We have difficulty recruiting and hiring teachers with a record of successfully teaching ELs.</w:t>
            </w:r>
          </w:p>
          <w:p w14:paraId="03862DCD" w14:textId="77777777" w:rsidR="005E7384" w:rsidRPr="006D3291" w:rsidRDefault="005E7384" w:rsidP="00E6699A">
            <w:pPr>
              <w:pStyle w:val="ListParagraph"/>
              <w:numPr>
                <w:ilvl w:val="0"/>
                <w:numId w:val="1"/>
              </w:numPr>
              <w:spacing w:after="0" w:line="240" w:lineRule="auto"/>
              <w:rPr>
                <w:rFonts w:cstheme="minorHAnsi"/>
                <w:i/>
                <w:sz w:val="20"/>
                <w:szCs w:val="20"/>
              </w:rPr>
            </w:pPr>
            <w:r w:rsidRPr="006D3291">
              <w:rPr>
                <w:rFonts w:cstheme="minorHAnsi"/>
                <w:i/>
                <w:sz w:val="20"/>
                <w:szCs w:val="20"/>
              </w:rPr>
              <w:t>Our teachers in schools with larger proportions of ELs require more support in teaching diverse learners.</w:t>
            </w:r>
          </w:p>
          <w:p w14:paraId="4D97CF5D" w14:textId="77777777" w:rsidR="005E7384" w:rsidRPr="006D3291" w:rsidRDefault="005E7384" w:rsidP="00E6699A">
            <w:pPr>
              <w:pStyle w:val="ListParagraph"/>
              <w:numPr>
                <w:ilvl w:val="0"/>
                <w:numId w:val="1"/>
              </w:numPr>
              <w:spacing w:after="0" w:line="240" w:lineRule="auto"/>
              <w:rPr>
                <w:rFonts w:cstheme="minorHAnsi"/>
                <w:i/>
              </w:rPr>
            </w:pPr>
            <w:r w:rsidRPr="006D3291">
              <w:rPr>
                <w:rFonts w:cstheme="minorHAnsi"/>
                <w:i/>
                <w:sz w:val="20"/>
                <w:szCs w:val="20"/>
              </w:rPr>
              <w:t>Our teachers in schools with larger proportions of ELs are more likely to leave the district.</w:t>
            </w:r>
          </w:p>
        </w:tc>
      </w:tr>
      <w:tr w:rsidR="003816EE" w:rsidRPr="006D3291" w14:paraId="6EBA7887" w14:textId="77777777" w:rsidTr="0049777B">
        <w:trPr>
          <w:tblHeader/>
        </w:trPr>
        <w:tc>
          <w:tcPr>
            <w:tcW w:w="10345" w:type="dxa"/>
            <w:shd w:val="clear" w:color="auto" w:fill="DEEAF6" w:themeFill="accent1" w:themeFillTint="33"/>
          </w:tcPr>
          <w:p w14:paraId="5EEE1578" w14:textId="09F320EA" w:rsidR="003816EE" w:rsidRPr="006D3291" w:rsidRDefault="003816EE" w:rsidP="00010B43">
            <w:pPr>
              <w:pStyle w:val="TableSubheading"/>
              <w:rPr>
                <w:rFonts w:asciiTheme="minorHAnsi" w:hAnsiTheme="minorHAnsi" w:cstheme="minorHAnsi"/>
              </w:rPr>
            </w:pPr>
            <w:r w:rsidRPr="006D3291">
              <w:rPr>
                <w:rFonts w:asciiTheme="minorHAnsi" w:hAnsiTheme="minorHAnsi" w:cstheme="minorHAnsi"/>
              </w:rPr>
              <w:t>Why</w:t>
            </w:r>
            <w:r w:rsidR="00010B43" w:rsidRPr="006D3291">
              <w:rPr>
                <w:rFonts w:asciiTheme="minorHAnsi" w:hAnsiTheme="minorHAnsi" w:cstheme="minorHAnsi"/>
              </w:rPr>
              <w:t xml:space="preserve"> do you think this is the case?</w:t>
            </w:r>
          </w:p>
        </w:tc>
      </w:tr>
      <w:tr w:rsidR="003816EE" w:rsidRPr="006D3291" w14:paraId="0FBA216E" w14:textId="77777777" w:rsidTr="0049777B">
        <w:trPr>
          <w:trHeight w:val="647"/>
          <w:tblHeader/>
        </w:trPr>
        <w:tc>
          <w:tcPr>
            <w:tcW w:w="10345" w:type="dxa"/>
          </w:tcPr>
          <w:p w14:paraId="02AECE61" w14:textId="77777777" w:rsidR="003816EE" w:rsidRPr="006D3291" w:rsidRDefault="005E7384" w:rsidP="00E6699A">
            <w:pPr>
              <w:pStyle w:val="ListParagraph"/>
              <w:numPr>
                <w:ilvl w:val="0"/>
                <w:numId w:val="1"/>
              </w:numPr>
              <w:spacing w:after="0" w:line="240" w:lineRule="auto"/>
              <w:rPr>
                <w:rFonts w:cstheme="minorHAnsi"/>
                <w:i/>
                <w:sz w:val="20"/>
                <w:szCs w:val="20"/>
              </w:rPr>
            </w:pPr>
            <w:r w:rsidRPr="006D3291">
              <w:rPr>
                <w:rFonts w:cstheme="minorHAnsi"/>
                <w:i/>
                <w:sz w:val="20"/>
                <w:szCs w:val="20"/>
              </w:rPr>
              <w:t>Teachers specifically seeking to work with ELs target district</w:t>
            </w:r>
            <w:r w:rsidR="00E6699A" w:rsidRPr="006D3291">
              <w:rPr>
                <w:rFonts w:cstheme="minorHAnsi"/>
                <w:i/>
                <w:sz w:val="20"/>
                <w:szCs w:val="20"/>
              </w:rPr>
              <w:t>s with a larger EL population, and w</w:t>
            </w:r>
            <w:r w:rsidRPr="006D3291">
              <w:rPr>
                <w:rFonts w:cstheme="minorHAnsi"/>
                <w:i/>
                <w:sz w:val="20"/>
                <w:szCs w:val="20"/>
              </w:rPr>
              <w:t>e hire relatively late in the year.</w:t>
            </w:r>
          </w:p>
          <w:p w14:paraId="0730121E" w14:textId="1992C5FB" w:rsidR="00E6699A" w:rsidRPr="006D3291" w:rsidRDefault="00E6699A" w:rsidP="00E6699A">
            <w:pPr>
              <w:pStyle w:val="ListParagraph"/>
              <w:numPr>
                <w:ilvl w:val="0"/>
                <w:numId w:val="1"/>
              </w:numPr>
              <w:spacing w:after="0" w:line="240" w:lineRule="auto"/>
              <w:rPr>
                <w:rFonts w:cstheme="minorHAnsi"/>
                <w:i/>
                <w:sz w:val="20"/>
                <w:szCs w:val="20"/>
              </w:rPr>
            </w:pPr>
            <w:r w:rsidRPr="006D3291">
              <w:rPr>
                <w:rFonts w:cstheme="minorHAnsi"/>
                <w:i/>
                <w:sz w:val="20"/>
                <w:szCs w:val="20"/>
              </w:rPr>
              <w:t xml:space="preserve">The district has focused on providing individual teachers with training, but not </w:t>
            </w:r>
            <w:r w:rsidR="006D3291">
              <w:rPr>
                <w:rFonts w:cstheme="minorHAnsi"/>
                <w:i/>
                <w:sz w:val="20"/>
                <w:szCs w:val="20"/>
              </w:rPr>
              <w:t xml:space="preserve">on </w:t>
            </w:r>
            <w:r w:rsidRPr="006D3291">
              <w:rPr>
                <w:rFonts w:cstheme="minorHAnsi"/>
                <w:i/>
                <w:sz w:val="20"/>
                <w:szCs w:val="20"/>
              </w:rPr>
              <w:t>a systemic approach to building leaders’, coaches’, and evaluators’ capacities to support teachers in serving ELs.</w:t>
            </w:r>
          </w:p>
          <w:p w14:paraId="5A33C930" w14:textId="77777777" w:rsidR="00E6699A" w:rsidRPr="006D3291" w:rsidRDefault="00E6699A" w:rsidP="00E6699A">
            <w:pPr>
              <w:pStyle w:val="ListParagraph"/>
              <w:numPr>
                <w:ilvl w:val="0"/>
                <w:numId w:val="1"/>
              </w:numPr>
              <w:spacing w:after="0" w:line="240" w:lineRule="auto"/>
              <w:rPr>
                <w:rFonts w:cstheme="minorHAnsi"/>
                <w:i/>
                <w:color w:val="808080" w:themeColor="background1" w:themeShade="80"/>
              </w:rPr>
            </w:pPr>
            <w:r w:rsidRPr="006D3291">
              <w:rPr>
                <w:rFonts w:cstheme="minorHAnsi"/>
                <w:i/>
                <w:sz w:val="20"/>
                <w:szCs w:val="20"/>
              </w:rPr>
              <w:t>Teachers do not feel adequately supported to teach ELs.</w:t>
            </w:r>
          </w:p>
        </w:tc>
      </w:tr>
      <w:tr w:rsidR="003816EE" w:rsidRPr="006D3291" w14:paraId="2C1B9765" w14:textId="77777777" w:rsidTr="0049777B">
        <w:trPr>
          <w:tblHeader/>
        </w:trPr>
        <w:tc>
          <w:tcPr>
            <w:tcW w:w="10345" w:type="dxa"/>
            <w:shd w:val="clear" w:color="auto" w:fill="DEEAF6" w:themeFill="accent1" w:themeFillTint="33"/>
          </w:tcPr>
          <w:p w14:paraId="72A12BD6" w14:textId="77777777" w:rsidR="003816EE" w:rsidRPr="006D3291" w:rsidRDefault="003816EE" w:rsidP="00A409D9">
            <w:pPr>
              <w:pStyle w:val="TableSubheading"/>
              <w:rPr>
                <w:rFonts w:asciiTheme="minorHAnsi" w:hAnsiTheme="minorHAnsi" w:cstheme="minorHAnsi"/>
              </w:rPr>
            </w:pPr>
            <w:r w:rsidRPr="006D3291">
              <w:rPr>
                <w:rFonts w:asciiTheme="minorHAnsi" w:hAnsiTheme="minorHAnsi" w:cstheme="minorHAnsi"/>
              </w:rPr>
              <w:t>How do you know? (data/evidence)</w:t>
            </w:r>
          </w:p>
        </w:tc>
      </w:tr>
      <w:tr w:rsidR="003816EE" w:rsidRPr="006D3291" w14:paraId="40BAE1D9" w14:textId="77777777" w:rsidTr="0049777B">
        <w:trPr>
          <w:trHeight w:val="692"/>
          <w:tblHeader/>
        </w:trPr>
        <w:tc>
          <w:tcPr>
            <w:tcW w:w="10345" w:type="dxa"/>
          </w:tcPr>
          <w:p w14:paraId="398BD1D6" w14:textId="77777777" w:rsidR="003816EE" w:rsidRPr="006D3291" w:rsidRDefault="00E6699A" w:rsidP="00E6699A">
            <w:pPr>
              <w:pStyle w:val="ListParagraph"/>
              <w:numPr>
                <w:ilvl w:val="0"/>
                <w:numId w:val="1"/>
              </w:numPr>
              <w:spacing w:after="0" w:line="240" w:lineRule="auto"/>
              <w:rPr>
                <w:rFonts w:cstheme="minorHAnsi"/>
                <w:i/>
                <w:sz w:val="20"/>
                <w:szCs w:val="20"/>
              </w:rPr>
            </w:pPr>
            <w:r w:rsidRPr="006D3291">
              <w:rPr>
                <w:rFonts w:cstheme="minorHAnsi"/>
                <w:i/>
                <w:sz w:val="20"/>
                <w:szCs w:val="20"/>
              </w:rPr>
              <w:t>Recruitment and hiring: anecdotal information from teachers who declined offers at our district; discussions with neighboring high-incidence EL districts; comparison of our hiring timeline to those of neighboring districts</w:t>
            </w:r>
          </w:p>
          <w:p w14:paraId="43FDD7E8" w14:textId="77777777" w:rsidR="00E6699A" w:rsidRPr="006D3291" w:rsidRDefault="00E6699A" w:rsidP="00E6699A">
            <w:pPr>
              <w:pStyle w:val="ListParagraph"/>
              <w:numPr>
                <w:ilvl w:val="0"/>
                <w:numId w:val="1"/>
              </w:numPr>
              <w:spacing w:after="0" w:line="240" w:lineRule="auto"/>
              <w:rPr>
                <w:rFonts w:cstheme="minorHAnsi"/>
                <w:i/>
                <w:sz w:val="20"/>
                <w:szCs w:val="20"/>
              </w:rPr>
            </w:pPr>
            <w:r w:rsidRPr="006D3291">
              <w:rPr>
                <w:rFonts w:cstheme="minorHAnsi"/>
                <w:i/>
                <w:sz w:val="20"/>
                <w:szCs w:val="20"/>
              </w:rPr>
              <w:t>Development: ELs more likely to have teachers with low ratings in Standard II, “Teaching All Students.” Evaluation data shows much variation across evaluators’ ratings and feedback. Teacher survey data shows that SEI teachers do not feel adequately supported by building leaders. Anecdotal evidence shows SEI teachers often turn to ESL teachers for support that they do not receive from leaders.</w:t>
            </w:r>
          </w:p>
          <w:p w14:paraId="7C50BEF6" w14:textId="77777777" w:rsidR="00E6699A" w:rsidRPr="006D3291" w:rsidRDefault="00E6699A" w:rsidP="00E6699A">
            <w:pPr>
              <w:pStyle w:val="ListParagraph"/>
              <w:numPr>
                <w:ilvl w:val="0"/>
                <w:numId w:val="1"/>
              </w:numPr>
              <w:spacing w:after="0" w:line="240" w:lineRule="auto"/>
              <w:rPr>
                <w:rFonts w:cstheme="minorHAnsi"/>
              </w:rPr>
            </w:pPr>
            <w:r w:rsidRPr="006D3291">
              <w:rPr>
                <w:rFonts w:cstheme="minorHAnsi"/>
                <w:i/>
                <w:sz w:val="20"/>
                <w:szCs w:val="20"/>
              </w:rPr>
              <w:t>Retention: Teacher in-service and exit survey data</w:t>
            </w:r>
          </w:p>
        </w:tc>
      </w:tr>
      <w:tr w:rsidR="003816EE" w:rsidRPr="006D3291" w14:paraId="5E2E8105" w14:textId="77777777" w:rsidTr="0049777B">
        <w:trPr>
          <w:tblHeader/>
        </w:trPr>
        <w:tc>
          <w:tcPr>
            <w:tcW w:w="10345" w:type="dxa"/>
            <w:shd w:val="clear" w:color="auto" w:fill="DEEAF6" w:themeFill="accent1" w:themeFillTint="33"/>
          </w:tcPr>
          <w:p w14:paraId="5C770CAF" w14:textId="77777777" w:rsidR="003816EE" w:rsidRPr="006D3291" w:rsidRDefault="003816EE" w:rsidP="00A409D9">
            <w:pPr>
              <w:pStyle w:val="TableSubheading"/>
              <w:keepNext/>
              <w:rPr>
                <w:rFonts w:asciiTheme="minorHAnsi" w:hAnsiTheme="minorHAnsi" w:cstheme="minorHAnsi"/>
              </w:rPr>
            </w:pPr>
            <w:r w:rsidRPr="006D3291">
              <w:rPr>
                <w:rFonts w:asciiTheme="minorHAnsi" w:hAnsiTheme="minorHAnsi" w:cstheme="minorHAnsi"/>
              </w:rPr>
              <w:t xml:space="preserve">What are the </w:t>
            </w:r>
            <w:r w:rsidRPr="006D3291">
              <w:rPr>
                <w:rFonts w:asciiTheme="minorHAnsi" w:hAnsiTheme="minorHAnsi" w:cstheme="minorHAnsi"/>
                <w:i/>
              </w:rPr>
              <w:t>specific</w:t>
            </w:r>
            <w:r w:rsidRPr="006D3291">
              <w:rPr>
                <w:rFonts w:asciiTheme="minorHAnsi" w:hAnsiTheme="minorHAnsi" w:cstheme="minorHAnsi"/>
              </w:rPr>
              <w:t xml:space="preserve"> root cause/s?</w:t>
            </w:r>
          </w:p>
        </w:tc>
      </w:tr>
      <w:tr w:rsidR="003816EE" w:rsidRPr="006D3291" w14:paraId="5AF69E06" w14:textId="77777777" w:rsidTr="0049777B">
        <w:trPr>
          <w:trHeight w:val="647"/>
          <w:tblHeader/>
        </w:trPr>
        <w:tc>
          <w:tcPr>
            <w:tcW w:w="10345" w:type="dxa"/>
          </w:tcPr>
          <w:p w14:paraId="391888CA" w14:textId="0E9A7C9F" w:rsidR="003816EE" w:rsidRPr="006D3291" w:rsidRDefault="00E6699A" w:rsidP="00E6699A">
            <w:pPr>
              <w:pStyle w:val="ListParagraph"/>
              <w:numPr>
                <w:ilvl w:val="0"/>
                <w:numId w:val="1"/>
              </w:numPr>
              <w:spacing w:after="0" w:line="240" w:lineRule="auto"/>
              <w:rPr>
                <w:rFonts w:cstheme="minorHAnsi"/>
                <w:i/>
                <w:sz w:val="20"/>
                <w:szCs w:val="20"/>
              </w:rPr>
            </w:pPr>
            <w:r w:rsidRPr="006D3291">
              <w:rPr>
                <w:rFonts w:cstheme="minorHAnsi"/>
                <w:i/>
                <w:sz w:val="20"/>
                <w:szCs w:val="20"/>
              </w:rPr>
              <w:t>Because</w:t>
            </w:r>
            <w:r w:rsidRPr="006D3291">
              <w:rPr>
                <w:rFonts w:cstheme="minorHAnsi"/>
                <w:i/>
                <w:color w:val="808080" w:themeColor="background1" w:themeShade="80"/>
                <w:sz w:val="20"/>
                <w:szCs w:val="20"/>
              </w:rPr>
              <w:t xml:space="preserve"> </w:t>
            </w:r>
            <w:r w:rsidRPr="006D3291">
              <w:rPr>
                <w:rFonts w:cstheme="minorHAnsi"/>
                <w:i/>
                <w:sz w:val="20"/>
                <w:szCs w:val="20"/>
              </w:rPr>
              <w:t>we are a moderate-incidence EL district, and prospective hires are not well aware of our EL programs, the SEI teachers who are successful in working with ELs are attracted to jobs in districts with a larger EL population. Because we hire later, we miss the opportunity to hire many successful teachers.</w:t>
            </w:r>
          </w:p>
          <w:p w14:paraId="7D447D67" w14:textId="77777777" w:rsidR="00E6699A" w:rsidRPr="006D3291" w:rsidRDefault="00E6699A" w:rsidP="00E6699A">
            <w:pPr>
              <w:pStyle w:val="ListParagraph"/>
              <w:numPr>
                <w:ilvl w:val="0"/>
                <w:numId w:val="1"/>
              </w:numPr>
              <w:spacing w:after="0" w:line="240" w:lineRule="auto"/>
              <w:rPr>
                <w:rFonts w:cstheme="minorHAnsi"/>
                <w:i/>
                <w:sz w:val="20"/>
                <w:szCs w:val="20"/>
              </w:rPr>
            </w:pPr>
            <w:r w:rsidRPr="006D3291">
              <w:rPr>
                <w:rFonts w:cstheme="minorHAnsi"/>
                <w:i/>
                <w:sz w:val="20"/>
                <w:szCs w:val="20"/>
              </w:rPr>
              <w:t>Because our district has focused more on teacher training than on school leader, coach, and evaluator training to improve instruction of ELs, not all leaders, coaches, and evaluators are prepared to support SEI teachers. Evaluators are not calibrated around what best practices in Standard II should look like.</w:t>
            </w:r>
          </w:p>
          <w:p w14:paraId="478BD852" w14:textId="77777777" w:rsidR="00E6699A" w:rsidRPr="006D3291" w:rsidRDefault="00E6699A" w:rsidP="00E6699A">
            <w:pPr>
              <w:pStyle w:val="ListParagraph"/>
              <w:numPr>
                <w:ilvl w:val="0"/>
                <w:numId w:val="1"/>
              </w:numPr>
              <w:spacing w:after="0" w:line="240" w:lineRule="auto"/>
              <w:rPr>
                <w:rFonts w:cstheme="minorHAnsi"/>
              </w:rPr>
            </w:pPr>
            <w:r w:rsidRPr="006D3291">
              <w:rPr>
                <w:rFonts w:cstheme="minorHAnsi"/>
                <w:i/>
                <w:sz w:val="20"/>
                <w:szCs w:val="20"/>
              </w:rPr>
              <w:t>Because our district has not focused on training school leaders, coaches, and evaluators to support teachers of ELs, teachers are more likely to leave the district and be replaced by teachers without experience teaching ELs</w:t>
            </w:r>
            <w:r w:rsidR="0013740B" w:rsidRPr="006D3291">
              <w:rPr>
                <w:rFonts w:cstheme="minorHAnsi"/>
                <w:i/>
                <w:sz w:val="20"/>
                <w:szCs w:val="20"/>
              </w:rPr>
              <w:t xml:space="preserve">. </w:t>
            </w:r>
          </w:p>
        </w:tc>
      </w:tr>
    </w:tbl>
    <w:p w14:paraId="42193D06" w14:textId="77777777" w:rsidR="003816EE" w:rsidRPr="006D3291" w:rsidRDefault="003816EE" w:rsidP="003816EE">
      <w:pPr>
        <w:pStyle w:val="TableTitle"/>
        <w:rPr>
          <w:rFonts w:asciiTheme="minorHAnsi" w:hAnsiTheme="minorHAnsi" w:cstheme="minorHAnsi"/>
          <w:b/>
        </w:rPr>
      </w:pPr>
    </w:p>
    <w:sectPr w:rsidR="003816EE" w:rsidRPr="006D3291" w:rsidSect="001D7A8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8D193" w14:textId="77777777" w:rsidR="007A0233" w:rsidRDefault="007A0233" w:rsidP="001D7A8D">
      <w:pPr>
        <w:spacing w:after="0" w:line="240" w:lineRule="auto"/>
      </w:pPr>
      <w:r>
        <w:separator/>
      </w:r>
    </w:p>
  </w:endnote>
  <w:endnote w:type="continuationSeparator" w:id="0">
    <w:p w14:paraId="22CF0CFC" w14:textId="77777777" w:rsidR="007A0233" w:rsidRDefault="007A0233" w:rsidP="001D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FangSong">
    <w:charset w:val="86"/>
    <w:family w:val="modern"/>
    <w:pitch w:val="fixed"/>
    <w:sig w:usb0="800002BF" w:usb1="38CF7CFA"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1F4CD" w14:textId="77777777" w:rsidR="007A0233" w:rsidRDefault="007A0233" w:rsidP="001D7A8D">
      <w:pPr>
        <w:spacing w:after="0" w:line="240" w:lineRule="auto"/>
      </w:pPr>
      <w:r>
        <w:separator/>
      </w:r>
    </w:p>
  </w:footnote>
  <w:footnote w:type="continuationSeparator" w:id="0">
    <w:p w14:paraId="7642BA92" w14:textId="77777777" w:rsidR="007A0233" w:rsidRDefault="007A0233" w:rsidP="001D7A8D">
      <w:pPr>
        <w:spacing w:after="0" w:line="240" w:lineRule="auto"/>
      </w:pPr>
      <w:r>
        <w:continuationSeparator/>
      </w:r>
    </w:p>
  </w:footnote>
  <w:footnote w:id="1">
    <w:p w14:paraId="4E9DBA9D" w14:textId="77777777" w:rsidR="00FF5AE3" w:rsidRPr="00FF5AE3" w:rsidRDefault="00FF5AE3" w:rsidP="00FF5AE3">
      <w:pPr>
        <w:pStyle w:val="Footer"/>
        <w:rPr>
          <w:rFonts w:cstheme="minorHAnsi"/>
          <w:sz w:val="20"/>
          <w:szCs w:val="20"/>
        </w:rPr>
      </w:pPr>
      <w:r w:rsidRPr="00FF5AE3">
        <w:rPr>
          <w:rStyle w:val="FootnoteReference"/>
          <w:rFonts w:cstheme="minorHAnsi"/>
          <w:sz w:val="20"/>
          <w:szCs w:val="20"/>
        </w:rPr>
        <w:footnoteRef/>
      </w:r>
      <w:r w:rsidRPr="00FF5AE3">
        <w:rPr>
          <w:rFonts w:cstheme="minorHAnsi"/>
          <w:sz w:val="20"/>
          <w:szCs w:val="20"/>
        </w:rPr>
        <w:t xml:space="preserve"> Table </w:t>
      </w:r>
      <w:sdt>
        <w:sdtPr>
          <w:rPr>
            <w:rFonts w:cstheme="minorHAnsi"/>
            <w:sz w:val="20"/>
            <w:szCs w:val="20"/>
          </w:rPr>
          <w:id w:val="1361861887"/>
          <w:docPartObj>
            <w:docPartGallery w:val="Page Numbers (Bottom of Page)"/>
            <w:docPartUnique/>
          </w:docPartObj>
        </w:sdtPr>
        <w:sdtEndPr/>
        <w:sdtContent>
          <w:r w:rsidRPr="00FF5AE3">
            <w:rPr>
              <w:rFonts w:cstheme="minorHAnsi"/>
              <w:sz w:val="20"/>
              <w:szCs w:val="20"/>
            </w:rPr>
            <w:t>adapted from the Texas Education Agency’s Texas Equity Toolkit</w:t>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683C8" w14:textId="77777777" w:rsidR="00C84BDC" w:rsidRDefault="00C84BDC" w:rsidP="00CE2DE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2F8C" w14:textId="77777777" w:rsidR="00C84BDC" w:rsidRPr="00C063A0" w:rsidRDefault="00C84BDC" w:rsidP="00C063A0">
    <w:pPr>
      <w:pStyle w:val="Heading2"/>
      <w:jc w:val="center"/>
      <w:rPr>
        <w:sz w:val="30"/>
        <w:szCs w:val="30"/>
        <w:vertAlign w:val="superscript"/>
      </w:rPr>
    </w:pPr>
    <w:r>
      <w:tab/>
    </w:r>
    <w:r>
      <w:rPr>
        <w:sz w:val="30"/>
        <w:szCs w:val="30"/>
      </w:rPr>
      <w:t>District Equity Templates: Conducting root cause analysis</w:t>
    </w:r>
  </w:p>
  <w:p w14:paraId="4309F3B0" w14:textId="77777777" w:rsidR="00C84BDC" w:rsidRDefault="00C84BDC" w:rsidP="00C063A0">
    <w:pPr>
      <w:jc w:val="center"/>
    </w:pPr>
    <w:r>
      <w:t xml:space="preserve">For additional guidance, see the Equity Roadmap </w:t>
    </w:r>
    <w:r>
      <w:rPr>
        <w:i/>
      </w:rPr>
      <w:t>(link)</w:t>
    </w:r>
    <w:r>
      <w:t xml:space="preserve"> and additional District Equity Templates </w:t>
    </w:r>
    <w:r>
      <w:rPr>
        <w:i/>
      </w:rPr>
      <w:t>(link)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80C86"/>
    <w:multiLevelType w:val="hybridMultilevel"/>
    <w:tmpl w:val="5AE438FE"/>
    <w:lvl w:ilvl="0" w:tplc="68DEAC22">
      <w:start w:val="1"/>
      <w:numFmt w:val="bullet"/>
      <w:lvlText w:val="▪"/>
      <w:lvlJc w:val="left"/>
      <w:pPr>
        <w:ind w:left="360" w:hanging="360"/>
      </w:pPr>
      <w:rPr>
        <w:rFonts w:ascii="Courier New" w:hAnsi="Courier New" w:hint="default"/>
        <w:color w:val="8496B0" w:themeColor="text2" w:themeTint="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5B37E2"/>
    <w:multiLevelType w:val="hybridMultilevel"/>
    <w:tmpl w:val="F8B6ED5A"/>
    <w:lvl w:ilvl="0" w:tplc="243468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8D"/>
    <w:rsid w:val="00010B43"/>
    <w:rsid w:val="00085CA4"/>
    <w:rsid w:val="0013740B"/>
    <w:rsid w:val="0014492A"/>
    <w:rsid w:val="00174FB1"/>
    <w:rsid w:val="001D7A8D"/>
    <w:rsid w:val="002B3D2A"/>
    <w:rsid w:val="00311F87"/>
    <w:rsid w:val="00322B51"/>
    <w:rsid w:val="003430DE"/>
    <w:rsid w:val="00350DEB"/>
    <w:rsid w:val="00357818"/>
    <w:rsid w:val="00375A36"/>
    <w:rsid w:val="003816EE"/>
    <w:rsid w:val="0038561B"/>
    <w:rsid w:val="0049777B"/>
    <w:rsid w:val="004D50F5"/>
    <w:rsid w:val="005819B7"/>
    <w:rsid w:val="005B1042"/>
    <w:rsid w:val="005C6BFD"/>
    <w:rsid w:val="005C713D"/>
    <w:rsid w:val="005E7384"/>
    <w:rsid w:val="00603DC5"/>
    <w:rsid w:val="00627639"/>
    <w:rsid w:val="00643CB5"/>
    <w:rsid w:val="006B61F3"/>
    <w:rsid w:val="006D3291"/>
    <w:rsid w:val="0071139D"/>
    <w:rsid w:val="007453E8"/>
    <w:rsid w:val="007611A9"/>
    <w:rsid w:val="007A0233"/>
    <w:rsid w:val="008342B0"/>
    <w:rsid w:val="0083787B"/>
    <w:rsid w:val="00842327"/>
    <w:rsid w:val="008A02AD"/>
    <w:rsid w:val="008E06B3"/>
    <w:rsid w:val="00924DF8"/>
    <w:rsid w:val="00934418"/>
    <w:rsid w:val="00971EC5"/>
    <w:rsid w:val="0098047F"/>
    <w:rsid w:val="009944F4"/>
    <w:rsid w:val="00A16620"/>
    <w:rsid w:val="00AD5100"/>
    <w:rsid w:val="00BB1400"/>
    <w:rsid w:val="00C04EB7"/>
    <w:rsid w:val="00C84BDC"/>
    <w:rsid w:val="00CC21F2"/>
    <w:rsid w:val="00D75BD0"/>
    <w:rsid w:val="00DA6082"/>
    <w:rsid w:val="00DB2ECC"/>
    <w:rsid w:val="00DF7E74"/>
    <w:rsid w:val="00E173CF"/>
    <w:rsid w:val="00E6699A"/>
    <w:rsid w:val="00E82444"/>
    <w:rsid w:val="00F03CBE"/>
    <w:rsid w:val="00FF5A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7221D"/>
  <w15:chartTrackingRefBased/>
  <w15:docId w15:val="{6F865101-140D-431C-8D74-DDE3A57E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7A8D"/>
    <w:pPr>
      <w:spacing w:after="200" w:line="276" w:lineRule="auto"/>
    </w:pPr>
  </w:style>
  <w:style w:type="paragraph" w:styleId="Heading2">
    <w:name w:val="heading 2"/>
    <w:basedOn w:val="Normal"/>
    <w:next w:val="Normal"/>
    <w:link w:val="Heading2Char"/>
    <w:uiPriority w:val="9"/>
    <w:unhideWhenUsed/>
    <w:qFormat/>
    <w:rsid w:val="001D7A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D7A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7A8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D7A8D"/>
    <w:rPr>
      <w:rFonts w:asciiTheme="majorHAnsi" w:eastAsiaTheme="majorEastAsia" w:hAnsiTheme="majorHAnsi" w:cstheme="majorBidi"/>
      <w:b/>
      <w:bCs/>
      <w:color w:val="5B9BD5" w:themeColor="accent1"/>
    </w:rPr>
  </w:style>
  <w:style w:type="table" w:styleId="TableGrid">
    <w:name w:val="Table Grid"/>
    <w:basedOn w:val="TableNormal"/>
    <w:uiPriority w:val="59"/>
    <w:rsid w:val="001D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A8D"/>
  </w:style>
  <w:style w:type="paragraph" w:styleId="Footer">
    <w:name w:val="footer"/>
    <w:basedOn w:val="Normal"/>
    <w:link w:val="FooterChar"/>
    <w:uiPriority w:val="99"/>
    <w:unhideWhenUsed/>
    <w:rsid w:val="001D7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A8D"/>
  </w:style>
  <w:style w:type="character" w:styleId="CommentReference">
    <w:name w:val="annotation reference"/>
    <w:basedOn w:val="DefaultParagraphFont"/>
    <w:uiPriority w:val="99"/>
    <w:semiHidden/>
    <w:unhideWhenUsed/>
    <w:rsid w:val="00375A36"/>
    <w:rPr>
      <w:sz w:val="16"/>
      <w:szCs w:val="16"/>
    </w:rPr>
  </w:style>
  <w:style w:type="paragraph" w:styleId="CommentText">
    <w:name w:val="annotation text"/>
    <w:basedOn w:val="Normal"/>
    <w:link w:val="CommentTextChar"/>
    <w:uiPriority w:val="99"/>
    <w:semiHidden/>
    <w:unhideWhenUsed/>
    <w:rsid w:val="00375A36"/>
    <w:pPr>
      <w:spacing w:line="240" w:lineRule="auto"/>
    </w:pPr>
    <w:rPr>
      <w:sz w:val="20"/>
      <w:szCs w:val="20"/>
    </w:rPr>
  </w:style>
  <w:style w:type="character" w:customStyle="1" w:styleId="CommentTextChar">
    <w:name w:val="Comment Text Char"/>
    <w:basedOn w:val="DefaultParagraphFont"/>
    <w:link w:val="CommentText"/>
    <w:uiPriority w:val="99"/>
    <w:semiHidden/>
    <w:rsid w:val="00375A36"/>
    <w:rPr>
      <w:sz w:val="20"/>
      <w:szCs w:val="20"/>
    </w:rPr>
  </w:style>
  <w:style w:type="paragraph" w:styleId="CommentSubject">
    <w:name w:val="annotation subject"/>
    <w:basedOn w:val="CommentText"/>
    <w:next w:val="CommentText"/>
    <w:link w:val="CommentSubjectChar"/>
    <w:uiPriority w:val="99"/>
    <w:semiHidden/>
    <w:unhideWhenUsed/>
    <w:rsid w:val="00375A36"/>
    <w:rPr>
      <w:b/>
      <w:bCs/>
    </w:rPr>
  </w:style>
  <w:style w:type="character" w:customStyle="1" w:styleId="CommentSubjectChar">
    <w:name w:val="Comment Subject Char"/>
    <w:basedOn w:val="CommentTextChar"/>
    <w:link w:val="CommentSubject"/>
    <w:uiPriority w:val="99"/>
    <w:semiHidden/>
    <w:rsid w:val="00375A36"/>
    <w:rPr>
      <w:b/>
      <w:bCs/>
      <w:sz w:val="20"/>
      <w:szCs w:val="20"/>
    </w:rPr>
  </w:style>
  <w:style w:type="paragraph" w:styleId="BalloonText">
    <w:name w:val="Balloon Text"/>
    <w:basedOn w:val="Normal"/>
    <w:link w:val="BalloonTextChar"/>
    <w:uiPriority w:val="99"/>
    <w:semiHidden/>
    <w:unhideWhenUsed/>
    <w:rsid w:val="00375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A36"/>
    <w:rPr>
      <w:rFonts w:ascii="Segoe UI" w:hAnsi="Segoe UI" w:cs="Segoe UI"/>
      <w:sz w:val="18"/>
      <w:szCs w:val="18"/>
    </w:rPr>
  </w:style>
  <w:style w:type="paragraph" w:styleId="ListParagraph">
    <w:name w:val="List Paragraph"/>
    <w:basedOn w:val="Normal"/>
    <w:uiPriority w:val="34"/>
    <w:qFormat/>
    <w:rsid w:val="008E06B3"/>
    <w:pPr>
      <w:ind w:left="720"/>
      <w:contextualSpacing/>
    </w:pPr>
  </w:style>
  <w:style w:type="character" w:styleId="Hyperlink">
    <w:name w:val="Hyperlink"/>
    <w:basedOn w:val="DefaultParagraphFont"/>
    <w:uiPriority w:val="99"/>
    <w:unhideWhenUsed/>
    <w:rsid w:val="00C84BDC"/>
    <w:rPr>
      <w:color w:val="0563C1" w:themeColor="hyperlink"/>
      <w:u w:val="single"/>
    </w:rPr>
  </w:style>
  <w:style w:type="table" w:customStyle="1" w:styleId="TexasToolkittable1">
    <w:name w:val="Texas Toolkit table 1"/>
    <w:basedOn w:val="TableNormal"/>
    <w:uiPriority w:val="99"/>
    <w:rsid w:val="00C84BDC"/>
    <w:pPr>
      <w:spacing w:after="0" w:line="240" w:lineRule="auto"/>
    </w:pPr>
    <w:tblPr>
      <w:tblStyleRowBandSize w:val="1"/>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
    <w:trPr>
      <w:jc w:val="center"/>
    </w:trPr>
    <w:tcPr>
      <w:shd w:val="clear" w:color="auto" w:fill="auto"/>
    </w:tcPr>
    <w:tblStylePr w:type="firstRow">
      <w:tblPr/>
      <w:tcPr>
        <w:tcBorders>
          <w:insideV w:val="single" w:sz="4" w:space="0" w:color="FFFFFF" w:themeColor="background1"/>
        </w:tcBorders>
        <w:shd w:val="clear" w:color="auto" w:fill="2E74B5" w:themeFill="accent1" w:themeFillShade="BF"/>
      </w:tcPr>
    </w:tblStylePr>
    <w:tblStylePr w:type="band2Horz">
      <w:tblPr/>
      <w:tcPr>
        <w:shd w:val="clear" w:color="auto" w:fill="DEEAF6" w:themeFill="accent1" w:themeFillTint="33"/>
      </w:tcPr>
    </w:tblStylePr>
  </w:style>
  <w:style w:type="paragraph" w:customStyle="1" w:styleId="TableSubheading">
    <w:name w:val="Table Subheading"/>
    <w:basedOn w:val="Normal"/>
    <w:link w:val="TableSubheadingChar"/>
    <w:qFormat/>
    <w:rsid w:val="00C84BDC"/>
    <w:pPr>
      <w:spacing w:before="40" w:after="60" w:line="240" w:lineRule="auto"/>
    </w:pPr>
    <w:rPr>
      <w:rFonts w:asciiTheme="majorHAnsi" w:hAnsiTheme="majorHAnsi"/>
      <w:sz w:val="20"/>
    </w:rPr>
  </w:style>
  <w:style w:type="character" w:customStyle="1" w:styleId="TableSubheadingChar">
    <w:name w:val="Table Subheading Char"/>
    <w:basedOn w:val="DefaultParagraphFont"/>
    <w:link w:val="TableSubheading"/>
    <w:rsid w:val="00C84BDC"/>
    <w:rPr>
      <w:rFonts w:asciiTheme="majorHAnsi" w:hAnsiTheme="majorHAnsi"/>
      <w:sz w:val="20"/>
    </w:rPr>
  </w:style>
  <w:style w:type="paragraph" w:customStyle="1" w:styleId="TableTitle">
    <w:name w:val="Table Title"/>
    <w:qFormat/>
    <w:rsid w:val="00C84BDC"/>
    <w:pPr>
      <w:spacing w:before="120" w:after="120" w:line="240" w:lineRule="auto"/>
    </w:pPr>
    <w:rPr>
      <w:rFonts w:asciiTheme="majorHAnsi" w:eastAsiaTheme="majorEastAsia" w:hAnsiTheme="majorHAnsi" w:cstheme="majorBidi"/>
      <w:color w:val="1F4D78" w:themeColor="accent1" w:themeShade="7F"/>
    </w:rPr>
  </w:style>
  <w:style w:type="paragraph" w:customStyle="1" w:styleId="TableTextItalic">
    <w:name w:val="Table Text Italic"/>
    <w:basedOn w:val="Normal"/>
    <w:qFormat/>
    <w:rsid w:val="00C84BDC"/>
    <w:pPr>
      <w:spacing w:before="40" w:after="60" w:line="240" w:lineRule="auto"/>
    </w:pPr>
    <w:rPr>
      <w:i/>
      <w:sz w:val="20"/>
    </w:rPr>
  </w:style>
  <w:style w:type="paragraph" w:styleId="FootnoteText">
    <w:name w:val="footnote text"/>
    <w:basedOn w:val="Normal"/>
    <w:link w:val="FootnoteTextChar"/>
    <w:uiPriority w:val="99"/>
    <w:semiHidden/>
    <w:unhideWhenUsed/>
    <w:rsid w:val="00FF5A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AE3"/>
    <w:rPr>
      <w:sz w:val="20"/>
      <w:szCs w:val="20"/>
    </w:rPr>
  </w:style>
  <w:style w:type="character" w:styleId="FootnoteReference">
    <w:name w:val="footnote reference"/>
    <w:basedOn w:val="DefaultParagraphFont"/>
    <w:uiPriority w:val="99"/>
    <w:semiHidden/>
    <w:unhideWhenUsed/>
    <w:rsid w:val="00FF5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edeffectiveness/equitableaccess/resources/templates-strategie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DESE-231-43001</_dlc_DocId>
    <_dlc_DocIdUrl xmlns="733efe1c-5bbe-4968-87dc-d400e65c879f">
      <Url>https://sharepoint.doemass.org/ese/webteam/cps/_layouts/DocIdRedir.aspx?ID=DESE-231-43001</Url>
      <Description>DESE-231-43001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F34CD-8A3C-43F8-AA3D-A65D5F8E68B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110922A-0855-4AC6-881A-404D4D1C3A4F}">
  <ds:schemaRefs>
    <ds:schemaRef ds:uri="http://schemas.microsoft.com/sharepoint/v3/contenttype/forms"/>
  </ds:schemaRefs>
</ds:datastoreItem>
</file>

<file path=customXml/itemProps3.xml><?xml version="1.0" encoding="utf-8"?>
<ds:datastoreItem xmlns:ds="http://schemas.openxmlformats.org/officeDocument/2006/customXml" ds:itemID="{37700391-1BFA-44AF-B80B-9978F70A1E05}">
  <ds:schemaRefs>
    <ds:schemaRef ds:uri="http://schemas.microsoft.com/sharepoint/events"/>
  </ds:schemaRefs>
</ds:datastoreItem>
</file>

<file path=customXml/itemProps4.xml><?xml version="1.0" encoding="utf-8"?>
<ds:datastoreItem xmlns:ds="http://schemas.openxmlformats.org/officeDocument/2006/customXml" ds:itemID="{08CD80C9-F2E0-4BBD-ABE6-ADCBC7839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39530F-67A0-49A2-9186-722267BA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Equity Templates - Engaging stakeholders in root cause analysis</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Templates - Engaging stakeholders in root cause analysis</dc:title>
  <dc:subject/>
  <dc:creator>DESE</dc:creator>
  <cp:keywords/>
  <dc:description/>
  <cp:lastModifiedBy>Zou, Dong (EOE)</cp:lastModifiedBy>
  <cp:revision>10</cp:revision>
  <dcterms:created xsi:type="dcterms:W3CDTF">2018-06-21T20:28:00Z</dcterms:created>
  <dcterms:modified xsi:type="dcterms:W3CDTF">2020-06-09T20:55:00Z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2018</vt:lpwstr>
  </property>
</Properties>
</file>