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7272A" w14:textId="77777777" w:rsidR="0097597F" w:rsidRDefault="0097597F" w:rsidP="00EF51E4">
      <w:pPr>
        <w:spacing w:after="0"/>
        <w:jc w:val="center"/>
        <w:rPr>
          <w:b/>
          <w:color w:val="1F497D" w:themeColor="text2"/>
          <w:sz w:val="36"/>
          <w:szCs w:val="36"/>
        </w:rPr>
      </w:pPr>
      <w:r w:rsidRPr="001A2D4E">
        <w:rPr>
          <w:b/>
          <w:color w:val="1F497D" w:themeColor="text2"/>
          <w:sz w:val="36"/>
          <w:szCs w:val="36"/>
        </w:rPr>
        <w:t xml:space="preserve">Recruitment &amp; Retention: </w:t>
      </w:r>
      <w:r>
        <w:rPr>
          <w:b/>
          <w:color w:val="1F497D" w:themeColor="text2"/>
          <w:sz w:val="36"/>
          <w:szCs w:val="36"/>
        </w:rPr>
        <w:t>Educators in hard-to-staff roles</w:t>
      </w:r>
    </w:p>
    <w:p w14:paraId="14B64250" w14:textId="77777777" w:rsidR="00CA0097" w:rsidRDefault="006C445D" w:rsidP="00433FDE">
      <w:pPr>
        <w:spacing w:after="100"/>
      </w:pPr>
      <w:r>
        <w:rPr>
          <w:noProof/>
          <w:lang w:eastAsia="zh-TW"/>
        </w:rPr>
        <w:pict w14:anchorId="50CEEC6A">
          <v:roundrect id="_x0000_s1026" style="position:absolute;margin-left:283.5pt;margin-top:32.25pt;width:182.45pt;height:123pt;z-index:-251658752;mso-wrap-edited:t;mso-width-relative:margin;mso-height-relative:margin" arcsize="10923f" wrapcoords="2374 -211 1580 0 1054 1888 237 3205 456 6173 610 7823 89 18931 1575 20134 1646 20028 1871 20906 1847 21705 2374 21705 19143 21705 19670 21705 21340 20441 21778 18334 21778 2950 21689 2529 21340 1475 21422 1054 19753 -105 19055 -211 2374 -211" fillcolor="white [3201]" strokecolor="#4f81bd [3204]" strokeweight="3pt">
            <v:stroke dashstyle="dash"/>
            <v:shadow color="#868686"/>
            <v:textbox style="mso-next-textbox:#_x0000_s1026">
              <w:txbxContent>
                <w:p w14:paraId="040B38F2" w14:textId="77777777" w:rsidR="00AB1C0A" w:rsidRPr="000C6484" w:rsidRDefault="00AB1C0A" w:rsidP="000C6484">
                  <w:pPr>
                    <w:pStyle w:val="Heading1"/>
                    <w:spacing w:before="0" w:line="240" w:lineRule="auto"/>
                    <w:rPr>
                      <w:rFonts w:asciiTheme="minorHAnsi" w:hAnsiTheme="minorHAnsi"/>
                      <w:b w:val="0"/>
                      <w:sz w:val="24"/>
                      <w:szCs w:val="24"/>
                    </w:rPr>
                  </w:pPr>
                  <w:r w:rsidRPr="000C6484">
                    <w:rPr>
                      <w:rFonts w:asciiTheme="minorHAnsi" w:hAnsiTheme="minorHAnsi"/>
                      <w:color w:val="1F497D" w:themeColor="text2"/>
                    </w:rPr>
                    <w:t xml:space="preserve">More than half </w:t>
                  </w:r>
                  <w:r w:rsidRPr="000C6484">
                    <w:rPr>
                      <w:rFonts w:asciiTheme="minorHAnsi" w:hAnsiTheme="minorHAnsi"/>
                      <w:b w:val="0"/>
                      <w:sz w:val="22"/>
                      <w:szCs w:val="22"/>
                    </w:rPr>
                    <w:t>of districts in a national surv</w:t>
                  </w:r>
                  <w:r>
                    <w:rPr>
                      <w:rFonts w:asciiTheme="minorHAnsi" w:hAnsiTheme="minorHAnsi"/>
                      <w:b w:val="0"/>
                      <w:sz w:val="22"/>
                      <w:szCs w:val="22"/>
                    </w:rPr>
                    <w:t>ey faced challenges recruiting and</w:t>
                  </w:r>
                  <w:r w:rsidRPr="000C6484">
                    <w:rPr>
                      <w:rFonts w:asciiTheme="minorHAnsi" w:hAnsiTheme="minorHAnsi"/>
                      <w:b w:val="0"/>
                      <w:sz w:val="22"/>
                      <w:szCs w:val="22"/>
                    </w:rPr>
                    <w:t xml:space="preserve"> retaining special education and STEM teachers.</w:t>
                  </w:r>
                  <w:r w:rsidRPr="000C6484">
                    <w:rPr>
                      <w:rFonts w:asciiTheme="minorHAnsi" w:hAnsiTheme="minorHAnsi"/>
                      <w:b w:val="0"/>
                      <w:sz w:val="24"/>
                      <w:szCs w:val="24"/>
                    </w:rPr>
                    <w:t xml:space="preserve">  </w:t>
                  </w:r>
                </w:p>
                <w:p w14:paraId="3D944E91" w14:textId="77777777" w:rsidR="00AB1C0A" w:rsidRPr="000C6484" w:rsidRDefault="00AB1C0A" w:rsidP="000C6484">
                  <w:pPr>
                    <w:pStyle w:val="Heading1"/>
                    <w:spacing w:before="0" w:line="240" w:lineRule="auto"/>
                    <w:rPr>
                      <w:rFonts w:asciiTheme="minorHAnsi" w:hAnsiTheme="minorHAnsi"/>
                      <w:b w:val="0"/>
                      <w:sz w:val="24"/>
                      <w:szCs w:val="24"/>
                    </w:rPr>
                  </w:pPr>
                  <w:r w:rsidRPr="000C6484">
                    <w:rPr>
                      <w:rFonts w:asciiTheme="minorHAnsi" w:hAnsiTheme="minorHAnsi"/>
                      <w:color w:val="1F497D" w:themeColor="text2"/>
                    </w:rPr>
                    <w:t>More than 90%</w:t>
                  </w:r>
                  <w:r w:rsidRPr="000C6484">
                    <w:rPr>
                      <w:rFonts w:asciiTheme="minorHAnsi" w:hAnsiTheme="minorHAnsi"/>
                      <w:b w:val="0"/>
                      <w:sz w:val="24"/>
                      <w:szCs w:val="24"/>
                    </w:rPr>
                    <w:t xml:space="preserve"> </w:t>
                  </w:r>
                  <w:r w:rsidRPr="000C6484">
                    <w:rPr>
                      <w:rFonts w:asciiTheme="minorHAnsi" w:hAnsiTheme="minorHAnsi"/>
                      <w:b w:val="0"/>
                      <w:sz w:val="22"/>
                      <w:szCs w:val="22"/>
                    </w:rPr>
                    <w:t>of districts serving primarily students of color reported such challenges</w:t>
                  </w:r>
                  <w:r w:rsidRPr="000C6484">
                    <w:rPr>
                      <w:rFonts w:asciiTheme="minorHAnsi" w:hAnsiTheme="minorHAnsi"/>
                      <w:b w:val="0"/>
                      <w:sz w:val="24"/>
                      <w:szCs w:val="24"/>
                    </w:rPr>
                    <w:t>.</w:t>
                  </w:r>
                  <w:r>
                    <w:rPr>
                      <w:rFonts w:asciiTheme="minorHAnsi" w:hAnsiTheme="minorHAnsi"/>
                      <w:b w:val="0"/>
                      <w:sz w:val="24"/>
                      <w:szCs w:val="24"/>
                      <w:vertAlign w:val="superscript"/>
                    </w:rPr>
                    <w:t>5</w:t>
                  </w:r>
                </w:p>
              </w:txbxContent>
            </v:textbox>
            <w10:wrap type="tight"/>
          </v:roundrect>
        </w:pict>
      </w:r>
      <w:r w:rsidR="007F64C1">
        <w:t>Certain teaching roles, such as special education, English as a Second Language (ESL), and Science, Technology, Engineer</w:t>
      </w:r>
      <w:r w:rsidR="0075045B">
        <w:t>ing</w:t>
      </w:r>
      <w:r w:rsidR="007F64C1">
        <w:t xml:space="preserve"> and Math (STEM) can be </w:t>
      </w:r>
      <w:r w:rsidR="00433FDE">
        <w:t>harder</w:t>
      </w:r>
      <w:r w:rsidR="007F64C1">
        <w:t xml:space="preserve"> to recruit and retain. </w:t>
      </w:r>
      <w:r w:rsidR="00500A04">
        <w:t>Teacher turnover costs schools time, labor and money,</w:t>
      </w:r>
      <w:r w:rsidR="00500A04">
        <w:rPr>
          <w:rStyle w:val="FootnoteReference"/>
        </w:rPr>
        <w:footnoteReference w:id="1"/>
      </w:r>
      <w:r w:rsidR="00500A04">
        <w:t xml:space="preserve"> and can cause particular obstacles when schools lose teachers in hard-to-staff positions</w:t>
      </w:r>
      <w:r w:rsidR="007F64C1">
        <w:t xml:space="preserve">. </w:t>
      </w:r>
      <w:r w:rsidR="003C395A">
        <w:t>In Massachusetts</w:t>
      </w:r>
      <w:r w:rsidR="009524BA">
        <w:t xml:space="preserve">, </w:t>
      </w:r>
      <w:r w:rsidR="00433FDE">
        <w:t>new teachers in these</w:t>
      </w:r>
      <w:r w:rsidR="003C395A">
        <w:t xml:space="preserve"> </w:t>
      </w:r>
      <w:r w:rsidR="00433FDE">
        <w:t xml:space="preserve">subjects </w:t>
      </w:r>
      <w:r w:rsidR="003C395A">
        <w:t xml:space="preserve"> are in high demand, compared to other certification areas.</w:t>
      </w:r>
      <w:r w:rsidR="009524BA">
        <w:rPr>
          <w:rStyle w:val="FootnoteReference"/>
        </w:rPr>
        <w:footnoteReference w:id="2"/>
      </w:r>
    </w:p>
    <w:p w14:paraId="2F1AB88D" w14:textId="77777777" w:rsidR="00500A04" w:rsidRDefault="00EF51E4" w:rsidP="00433FDE">
      <w:pPr>
        <w:spacing w:after="100"/>
      </w:pPr>
      <w:r>
        <w:t xml:space="preserve">Difficulties in recruiting and retaining hard-to-staff roles can disadvantage historically underserved students. </w:t>
      </w:r>
      <w:r w:rsidR="00B467C3">
        <w:t xml:space="preserve">Massachusetts </w:t>
      </w:r>
      <w:r w:rsidR="00FF18CA">
        <w:t>English l</w:t>
      </w:r>
      <w:r w:rsidR="00500A04">
        <w:t>earners and students with disab</w:t>
      </w:r>
      <w:r w:rsidR="00F83F0A">
        <w:t>ilities face performance gaps</w:t>
      </w:r>
      <w:r w:rsidR="009524BA">
        <w:t xml:space="preserve"> compared to their peers, and predicted </w:t>
      </w:r>
      <w:r w:rsidR="009524BA" w:rsidRPr="009524BA">
        <w:rPr>
          <w:b/>
        </w:rPr>
        <w:t>s</w:t>
      </w:r>
      <w:r w:rsidR="00500A04" w:rsidRPr="009524BA">
        <w:rPr>
          <w:b/>
        </w:rPr>
        <w:t xml:space="preserve">tate </w:t>
      </w:r>
      <w:r w:rsidR="00500A04" w:rsidRPr="005F74FA">
        <w:rPr>
          <w:b/>
        </w:rPr>
        <w:t>shortages</w:t>
      </w:r>
      <w:r w:rsidR="00500A04">
        <w:t xml:space="preserve"> </w:t>
      </w:r>
      <w:r w:rsidR="009524BA">
        <w:t>of special education and ESL teachers</w:t>
      </w:r>
      <w:r w:rsidR="009524BA">
        <w:rPr>
          <w:rStyle w:val="FootnoteReference"/>
        </w:rPr>
        <w:footnoteReference w:id="3"/>
      </w:r>
      <w:r w:rsidR="009524BA">
        <w:t xml:space="preserve">  th</w:t>
      </w:r>
      <w:r w:rsidR="00500A04">
        <w:t xml:space="preserve">reaten to </w:t>
      </w:r>
      <w:r w:rsidR="00500A04" w:rsidRPr="005F74FA">
        <w:rPr>
          <w:b/>
        </w:rPr>
        <w:t>compound those gaps</w:t>
      </w:r>
      <w:r w:rsidR="009524BA">
        <w:rPr>
          <w:b/>
        </w:rPr>
        <w:t>.</w:t>
      </w:r>
      <w:r w:rsidR="009524BA">
        <w:t xml:space="preserve"> </w:t>
      </w:r>
      <w:r>
        <w:t xml:space="preserve">One-year </w:t>
      </w:r>
      <w:r w:rsidRPr="00EF51E4">
        <w:rPr>
          <w:b/>
        </w:rPr>
        <w:t>retention rates for STEM teachers are lower</w:t>
      </w:r>
      <w:r>
        <w:t xml:space="preserve"> in Level 4 schools than Level 1-3 schools</w:t>
      </w:r>
      <w:r w:rsidR="009524BA">
        <w:t>,</w:t>
      </w:r>
      <w:r w:rsidR="009524BA">
        <w:rPr>
          <w:rStyle w:val="FootnoteReference"/>
        </w:rPr>
        <w:footnoteReference w:id="4"/>
      </w:r>
      <w:r w:rsidR="009524BA">
        <w:t xml:space="preserve"> and students in Level 4 schools are particularly in need of experienced, stable teachers. </w:t>
      </w:r>
    </w:p>
    <w:p w14:paraId="2F26C99F" w14:textId="77777777" w:rsidR="000C6484" w:rsidRDefault="00EF51E4" w:rsidP="00433FDE">
      <w:pPr>
        <w:spacing w:after="100"/>
      </w:pPr>
      <w:r>
        <w:t xml:space="preserve">Statewide, diverse districts are responding to the challenge of recruiting and retaining educators in hard-to-staff roles. </w:t>
      </w:r>
      <w:r w:rsidR="00B80958">
        <w:t xml:space="preserve">In the </w:t>
      </w:r>
      <w:hyperlink r:id="rId12" w:history="1">
        <w:r w:rsidR="00B80958" w:rsidRPr="00B72A82">
          <w:rPr>
            <w:rStyle w:val="Hyperlink"/>
          </w:rPr>
          <w:t>2016-17 Induction and Mentoring Report</w:t>
        </w:r>
      </w:hyperlink>
      <w:bookmarkStart w:id="0" w:name="_GoBack"/>
      <w:bookmarkEnd w:id="0"/>
      <w:r w:rsidR="00B80958">
        <w:t xml:space="preserve">, </w:t>
      </w:r>
      <w:r>
        <w:t>they reported on such approaches.</w:t>
      </w:r>
      <w:r w:rsidR="00067E2A">
        <w:t xml:space="preserve"> </w:t>
      </w:r>
    </w:p>
    <w:p w14:paraId="7E11AEC7" w14:textId="77777777" w:rsidR="000C6484" w:rsidRDefault="00B422BE">
      <w:r>
        <w:rPr>
          <w:noProof/>
          <w:lang w:eastAsia="zh-CN"/>
        </w:rPr>
        <w:drawing>
          <wp:inline distT="0" distB="0" distL="0" distR="0" wp14:anchorId="2D5080E4" wp14:editId="046D7144">
            <wp:extent cx="5550408" cy="2962656"/>
            <wp:effectExtent l="0" t="0" r="0" b="0"/>
            <wp:docPr id="1" name="Picture 1" descr="Defined strategies for recruitment &amp; retention of hard-to-staff roles&#10;The induction and mentoring program: 33.1%&#10;Educator pipeline partnerships with educator preparation programs: 31.0%&#10;Career fairs: 28.9%&#10;Collaboration with professional organizations for hard-to-staff positions: 35.6%&#10;Support for educators seeking an additional license for a hard-to-staff position: 34.7%&#10;Networking groups for educators: 26.4%&#10;Leadership opportunities for educators: 20.1%&#10;We do not have defined strategies for recruitment or retention: 2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50408" cy="2962656"/>
                    </a:xfrm>
                    <a:prstGeom prst="rect">
                      <a:avLst/>
                    </a:prstGeom>
                  </pic:spPr>
                </pic:pic>
              </a:graphicData>
            </a:graphic>
          </wp:inline>
        </w:drawing>
      </w:r>
    </w:p>
    <w:p w14:paraId="076AF637" w14:textId="77777777" w:rsidR="00657B57" w:rsidRDefault="006C445D" w:rsidP="00441F54">
      <w:pPr>
        <w:spacing w:after="0" w:line="240" w:lineRule="auto"/>
        <w:contextualSpacing/>
      </w:pPr>
      <w:r>
        <w:rPr>
          <w:rFonts w:eastAsia="Times New Roman" w:cs="Times New Roman"/>
          <w:noProof/>
          <w:color w:val="4F4F4F"/>
        </w:rPr>
        <w:lastRenderedPageBreak/>
        <w:pict w14:anchorId="759EE749">
          <v:roundrect id="_x0000_s1032" style="position:absolute;margin-left:-12.9pt;margin-top:38.15pt;width:57.35pt;height:203.85pt;z-index:-251646464;mso-width-relative:margin;mso-height-relative:margin" arcsize="10923f" wrapcoords="-675 -159 -675 21918 22950 21918 22612 -159 -675 -159" fillcolor="#1f497d [3215]" strokecolor="#f2f2f2 [3041]" strokeweight="3pt">
            <v:shadow on="t" type="perspective" color="#243f60 [1604]" opacity=".5" offset="1pt" offset2="-1pt"/>
            <v:textbox style="layout-flow:vertical;mso-layout-flow-alt:bottom-to-top;mso-next-textbox:#_x0000_s1032">
              <w:txbxContent>
                <w:p w14:paraId="20792998" w14:textId="77777777" w:rsidR="00AB1C0A" w:rsidRPr="00822EC7" w:rsidRDefault="00AB1C0A" w:rsidP="003A3628">
                  <w:pPr>
                    <w:jc w:val="center"/>
                    <w:rPr>
                      <w:b/>
                      <w:color w:val="FFFFFF" w:themeColor="background1"/>
                      <w:sz w:val="26"/>
                      <w:szCs w:val="26"/>
                    </w:rPr>
                  </w:pPr>
                  <w:r w:rsidRPr="00822EC7">
                    <w:rPr>
                      <w:b/>
                      <w:color w:val="FFFFFF" w:themeColor="background1"/>
                      <w:sz w:val="26"/>
                      <w:szCs w:val="26"/>
                    </w:rPr>
                    <w:t>Partnerships with educator preparation programs</w:t>
                  </w:r>
                </w:p>
              </w:txbxContent>
            </v:textbox>
            <w10:wrap type="tight"/>
          </v:roundrect>
        </w:pict>
      </w:r>
      <w:r w:rsidR="00321DE3">
        <w:t>A</w:t>
      </w:r>
      <w:r w:rsidR="00067E2A">
        <w:t>bout three</w:t>
      </w:r>
      <w:r w:rsidR="00321DE3">
        <w:t>-</w:t>
      </w:r>
      <w:r w:rsidR="00067E2A">
        <w:t xml:space="preserve">quarters of </w:t>
      </w:r>
      <w:r w:rsidR="005329D3">
        <w:t>responding districts</w:t>
      </w:r>
      <w:r w:rsidR="00321DE3">
        <w:t xml:space="preserve"> </w:t>
      </w:r>
      <w:r w:rsidR="00067E2A">
        <w:t xml:space="preserve">identified one or more </w:t>
      </w:r>
      <w:r w:rsidR="001B2280">
        <w:t>recruitment and retention strategies</w:t>
      </w:r>
      <w:r w:rsidR="00321DE3">
        <w:t>, and some elaborated with the following:</w:t>
      </w:r>
    </w:p>
    <w:p w14:paraId="2D746171" w14:textId="77777777" w:rsidR="00441F54" w:rsidRDefault="00441F54" w:rsidP="003242E1">
      <w:pPr>
        <w:contextualSpacing/>
      </w:pPr>
    </w:p>
    <w:p w14:paraId="64CAEE23" w14:textId="77777777" w:rsidR="007947F2" w:rsidRPr="007108B4" w:rsidRDefault="007947F2" w:rsidP="003242E1">
      <w:pPr>
        <w:contextualSpacing/>
      </w:pPr>
      <w:r w:rsidRPr="003242E1">
        <w:t xml:space="preserve">Formal partnerships with educator preparation programs can include student teacher placements and fellowship/residency programs. Such relationships allow districts to </w:t>
      </w:r>
      <w:r w:rsidRPr="00101648">
        <w:rPr>
          <w:b/>
        </w:rPr>
        <w:t>communicate their staffing needs to</w:t>
      </w:r>
      <w:r w:rsidRPr="003242E1">
        <w:t xml:space="preserve"> preparation programs, and to have </w:t>
      </w:r>
      <w:r w:rsidRPr="00101648">
        <w:rPr>
          <w:b/>
        </w:rPr>
        <w:t>early access to teaching candidates</w:t>
      </w:r>
      <w:r w:rsidRPr="003242E1">
        <w:t xml:space="preserve"> in hard-to-staff positions. </w:t>
      </w:r>
      <w:r w:rsidR="00101648">
        <w:t>For example, t</w:t>
      </w:r>
      <w:r w:rsidRPr="003242E1">
        <w:t xml:space="preserve">hrough </w:t>
      </w:r>
      <w:r w:rsidR="005B4CFF">
        <w:t>a</w:t>
      </w:r>
      <w:r w:rsidR="005B4CFF" w:rsidRPr="003242E1">
        <w:t xml:space="preserve"> </w:t>
      </w:r>
      <w:r w:rsidRPr="003242E1">
        <w:t>fellowship program with Merrimack College, Andover was often able to hire new</w:t>
      </w:r>
      <w:r w:rsidR="00101648">
        <w:t xml:space="preserve"> ESL and</w:t>
      </w:r>
      <w:r w:rsidRPr="003242E1">
        <w:t xml:space="preserve"> special education teachers. Asst. Supt. Nancy Duclos advises that districts </w:t>
      </w:r>
      <w:r w:rsidRPr="00101648">
        <w:rPr>
          <w:b/>
        </w:rPr>
        <w:t>arrange teacher candidate placements early</w:t>
      </w:r>
      <w:r w:rsidRPr="003242E1">
        <w:t xml:space="preserve">, </w:t>
      </w:r>
      <w:r w:rsidRPr="00101648">
        <w:rPr>
          <w:b/>
        </w:rPr>
        <w:t>clearly communicate expectations</w:t>
      </w:r>
      <w:r w:rsidRPr="003242E1">
        <w:t xml:space="preserve"> to preparation programs, </w:t>
      </w:r>
      <w:r w:rsidRPr="00101648">
        <w:rPr>
          <w:b/>
        </w:rPr>
        <w:t>help candidates prepare for the dist</w:t>
      </w:r>
      <w:r w:rsidRPr="00F623EB">
        <w:rPr>
          <w:b/>
        </w:rPr>
        <w:t>rict’</w:t>
      </w:r>
      <w:r w:rsidRPr="00101648">
        <w:rPr>
          <w:b/>
        </w:rPr>
        <w:t>s specific hiring process</w:t>
      </w:r>
      <w:r w:rsidR="007108B4">
        <w:t xml:space="preserve">, and </w:t>
      </w:r>
      <w:r w:rsidR="007108B4">
        <w:rPr>
          <w:b/>
        </w:rPr>
        <w:t>provide strong mentors</w:t>
      </w:r>
      <w:r w:rsidR="007108B4">
        <w:t>.</w:t>
      </w:r>
    </w:p>
    <w:p w14:paraId="581E967F" w14:textId="77777777" w:rsidR="003242E1" w:rsidRPr="003242E1" w:rsidRDefault="003242E1" w:rsidP="003242E1">
      <w:pPr>
        <w:contextualSpacing/>
        <w:rPr>
          <w:sz w:val="8"/>
          <w:szCs w:val="8"/>
        </w:rPr>
      </w:pPr>
      <w:r>
        <w:t xml:space="preserve"> </w:t>
      </w:r>
    </w:p>
    <w:p w14:paraId="2880618D" w14:textId="77777777" w:rsidR="007947F2" w:rsidRPr="003242E1" w:rsidRDefault="007947F2" w:rsidP="003242E1">
      <w:pPr>
        <w:spacing w:after="0" w:line="240" w:lineRule="auto"/>
        <w:contextualSpacing/>
      </w:pPr>
      <w:r w:rsidRPr="003242E1">
        <w:t>For further examples of Massachusetts district-preparation program partnerships, see:</w:t>
      </w:r>
    </w:p>
    <w:p w14:paraId="602B28C6" w14:textId="77777777" w:rsidR="007947F2" w:rsidRPr="003A3628" w:rsidRDefault="006C445D" w:rsidP="003242E1">
      <w:pPr>
        <w:pStyle w:val="ListParagraph"/>
        <w:numPr>
          <w:ilvl w:val="0"/>
          <w:numId w:val="1"/>
        </w:numPr>
        <w:spacing w:after="0" w:line="240" w:lineRule="auto"/>
        <w:rPr>
          <w:rFonts w:eastAsia="Times New Roman" w:cs="Times New Roman"/>
          <w:color w:val="444444"/>
        </w:rPr>
      </w:pPr>
      <w:hyperlink r:id="rId14" w:history="1">
        <w:r w:rsidR="00E31362">
          <w:rPr>
            <w:rStyle w:val="Hyperlink"/>
            <w:rFonts w:eastAsia="Times New Roman" w:cs="Times New Roman"/>
          </w:rPr>
          <w:t>Endicott Teaching Fellows</w:t>
        </w:r>
      </w:hyperlink>
      <w:r w:rsidR="00E31362">
        <w:rPr>
          <w:rFonts w:eastAsia="Times New Roman" w:cs="Times New Roman"/>
          <w:color w:val="444444"/>
        </w:rPr>
        <w:t xml:space="preserve"> </w:t>
      </w:r>
    </w:p>
    <w:p w14:paraId="72C829DD" w14:textId="77777777" w:rsidR="007947F2" w:rsidRDefault="006C445D" w:rsidP="003242E1">
      <w:pPr>
        <w:pStyle w:val="ListParagraph"/>
        <w:numPr>
          <w:ilvl w:val="0"/>
          <w:numId w:val="1"/>
        </w:numPr>
        <w:spacing w:after="0" w:line="240" w:lineRule="auto"/>
        <w:rPr>
          <w:rFonts w:eastAsia="Times New Roman" w:cs="Times New Roman"/>
          <w:color w:val="4F4F4F"/>
        </w:rPr>
      </w:pPr>
      <w:hyperlink r:id="rId15" w:history="1">
        <w:proofErr w:type="spellStart"/>
        <w:r w:rsidR="007947F2" w:rsidRPr="00BC29F2">
          <w:rPr>
            <w:rStyle w:val="Hyperlink"/>
            <w:rFonts w:eastAsia="Times New Roman" w:cs="Times New Roman"/>
          </w:rPr>
          <w:t>UTeach</w:t>
        </w:r>
        <w:proofErr w:type="spellEnd"/>
      </w:hyperlink>
      <w:r w:rsidR="007947F2">
        <w:rPr>
          <w:rFonts w:eastAsia="Times New Roman" w:cs="Times New Roman"/>
          <w:color w:val="4F4F4F"/>
        </w:rPr>
        <w:t xml:space="preserve"> </w:t>
      </w:r>
      <w:r w:rsidR="007947F2" w:rsidRPr="00441F54">
        <w:t>at UMass Lowell for STEM teachers</w:t>
      </w:r>
    </w:p>
    <w:p w14:paraId="03FAFFBF" w14:textId="77777777" w:rsidR="007947F2" w:rsidRDefault="006C445D" w:rsidP="003242E1">
      <w:pPr>
        <w:pStyle w:val="ListParagraph"/>
        <w:numPr>
          <w:ilvl w:val="0"/>
          <w:numId w:val="1"/>
        </w:numPr>
        <w:spacing w:after="0" w:line="240" w:lineRule="auto"/>
        <w:rPr>
          <w:rFonts w:eastAsia="Times New Roman" w:cs="Times New Roman"/>
          <w:color w:val="4F4F4F"/>
        </w:rPr>
      </w:pPr>
      <w:hyperlink r:id="rId16" w:history="1">
        <w:r w:rsidR="007947F2">
          <w:rPr>
            <w:rStyle w:val="Hyperlink"/>
            <w:rFonts w:eastAsia="Times New Roman" w:cs="Times New Roman"/>
          </w:rPr>
          <w:t>Urban Teacher Pathways Program</w:t>
        </w:r>
      </w:hyperlink>
      <w:r w:rsidR="007947F2" w:rsidRPr="008E337A">
        <w:rPr>
          <w:rFonts w:eastAsia="Times New Roman" w:cs="Times New Roman"/>
          <w:color w:val="4F4F4F"/>
        </w:rPr>
        <w:t xml:space="preserve"> </w:t>
      </w:r>
      <w:r w:rsidR="007947F2" w:rsidRPr="00441F54">
        <w:t>at Mount Holyoke College</w:t>
      </w:r>
    </w:p>
    <w:p w14:paraId="4F31EA9F" w14:textId="77777777" w:rsidR="007947F2" w:rsidRDefault="007947F2" w:rsidP="00321DE3"/>
    <w:p w14:paraId="4902C45B" w14:textId="77777777" w:rsidR="00776B6C" w:rsidRPr="00776B6C" w:rsidRDefault="006C445D" w:rsidP="00321DE3">
      <w:pPr>
        <w:rPr>
          <w:sz w:val="4"/>
          <w:szCs w:val="4"/>
        </w:rPr>
      </w:pPr>
      <w:r>
        <w:rPr>
          <w:b/>
        </w:rPr>
        <w:pict w14:anchorId="6C1BD474">
          <v:roundrect id="_x0000_s1035" style="position:absolute;margin-left:-12.9pt;margin-top:12.5pt;width:80.3pt;height:124.9pt;z-index:-251648512;mso-position-horizontal-relative:text;mso-position-vertical-relative:text;mso-width-relative:margin;mso-height-relative:margin" arcsize="10923f" wrapcoords="-404 -357 -404 22314 22407 22314 22206 -357 -404 -357" fillcolor="#3174c5" strokecolor="#f2f2f2 [3041]" strokeweight="3pt">
            <v:shadow on="t" type="perspective" color="#243f60 [1604]" opacity=".5" offset="1pt" offset2="-1pt"/>
            <v:textbox style="layout-flow:vertical;mso-layout-flow-alt:bottom-to-top;mso-next-textbox:#_x0000_s1035">
              <w:txbxContent>
                <w:p w14:paraId="47F6DA05" w14:textId="77777777" w:rsidR="00AB1C0A" w:rsidRPr="00822EC7" w:rsidRDefault="00AB1C0A" w:rsidP="007947F2">
                  <w:pPr>
                    <w:jc w:val="center"/>
                    <w:rPr>
                      <w:b/>
                      <w:color w:val="FFFFFF" w:themeColor="background1"/>
                      <w:sz w:val="26"/>
                      <w:szCs w:val="26"/>
                    </w:rPr>
                  </w:pPr>
                  <w:r w:rsidRPr="00822EC7">
                    <w:rPr>
                      <w:b/>
                      <w:color w:val="FFFFFF" w:themeColor="background1"/>
                      <w:sz w:val="26"/>
                      <w:szCs w:val="26"/>
                    </w:rPr>
                    <w:t>Collaborating with other organizations</w:t>
                  </w:r>
                </w:p>
              </w:txbxContent>
            </v:textbox>
            <w10:wrap type="tight"/>
          </v:roundrect>
        </w:pict>
      </w:r>
      <w:r w:rsidR="00776B6C" w:rsidRPr="00776B6C">
        <w:rPr>
          <w:sz w:val="4"/>
          <w:szCs w:val="4"/>
        </w:rPr>
        <w:t xml:space="preserve"> </w:t>
      </w:r>
    </w:p>
    <w:p w14:paraId="0A33B4CC" w14:textId="77777777" w:rsidR="007947F2" w:rsidRPr="00F700A4" w:rsidRDefault="005B4CFF" w:rsidP="00776B6C">
      <w:pPr>
        <w:spacing w:after="0"/>
        <w:contextualSpacing/>
      </w:pPr>
      <w:r>
        <w:rPr>
          <w:b/>
        </w:rPr>
        <w:t xml:space="preserve">Educational </w:t>
      </w:r>
      <w:r w:rsidR="006819F6">
        <w:rPr>
          <w:b/>
        </w:rPr>
        <w:t>c</w:t>
      </w:r>
      <w:r w:rsidR="006819F6" w:rsidRPr="00101648">
        <w:rPr>
          <w:b/>
        </w:rPr>
        <w:t>ollaborative</w:t>
      </w:r>
      <w:r w:rsidR="006819F6">
        <w:rPr>
          <w:b/>
        </w:rPr>
        <w:t>s</w:t>
      </w:r>
      <w:r w:rsidR="00321DE3">
        <w:t xml:space="preserve"> can be resources for finding and supporting </w:t>
      </w:r>
      <w:r w:rsidR="006819F6">
        <w:t>special educators</w:t>
      </w:r>
      <w:r w:rsidR="00321DE3">
        <w:t xml:space="preserve">. Several districts mentioned the value of working with collaboratives to recruit </w:t>
      </w:r>
      <w:r w:rsidR="00196AA6">
        <w:t xml:space="preserve">and support </w:t>
      </w:r>
      <w:r w:rsidR="00321DE3">
        <w:t>special educators. For example, Lower Pioneer Valley Educational Collaborative provides opportunities for nearby districts to network and problem solve together.</w:t>
      </w:r>
      <w:r w:rsidR="007947F2">
        <w:t xml:space="preserve"> </w:t>
      </w:r>
      <w:r w:rsidR="007947F2" w:rsidRPr="003242E1">
        <w:t xml:space="preserve">Districts can also contact </w:t>
      </w:r>
      <w:r w:rsidR="007947F2" w:rsidRPr="00101648">
        <w:rPr>
          <w:b/>
        </w:rPr>
        <w:t>professional organizations</w:t>
      </w:r>
      <w:r w:rsidR="007947F2" w:rsidRPr="003242E1">
        <w:t xml:space="preserve"> representing edu</w:t>
      </w:r>
      <w:r w:rsidR="006819F6">
        <w:t xml:space="preserve">cators in hard-to-staff fields, such as the Massachusetts Association of Teachers of Speakers of Other Languages or the Massachusetts Association of Science Teachers, </w:t>
      </w:r>
      <w:r w:rsidR="00776B6C">
        <w:t xml:space="preserve">in order to </w:t>
      </w:r>
      <w:r w:rsidR="007947F2" w:rsidRPr="003242E1">
        <w:t>share job openings.</w:t>
      </w:r>
    </w:p>
    <w:p w14:paraId="7CABB280" w14:textId="77777777" w:rsidR="00776B6C" w:rsidRDefault="00776B6C" w:rsidP="003242E1">
      <w:pPr>
        <w:contextualSpacing/>
        <w:rPr>
          <w:sz w:val="4"/>
          <w:szCs w:val="4"/>
        </w:rPr>
      </w:pPr>
    </w:p>
    <w:p w14:paraId="61EBC1C6" w14:textId="77777777" w:rsidR="00776B6C" w:rsidRDefault="00776B6C" w:rsidP="003242E1">
      <w:pPr>
        <w:contextualSpacing/>
        <w:rPr>
          <w:sz w:val="4"/>
          <w:szCs w:val="4"/>
        </w:rPr>
      </w:pPr>
    </w:p>
    <w:p w14:paraId="2C75AAB6" w14:textId="77777777" w:rsidR="00776B6C" w:rsidRPr="00776B6C" w:rsidRDefault="00776B6C" w:rsidP="003242E1">
      <w:pPr>
        <w:contextualSpacing/>
        <w:rPr>
          <w:sz w:val="4"/>
          <w:szCs w:val="4"/>
        </w:rPr>
      </w:pPr>
    </w:p>
    <w:p w14:paraId="3922E388" w14:textId="77777777" w:rsidR="00776B6C" w:rsidRPr="00776B6C" w:rsidRDefault="00776B6C" w:rsidP="003242E1">
      <w:pPr>
        <w:contextualSpacing/>
        <w:rPr>
          <w:sz w:val="4"/>
          <w:szCs w:val="4"/>
        </w:rPr>
      </w:pPr>
      <w:r w:rsidRPr="00776B6C">
        <w:rPr>
          <w:sz w:val="4"/>
          <w:szCs w:val="4"/>
        </w:rPr>
        <w:t xml:space="preserve"> </w:t>
      </w:r>
    </w:p>
    <w:p w14:paraId="0A7FA2F7" w14:textId="77777777" w:rsidR="00E07D62" w:rsidRDefault="006C445D" w:rsidP="003242E1">
      <w:pPr>
        <w:contextualSpacing/>
      </w:pPr>
      <w:r>
        <w:rPr>
          <w:rFonts w:eastAsia="Times New Roman" w:cs="Times New Roman"/>
          <w:noProof/>
          <w:color w:val="444444"/>
          <w:sz w:val="4"/>
          <w:szCs w:val="4"/>
        </w:rPr>
        <w:pict w14:anchorId="02B24694">
          <v:roundrect id="_x0000_s1029" style="position:absolute;margin-left:-7.4pt;margin-top:2.05pt;width:59.1pt;height:110.2pt;z-index:-251654656;mso-width-relative:margin;mso-height-relative:margin" arcsize="10923f" wrapcoords="-617 -272 -617 22143 22834 22143 22526 -272 -617 -272" fillcolor="#76a4dc" strokecolor="#f2f2f2 [3041]" strokeweight="3pt">
            <v:shadow on="t" type="perspective" color="#243f60 [1604]" opacity=".5" offset="1pt" offset2="-1pt"/>
            <v:textbox style="layout-flow:vertical;mso-layout-flow-alt:bottom-to-top;mso-next-textbox:#_x0000_s1029">
              <w:txbxContent>
                <w:p w14:paraId="5B7867B7" w14:textId="77777777" w:rsidR="00AB1C0A" w:rsidRPr="00822EC7" w:rsidRDefault="00F623EB" w:rsidP="00196AA6">
                  <w:pPr>
                    <w:jc w:val="center"/>
                    <w:rPr>
                      <w:b/>
                      <w:color w:val="FFFFFF" w:themeColor="background1"/>
                      <w:sz w:val="26"/>
                      <w:szCs w:val="26"/>
                    </w:rPr>
                  </w:pPr>
                  <w:r>
                    <w:rPr>
                      <w:b/>
                      <w:color w:val="FFFFFF" w:themeColor="background1"/>
                      <w:sz w:val="26"/>
                      <w:szCs w:val="26"/>
                    </w:rPr>
                    <w:t xml:space="preserve">Training </w:t>
                  </w:r>
                  <w:r w:rsidR="00AB1C0A" w:rsidRPr="00822EC7">
                    <w:rPr>
                      <w:b/>
                      <w:color w:val="FFFFFF" w:themeColor="background1"/>
                      <w:sz w:val="26"/>
                      <w:szCs w:val="26"/>
                    </w:rPr>
                    <w:t>&amp; leadership</w:t>
                  </w:r>
                </w:p>
              </w:txbxContent>
            </v:textbox>
            <w10:wrap type="tight"/>
          </v:roundrect>
        </w:pict>
      </w:r>
      <w:r w:rsidR="003A3628" w:rsidRPr="003242E1">
        <w:t>Opportunities</w:t>
      </w:r>
      <w:r w:rsidR="005B4CFF">
        <w:t xml:space="preserve"> for professional </w:t>
      </w:r>
      <w:r w:rsidR="005B4CFF" w:rsidRPr="00AB1C0A">
        <w:t xml:space="preserve">growth </w:t>
      </w:r>
      <w:r w:rsidR="00AB1C0A" w:rsidRPr="00AB1C0A">
        <w:t>in</w:t>
      </w:r>
      <w:r w:rsidR="00AB1C0A">
        <w:t xml:space="preserve"> </w:t>
      </w:r>
      <w:r w:rsidR="005B4CFF">
        <w:t xml:space="preserve">their </w:t>
      </w:r>
      <w:r w:rsidR="003A3628" w:rsidRPr="003242E1">
        <w:t xml:space="preserve">field can help to attract and retain teachers in hard-to-staff positions. For example, one district pairs hard-to-staff positions with job-alike mentors, and </w:t>
      </w:r>
      <w:r w:rsidR="003A3628" w:rsidRPr="00101648">
        <w:rPr>
          <w:b/>
        </w:rPr>
        <w:t>differentiates required trainings</w:t>
      </w:r>
      <w:r w:rsidR="003A3628" w:rsidRPr="003242E1">
        <w:t xml:space="preserve"> to meet the needs of educators with diverse roles. Another reported using </w:t>
      </w:r>
      <w:r w:rsidR="003A3628" w:rsidRPr="00101648">
        <w:rPr>
          <w:b/>
        </w:rPr>
        <w:t>targeted professional development</w:t>
      </w:r>
      <w:r w:rsidR="003A3628" w:rsidRPr="003242E1">
        <w:t xml:space="preserve"> for educators in shortage-area positions as a retention strategy.</w:t>
      </w:r>
    </w:p>
    <w:p w14:paraId="5D9B86F1" w14:textId="77777777" w:rsidR="003242E1" w:rsidRPr="003242E1" w:rsidRDefault="003242E1" w:rsidP="003242E1">
      <w:pPr>
        <w:contextualSpacing/>
        <w:rPr>
          <w:sz w:val="8"/>
          <w:szCs w:val="8"/>
        </w:rPr>
      </w:pPr>
      <w:r w:rsidRPr="003242E1">
        <w:rPr>
          <w:sz w:val="8"/>
          <w:szCs w:val="8"/>
        </w:rPr>
        <w:t xml:space="preserve"> </w:t>
      </w:r>
    </w:p>
    <w:p w14:paraId="3294A1A5" w14:textId="77777777" w:rsidR="003242E1" w:rsidRDefault="00E07D62" w:rsidP="003242E1">
      <w:pPr>
        <w:contextualSpacing/>
      </w:pPr>
      <w:r w:rsidRPr="003242E1">
        <w:t>Collaboration among educators doesn’t end after induction and mentoring.</w:t>
      </w:r>
      <w:r w:rsidRPr="00101648">
        <w:rPr>
          <w:b/>
        </w:rPr>
        <w:t xml:space="preserve"> Teacher leadership opportunities </w:t>
      </w:r>
      <w:r w:rsidRPr="003242E1">
        <w:t xml:space="preserve">help leverage teachers’ expertise and increase job satisfaction. </w:t>
      </w:r>
    </w:p>
    <w:p w14:paraId="0B0A0578" w14:textId="77777777" w:rsidR="00776B6C" w:rsidRDefault="006C445D" w:rsidP="003242E1">
      <w:pPr>
        <w:rPr>
          <w:sz w:val="4"/>
          <w:szCs w:val="4"/>
        </w:rPr>
      </w:pPr>
      <w:r>
        <w:rPr>
          <w:rFonts w:eastAsia="Times New Roman" w:cs="Times New Roman"/>
          <w:noProof/>
          <w:color w:val="4F4F4F"/>
        </w:rPr>
        <w:pict w14:anchorId="0C4A468E">
          <v:roundrect id="_x0000_s1036" style="position:absolute;margin-left:-71.5pt;margin-top:10pt;width:37.2pt;height:119.65pt;z-index:-251647488;mso-wrap-edited:t;mso-width-relative:margin;mso-height-relative:margin" arcsize="10923f" wrapcoords="-465 -86 -465 21514 22065 21514 22181 20879 21774 223 18465 112 14110 223 -465 -86" fillcolor="#afcaeb" strokecolor="#f2f2f2 [3041]" strokeweight="3pt">
            <v:shadow on="t" type="perspective" color="#243f60 [1604]" opacity=".5" offset="1pt" offset2="-1pt"/>
            <v:textbox style="layout-flow:vertical;mso-layout-flow-alt:bottom-to-top;mso-next-textbox:#_x0000_s1036">
              <w:txbxContent>
                <w:p w14:paraId="05DFB85B" w14:textId="77777777" w:rsidR="00AB1C0A" w:rsidRPr="00822EC7" w:rsidRDefault="00AB1C0A" w:rsidP="00DD05B7">
                  <w:pPr>
                    <w:jc w:val="center"/>
                    <w:rPr>
                      <w:b/>
                      <w:color w:val="FFFFFF" w:themeColor="background1"/>
                      <w:sz w:val="26"/>
                      <w:szCs w:val="26"/>
                    </w:rPr>
                  </w:pPr>
                  <w:r w:rsidRPr="00822EC7">
                    <w:rPr>
                      <w:b/>
                      <w:color w:val="FFFFFF" w:themeColor="background1"/>
                      <w:sz w:val="26"/>
                      <w:szCs w:val="26"/>
                    </w:rPr>
                    <w:t>Grow your own</w:t>
                  </w:r>
                </w:p>
              </w:txbxContent>
            </v:textbox>
            <w10:wrap type="tight"/>
          </v:roundrect>
        </w:pict>
      </w:r>
    </w:p>
    <w:p w14:paraId="1A808DDC" w14:textId="77777777" w:rsidR="00B478CA" w:rsidRPr="003242E1" w:rsidRDefault="00E07D62" w:rsidP="003242E1">
      <w:r w:rsidRPr="003242E1">
        <w:t>The approach o</w:t>
      </w:r>
      <w:r w:rsidR="00F623EB">
        <w:t>f “growing your own” teachers–</w:t>
      </w:r>
      <w:r w:rsidRPr="003242E1">
        <w:t xml:space="preserve">by </w:t>
      </w:r>
      <w:r w:rsidRPr="00101648">
        <w:rPr>
          <w:b/>
        </w:rPr>
        <w:t>supporting paraprofessionals who seek teacher licensure</w:t>
      </w:r>
      <w:r w:rsidR="00F623EB">
        <w:t>–</w:t>
      </w:r>
      <w:r w:rsidRPr="003242E1">
        <w:t xml:space="preserve">is often </w:t>
      </w:r>
      <w:r w:rsidR="00101648">
        <w:t>u</w:t>
      </w:r>
      <w:r w:rsidR="001115BE">
        <w:t>sed to diversify</w:t>
      </w:r>
      <w:r w:rsidRPr="003242E1">
        <w:t xml:space="preserve"> the teacher workforce. This can also be useful for recruiting for hard-to-staff positions and leveraging paraprofessionals’ special education experience.</w:t>
      </w:r>
      <w:r w:rsidR="00DD05B7" w:rsidRPr="003242E1">
        <w:t xml:space="preserve"> For example, through tuition reimbursement and supervised internships, Walpole has supported several paraprofessionals in becoming special education and ESL teachers.</w:t>
      </w:r>
      <w:r w:rsidR="00F700A4">
        <w:rPr>
          <w:rFonts w:eastAsia="Times New Roman" w:cs="Times New Roman"/>
          <w:color w:val="4F4F4F"/>
        </w:rPr>
        <w:t xml:space="preserve"> </w:t>
      </w:r>
      <w:r w:rsidR="00DD05B7" w:rsidRPr="003242E1">
        <w:t xml:space="preserve">Holyoke’s partnership with Mount Holyoke </w:t>
      </w:r>
      <w:r w:rsidR="005B4CFF">
        <w:t>C</w:t>
      </w:r>
      <w:r w:rsidR="005B4CFF" w:rsidRPr="003242E1">
        <w:t xml:space="preserve">ollege </w:t>
      </w:r>
      <w:r w:rsidR="00DD05B7" w:rsidRPr="003242E1">
        <w:t>allows paraprofessionals and current teachers to obtain a license in Moderate Disabilities or ESL, with significantly reduced tuition.</w:t>
      </w:r>
    </w:p>
    <w:sectPr w:rsidR="00B478CA" w:rsidRPr="003242E1" w:rsidSect="00E47E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A93D3" w14:textId="77777777" w:rsidR="00150543" w:rsidRDefault="00150543" w:rsidP="00CA0097">
      <w:pPr>
        <w:spacing w:after="0" w:line="240" w:lineRule="auto"/>
      </w:pPr>
      <w:r>
        <w:separator/>
      </w:r>
    </w:p>
  </w:endnote>
  <w:endnote w:type="continuationSeparator" w:id="0">
    <w:p w14:paraId="5054FDF2" w14:textId="77777777" w:rsidR="00150543" w:rsidRDefault="00150543" w:rsidP="00CA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7A63B" w14:textId="77777777" w:rsidR="00150543" w:rsidRDefault="00150543" w:rsidP="00CA0097">
      <w:pPr>
        <w:spacing w:after="0" w:line="240" w:lineRule="auto"/>
      </w:pPr>
      <w:r>
        <w:separator/>
      </w:r>
    </w:p>
  </w:footnote>
  <w:footnote w:type="continuationSeparator" w:id="0">
    <w:p w14:paraId="1567E6A8" w14:textId="77777777" w:rsidR="00150543" w:rsidRDefault="00150543" w:rsidP="00CA0097">
      <w:pPr>
        <w:spacing w:after="0" w:line="240" w:lineRule="auto"/>
      </w:pPr>
      <w:r>
        <w:continuationSeparator/>
      </w:r>
    </w:p>
  </w:footnote>
  <w:footnote w:id="1">
    <w:p w14:paraId="277AAB2A" w14:textId="77777777" w:rsidR="00AB1C0A" w:rsidRPr="00500A04" w:rsidRDefault="00AB1C0A">
      <w:pPr>
        <w:pStyle w:val="FootnoteText"/>
        <w:rPr>
          <w:sz w:val="18"/>
          <w:szCs w:val="18"/>
        </w:rPr>
      </w:pPr>
      <w:r w:rsidRPr="00500A04">
        <w:rPr>
          <w:rStyle w:val="FootnoteReference"/>
          <w:sz w:val="18"/>
          <w:szCs w:val="18"/>
        </w:rPr>
        <w:footnoteRef/>
      </w:r>
      <w:r w:rsidRPr="00500A04">
        <w:rPr>
          <w:sz w:val="18"/>
          <w:szCs w:val="18"/>
        </w:rPr>
        <w:t xml:space="preserve"> Gary, B., Crowe, D. &amp; Schaefer, B. (2007). The Cost of Teacher Turnover in Five School Districts: A Pilot Study. National Commission on Teaching &amp; America’s Future.; Ingersoll, R. (2014). On the Path to Equity: Improving the Effectiveness of Beginning Teachers. Alliance for Excellent Education.</w:t>
      </w:r>
    </w:p>
  </w:footnote>
  <w:footnote w:id="2">
    <w:p w14:paraId="28053C15" w14:textId="77777777" w:rsidR="00AB1C0A" w:rsidRPr="00500A04" w:rsidRDefault="00AB1C0A" w:rsidP="009524BA">
      <w:pPr>
        <w:pStyle w:val="FootnoteText"/>
        <w:rPr>
          <w:sz w:val="18"/>
          <w:szCs w:val="18"/>
        </w:rPr>
      </w:pPr>
      <w:r w:rsidRPr="00500A04">
        <w:rPr>
          <w:rStyle w:val="FootnoteReference"/>
          <w:sz w:val="18"/>
          <w:szCs w:val="18"/>
        </w:rPr>
        <w:footnoteRef/>
      </w:r>
      <w:r w:rsidRPr="00500A04">
        <w:rPr>
          <w:sz w:val="18"/>
          <w:szCs w:val="18"/>
        </w:rPr>
        <w:t xml:space="preserve"> From Educator License and Recruitment (ELAR) data</w:t>
      </w:r>
    </w:p>
  </w:footnote>
  <w:footnote w:id="3">
    <w:p w14:paraId="6BDEB297" w14:textId="77777777" w:rsidR="00AB1C0A" w:rsidRPr="00500A04" w:rsidRDefault="00AB1C0A" w:rsidP="009524BA">
      <w:pPr>
        <w:spacing w:after="0"/>
        <w:contextualSpacing/>
        <w:rPr>
          <w:b/>
          <w:sz w:val="18"/>
          <w:szCs w:val="18"/>
        </w:rPr>
      </w:pPr>
      <w:r w:rsidRPr="00500A04">
        <w:rPr>
          <w:rStyle w:val="FootnoteReference"/>
          <w:sz w:val="18"/>
          <w:szCs w:val="18"/>
        </w:rPr>
        <w:footnoteRef/>
      </w:r>
      <w:r w:rsidRPr="00500A04">
        <w:rPr>
          <w:sz w:val="18"/>
          <w:szCs w:val="18"/>
        </w:rPr>
        <w:t xml:space="preserve"> Levin, J., et. al. (2015). Massachusetts Study of Teacher Supply and Demand: Trends and Projections. American Institutes for Research. </w:t>
      </w:r>
      <w:hyperlink r:id="rId1" w:history="1">
        <w:r w:rsidRPr="00500A04">
          <w:rPr>
            <w:rStyle w:val="Hyperlink"/>
            <w:sz w:val="18"/>
            <w:szCs w:val="18"/>
          </w:rPr>
          <w:t>http://www.air.org/sites/default/files/downloads/report/Massachusetts-Study-of-Teacher-Supply-and-Demand-December-2015_rev.pdf</w:t>
        </w:r>
      </w:hyperlink>
    </w:p>
  </w:footnote>
  <w:footnote w:id="4">
    <w:p w14:paraId="59763733" w14:textId="77777777" w:rsidR="00AB1C0A" w:rsidRPr="00B72A82" w:rsidRDefault="00AB1C0A" w:rsidP="009524BA">
      <w:pPr>
        <w:pStyle w:val="FootnoteText"/>
        <w:rPr>
          <w:lang w:val="es-ES"/>
        </w:rPr>
      </w:pPr>
      <w:r w:rsidRPr="00500A04">
        <w:rPr>
          <w:rStyle w:val="FootnoteReference"/>
          <w:sz w:val="18"/>
          <w:szCs w:val="18"/>
        </w:rPr>
        <w:footnoteRef/>
      </w:r>
      <w:r w:rsidRPr="00500A04">
        <w:rPr>
          <w:sz w:val="18"/>
          <w:szCs w:val="18"/>
        </w:rPr>
        <w:t xml:space="preserve"> Massachusetts Department of Elementary and Secondary Education (MA ESE). (2013). Status of the Massachusetts Educator Workforce: Focus on First-Year Teachers. </w:t>
      </w:r>
      <w:hyperlink r:id="rId2" w:history="1">
        <w:r w:rsidRPr="00B72A82">
          <w:rPr>
            <w:rStyle w:val="Hyperlink"/>
            <w:sz w:val="18"/>
            <w:szCs w:val="18"/>
            <w:lang w:val="es-ES"/>
          </w:rPr>
          <w:t>http://www.doe.mass.edu/research/reports/2013-12EducatorReport.docx</w:t>
        </w:r>
      </w:hyperlink>
    </w:p>
    <w:p w14:paraId="2730928B" w14:textId="77777777" w:rsidR="00AB1C0A" w:rsidRPr="004456C8" w:rsidRDefault="00AB1C0A" w:rsidP="009524BA">
      <w:pPr>
        <w:pStyle w:val="FootnoteText"/>
        <w:rPr>
          <w:sz w:val="18"/>
          <w:szCs w:val="18"/>
        </w:rPr>
      </w:pPr>
      <w:r w:rsidRPr="00B72A82">
        <w:rPr>
          <w:sz w:val="18"/>
          <w:szCs w:val="18"/>
          <w:vertAlign w:val="superscript"/>
          <w:lang w:val="es-ES"/>
        </w:rPr>
        <w:t>5</w:t>
      </w:r>
      <w:r w:rsidRPr="00B72A82">
        <w:rPr>
          <w:sz w:val="18"/>
          <w:szCs w:val="18"/>
          <w:lang w:val="es-ES"/>
        </w:rPr>
        <w:t xml:space="preserve">Goldhaber, D., et al. </w:t>
      </w:r>
      <w:r w:rsidRPr="004456C8">
        <w:rPr>
          <w:sz w:val="18"/>
          <w:szCs w:val="18"/>
        </w:rPr>
        <w:t xml:space="preserve">(2015) Refueling STEM and special education teacher pipelines: colleges and policy makers have access to solutions that could reduce the shortage of STEM and special education teachers. Phi Delta </w:t>
      </w:r>
      <w:proofErr w:type="spellStart"/>
      <w:r w:rsidRPr="004456C8">
        <w:rPr>
          <w:sz w:val="18"/>
          <w:szCs w:val="18"/>
        </w:rPr>
        <w:t>Kappan</w:t>
      </w:r>
      <w:proofErr w:type="spellEnd"/>
      <w:r w:rsidRPr="004456C8">
        <w:rPr>
          <w:sz w:val="18"/>
          <w:szCs w:val="18"/>
        </w:rPr>
        <w:t xml:space="preserve">. 97 </w:t>
      </w:r>
      <w:r w:rsidRPr="004456C8">
        <w:rPr>
          <w:i/>
          <w:sz w:val="18"/>
          <w:szCs w:val="18"/>
        </w:rPr>
        <w:t>(4)</w:t>
      </w:r>
      <w:r w:rsidRPr="004456C8">
        <w:rPr>
          <w:sz w:val="18"/>
          <w:szCs w:val="18"/>
        </w:rPr>
        <w:t>: 56-62.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234E2E"/>
    <w:multiLevelType w:val="hybridMultilevel"/>
    <w:tmpl w:val="42CAC0CE"/>
    <w:lvl w:ilvl="0" w:tplc="9264B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31EF"/>
    <w:rsid w:val="000520F2"/>
    <w:rsid w:val="000648C7"/>
    <w:rsid w:val="00067E2A"/>
    <w:rsid w:val="0009238B"/>
    <w:rsid w:val="000B0B9D"/>
    <w:rsid w:val="000C1367"/>
    <w:rsid w:val="000C6484"/>
    <w:rsid w:val="000D6DAC"/>
    <w:rsid w:val="00101648"/>
    <w:rsid w:val="00103326"/>
    <w:rsid w:val="001115BE"/>
    <w:rsid w:val="0014535F"/>
    <w:rsid w:val="00150543"/>
    <w:rsid w:val="00166228"/>
    <w:rsid w:val="00186FFE"/>
    <w:rsid w:val="00196AA6"/>
    <w:rsid w:val="001B2280"/>
    <w:rsid w:val="001B38CC"/>
    <w:rsid w:val="001C5744"/>
    <w:rsid w:val="001F776D"/>
    <w:rsid w:val="00252283"/>
    <w:rsid w:val="00285327"/>
    <w:rsid w:val="002A69C2"/>
    <w:rsid w:val="00321DE3"/>
    <w:rsid w:val="003242E1"/>
    <w:rsid w:val="00340B26"/>
    <w:rsid w:val="0035251D"/>
    <w:rsid w:val="003557E9"/>
    <w:rsid w:val="00362762"/>
    <w:rsid w:val="00367250"/>
    <w:rsid w:val="003777F3"/>
    <w:rsid w:val="003A3628"/>
    <w:rsid w:val="003C395A"/>
    <w:rsid w:val="003C5442"/>
    <w:rsid w:val="003F1357"/>
    <w:rsid w:val="004245F1"/>
    <w:rsid w:val="00433FDE"/>
    <w:rsid w:val="00435122"/>
    <w:rsid w:val="00441F54"/>
    <w:rsid w:val="004456C8"/>
    <w:rsid w:val="004538C1"/>
    <w:rsid w:val="004B6F29"/>
    <w:rsid w:val="004F064F"/>
    <w:rsid w:val="00500A04"/>
    <w:rsid w:val="005329D3"/>
    <w:rsid w:val="005627DE"/>
    <w:rsid w:val="00581D62"/>
    <w:rsid w:val="005B3257"/>
    <w:rsid w:val="005B36A5"/>
    <w:rsid w:val="005B4CFF"/>
    <w:rsid w:val="005F74FA"/>
    <w:rsid w:val="00657B57"/>
    <w:rsid w:val="006819F6"/>
    <w:rsid w:val="006A0CF1"/>
    <w:rsid w:val="006A476B"/>
    <w:rsid w:val="006C27A3"/>
    <w:rsid w:val="006C445D"/>
    <w:rsid w:val="006C4A44"/>
    <w:rsid w:val="0070379A"/>
    <w:rsid w:val="00706522"/>
    <w:rsid w:val="007108B4"/>
    <w:rsid w:val="007279C6"/>
    <w:rsid w:val="0075045B"/>
    <w:rsid w:val="00772FF4"/>
    <w:rsid w:val="00776B6C"/>
    <w:rsid w:val="007947F2"/>
    <w:rsid w:val="007A63D4"/>
    <w:rsid w:val="007E2B07"/>
    <w:rsid w:val="007E74C9"/>
    <w:rsid w:val="007F64C1"/>
    <w:rsid w:val="008116A9"/>
    <w:rsid w:val="00822EC7"/>
    <w:rsid w:val="00826F41"/>
    <w:rsid w:val="00855E5F"/>
    <w:rsid w:val="008B77F6"/>
    <w:rsid w:val="008E337A"/>
    <w:rsid w:val="009524BA"/>
    <w:rsid w:val="009717BA"/>
    <w:rsid w:val="0097597F"/>
    <w:rsid w:val="009F14E8"/>
    <w:rsid w:val="009F5787"/>
    <w:rsid w:val="00A13A1C"/>
    <w:rsid w:val="00A3442F"/>
    <w:rsid w:val="00A613B0"/>
    <w:rsid w:val="00A81992"/>
    <w:rsid w:val="00A83A08"/>
    <w:rsid w:val="00A8438A"/>
    <w:rsid w:val="00AB1C0A"/>
    <w:rsid w:val="00AB59B4"/>
    <w:rsid w:val="00AC18AB"/>
    <w:rsid w:val="00AD0C94"/>
    <w:rsid w:val="00AF44B0"/>
    <w:rsid w:val="00B422BE"/>
    <w:rsid w:val="00B467C3"/>
    <w:rsid w:val="00B478CA"/>
    <w:rsid w:val="00B72A82"/>
    <w:rsid w:val="00B80958"/>
    <w:rsid w:val="00BA2F28"/>
    <w:rsid w:val="00BC3F53"/>
    <w:rsid w:val="00BC47EB"/>
    <w:rsid w:val="00C36B9F"/>
    <w:rsid w:val="00C57E05"/>
    <w:rsid w:val="00C718F3"/>
    <w:rsid w:val="00C72C33"/>
    <w:rsid w:val="00C80500"/>
    <w:rsid w:val="00C86DAB"/>
    <w:rsid w:val="00C973B3"/>
    <w:rsid w:val="00CA0097"/>
    <w:rsid w:val="00CD1EAA"/>
    <w:rsid w:val="00D36B58"/>
    <w:rsid w:val="00D5080B"/>
    <w:rsid w:val="00D5212A"/>
    <w:rsid w:val="00DA297F"/>
    <w:rsid w:val="00DD05B7"/>
    <w:rsid w:val="00E07D62"/>
    <w:rsid w:val="00E31362"/>
    <w:rsid w:val="00E37AF0"/>
    <w:rsid w:val="00E47EFA"/>
    <w:rsid w:val="00EB158F"/>
    <w:rsid w:val="00EB4D26"/>
    <w:rsid w:val="00EB7DBE"/>
    <w:rsid w:val="00EC7FF4"/>
    <w:rsid w:val="00ED3184"/>
    <w:rsid w:val="00EF51E4"/>
    <w:rsid w:val="00F13C70"/>
    <w:rsid w:val="00F51C7A"/>
    <w:rsid w:val="00F623EB"/>
    <w:rsid w:val="00F700A4"/>
    <w:rsid w:val="00F83F0A"/>
    <w:rsid w:val="00F97495"/>
    <w:rsid w:val="00FF18CA"/>
    <w:rsid w:val="00FF31EF"/>
    <w:rsid w:val="00FF73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afcaeb,#76a4dc,#3d7fcf,#3174c5"/>
    </o:shapedefaults>
    <o:shapelayout v:ext="edit">
      <o:idmap v:ext="edit" data="1"/>
    </o:shapelayout>
  </w:shapeDefaults>
  <w:decimalSymbol w:val="."/>
  <w:listSeparator w:val=","/>
  <w14:docId w14:val="2D108F31"/>
  <w15:docId w15:val="{D4A75CAB-C237-41DC-BF34-4A3B9016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7EFA"/>
  </w:style>
  <w:style w:type="paragraph" w:styleId="Heading1">
    <w:name w:val="heading 1"/>
    <w:basedOn w:val="Normal"/>
    <w:next w:val="Normal"/>
    <w:link w:val="Heading1Char"/>
    <w:uiPriority w:val="9"/>
    <w:qFormat/>
    <w:rsid w:val="00A344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44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122"/>
    <w:rPr>
      <w:rFonts w:ascii="Tahoma" w:hAnsi="Tahoma" w:cs="Tahoma"/>
      <w:sz w:val="16"/>
      <w:szCs w:val="16"/>
    </w:rPr>
  </w:style>
  <w:style w:type="paragraph" w:styleId="ListParagraph">
    <w:name w:val="List Paragraph"/>
    <w:basedOn w:val="Normal"/>
    <w:uiPriority w:val="34"/>
    <w:qFormat/>
    <w:rsid w:val="00435122"/>
    <w:pPr>
      <w:ind w:left="720"/>
      <w:contextualSpacing/>
    </w:pPr>
  </w:style>
  <w:style w:type="character" w:styleId="Hyperlink">
    <w:name w:val="Hyperlink"/>
    <w:basedOn w:val="DefaultParagraphFont"/>
    <w:uiPriority w:val="99"/>
    <w:unhideWhenUsed/>
    <w:rsid w:val="00435122"/>
    <w:rPr>
      <w:color w:val="0000FF" w:themeColor="hyperlink"/>
      <w:u w:val="single"/>
    </w:rPr>
  </w:style>
  <w:style w:type="character" w:styleId="CommentReference">
    <w:name w:val="annotation reference"/>
    <w:basedOn w:val="DefaultParagraphFont"/>
    <w:uiPriority w:val="99"/>
    <w:semiHidden/>
    <w:unhideWhenUsed/>
    <w:rsid w:val="005B3257"/>
    <w:rPr>
      <w:sz w:val="16"/>
      <w:szCs w:val="16"/>
    </w:rPr>
  </w:style>
  <w:style w:type="paragraph" w:styleId="CommentText">
    <w:name w:val="annotation text"/>
    <w:basedOn w:val="Normal"/>
    <w:link w:val="CommentTextChar"/>
    <w:uiPriority w:val="99"/>
    <w:semiHidden/>
    <w:unhideWhenUsed/>
    <w:rsid w:val="005B3257"/>
    <w:pPr>
      <w:spacing w:line="240" w:lineRule="auto"/>
    </w:pPr>
    <w:rPr>
      <w:sz w:val="20"/>
      <w:szCs w:val="20"/>
    </w:rPr>
  </w:style>
  <w:style w:type="character" w:customStyle="1" w:styleId="CommentTextChar">
    <w:name w:val="Comment Text Char"/>
    <w:basedOn w:val="DefaultParagraphFont"/>
    <w:link w:val="CommentText"/>
    <w:uiPriority w:val="99"/>
    <w:semiHidden/>
    <w:rsid w:val="005B3257"/>
    <w:rPr>
      <w:sz w:val="20"/>
      <w:szCs w:val="20"/>
    </w:rPr>
  </w:style>
  <w:style w:type="paragraph" w:styleId="CommentSubject">
    <w:name w:val="annotation subject"/>
    <w:basedOn w:val="CommentText"/>
    <w:next w:val="CommentText"/>
    <w:link w:val="CommentSubjectChar"/>
    <w:uiPriority w:val="99"/>
    <w:semiHidden/>
    <w:unhideWhenUsed/>
    <w:rsid w:val="005B3257"/>
    <w:rPr>
      <w:b/>
      <w:bCs/>
    </w:rPr>
  </w:style>
  <w:style w:type="character" w:customStyle="1" w:styleId="CommentSubjectChar">
    <w:name w:val="Comment Subject Char"/>
    <w:basedOn w:val="CommentTextChar"/>
    <w:link w:val="CommentSubject"/>
    <w:uiPriority w:val="99"/>
    <w:semiHidden/>
    <w:rsid w:val="005B3257"/>
    <w:rPr>
      <w:b/>
      <w:bCs/>
      <w:sz w:val="20"/>
      <w:szCs w:val="20"/>
    </w:rPr>
  </w:style>
  <w:style w:type="paragraph" w:styleId="FootnoteText">
    <w:name w:val="footnote text"/>
    <w:basedOn w:val="Normal"/>
    <w:link w:val="FootnoteTextChar"/>
    <w:uiPriority w:val="99"/>
    <w:semiHidden/>
    <w:unhideWhenUsed/>
    <w:rsid w:val="00CA00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097"/>
    <w:rPr>
      <w:sz w:val="20"/>
      <w:szCs w:val="20"/>
    </w:rPr>
  </w:style>
  <w:style w:type="character" w:styleId="FootnoteReference">
    <w:name w:val="footnote reference"/>
    <w:basedOn w:val="DefaultParagraphFont"/>
    <w:uiPriority w:val="99"/>
    <w:semiHidden/>
    <w:unhideWhenUsed/>
    <w:rsid w:val="00CA0097"/>
    <w:rPr>
      <w:vertAlign w:val="superscript"/>
    </w:rPr>
  </w:style>
  <w:style w:type="character" w:customStyle="1" w:styleId="Heading2Char">
    <w:name w:val="Heading 2 Char"/>
    <w:basedOn w:val="DefaultParagraphFont"/>
    <w:link w:val="Heading2"/>
    <w:uiPriority w:val="9"/>
    <w:rsid w:val="00A3442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3442F"/>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7947F2"/>
    <w:rPr>
      <w:color w:val="800080" w:themeColor="followedHyperlink"/>
      <w:u w:val="single"/>
    </w:rPr>
  </w:style>
  <w:style w:type="paragraph" w:styleId="Revision">
    <w:name w:val="Revision"/>
    <w:hidden/>
    <w:uiPriority w:val="99"/>
    <w:semiHidden/>
    <w:rsid w:val="00B72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746329">
      <w:bodyDiv w:val="1"/>
      <w:marLeft w:val="0"/>
      <w:marRight w:val="0"/>
      <w:marTop w:val="0"/>
      <w:marBottom w:val="0"/>
      <w:divBdr>
        <w:top w:val="none" w:sz="0" w:space="0" w:color="auto"/>
        <w:left w:val="none" w:sz="0" w:space="0" w:color="auto"/>
        <w:bottom w:val="none" w:sz="0" w:space="0" w:color="auto"/>
        <w:right w:val="none" w:sz="0" w:space="0" w:color="auto"/>
      </w:divBdr>
    </w:div>
    <w:div w:id="635259423">
      <w:bodyDiv w:val="1"/>
      <w:marLeft w:val="0"/>
      <w:marRight w:val="0"/>
      <w:marTop w:val="0"/>
      <w:marBottom w:val="0"/>
      <w:divBdr>
        <w:top w:val="none" w:sz="0" w:space="0" w:color="auto"/>
        <w:left w:val="none" w:sz="0" w:space="0" w:color="auto"/>
        <w:bottom w:val="none" w:sz="0" w:space="0" w:color="auto"/>
        <w:right w:val="none" w:sz="0" w:space="0" w:color="auto"/>
      </w:divBdr>
    </w:div>
    <w:div w:id="1010334823">
      <w:bodyDiv w:val="1"/>
      <w:marLeft w:val="0"/>
      <w:marRight w:val="0"/>
      <w:marTop w:val="0"/>
      <w:marBottom w:val="0"/>
      <w:divBdr>
        <w:top w:val="none" w:sz="0" w:space="0" w:color="auto"/>
        <w:left w:val="none" w:sz="0" w:space="0" w:color="auto"/>
        <w:bottom w:val="none" w:sz="0" w:space="0" w:color="auto"/>
        <w:right w:val="none" w:sz="0" w:space="0" w:color="auto"/>
      </w:divBdr>
    </w:div>
    <w:div w:id="1288976412">
      <w:bodyDiv w:val="1"/>
      <w:marLeft w:val="0"/>
      <w:marRight w:val="0"/>
      <w:marTop w:val="0"/>
      <w:marBottom w:val="0"/>
      <w:divBdr>
        <w:top w:val="none" w:sz="0" w:space="0" w:color="auto"/>
        <w:left w:val="none" w:sz="0" w:space="0" w:color="auto"/>
        <w:bottom w:val="none" w:sz="0" w:space="0" w:color="auto"/>
        <w:right w:val="none" w:sz="0" w:space="0" w:color="auto"/>
      </w:divBdr>
    </w:div>
    <w:div w:id="1391080666">
      <w:bodyDiv w:val="1"/>
      <w:marLeft w:val="0"/>
      <w:marRight w:val="0"/>
      <w:marTop w:val="0"/>
      <w:marBottom w:val="0"/>
      <w:divBdr>
        <w:top w:val="none" w:sz="0" w:space="0" w:color="auto"/>
        <w:left w:val="none" w:sz="0" w:space="0" w:color="auto"/>
        <w:bottom w:val="none" w:sz="0" w:space="0" w:color="auto"/>
        <w:right w:val="none" w:sz="0" w:space="0" w:color="auto"/>
      </w:divBdr>
    </w:div>
    <w:div w:id="1508331315">
      <w:bodyDiv w:val="1"/>
      <w:marLeft w:val="0"/>
      <w:marRight w:val="0"/>
      <w:marTop w:val="0"/>
      <w:marBottom w:val="0"/>
      <w:divBdr>
        <w:top w:val="none" w:sz="0" w:space="0" w:color="auto"/>
        <w:left w:val="none" w:sz="0" w:space="0" w:color="auto"/>
        <w:bottom w:val="none" w:sz="0" w:space="0" w:color="auto"/>
        <w:right w:val="none" w:sz="0" w:space="0" w:color="auto"/>
      </w:divBdr>
    </w:div>
    <w:div w:id="1680428215">
      <w:bodyDiv w:val="1"/>
      <w:marLeft w:val="0"/>
      <w:marRight w:val="0"/>
      <w:marTop w:val="0"/>
      <w:marBottom w:val="0"/>
      <w:divBdr>
        <w:top w:val="none" w:sz="0" w:space="0" w:color="auto"/>
        <w:left w:val="none" w:sz="0" w:space="0" w:color="auto"/>
        <w:bottom w:val="none" w:sz="0" w:space="0" w:color="auto"/>
        <w:right w:val="none" w:sz="0" w:space="0" w:color="auto"/>
      </w:divBdr>
    </w:div>
    <w:div w:id="18087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oe.mass.edu/edeffectiveness/mentor/report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tholyoke.edu/media/mhc-holyoke-partner-teacher-train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ml.edu/Academics/undergraduate-programs/UTeach/"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anloan.endicott.edu/programs-of-study/masters-programs/educator-preparation-program/teaching-fellows-progr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oe.mass.edu/research/reports/2013-12EducatorReport.docx" TargetMode="External"/><Relationship Id="rId1" Type="http://schemas.openxmlformats.org/officeDocument/2006/relationships/hyperlink" Target="http://www.air.org/sites/default/files/downloads/report/Massachusetts-Study-of-Teacher-Supply-and-Demand-December-2015_r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DESE-231-37117</_dlc_DocId>
    <_dlc_DocIdUrl xmlns="733efe1c-5bbe-4968-87dc-d400e65c879f">
      <Url>https://sharepoint.doemass.org/ese/webteam/cps/_layouts/DocIdRedir.aspx?ID=DESE-231-37117</Url>
      <Description>DESE-231-37117</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6C2BF-732F-43F1-A7E7-B07285D17305}">
  <ds:schemaRefs>
    <ds:schemaRef ds:uri="http://schemas.microsoft.com/sharepoint/events"/>
  </ds:schemaRefs>
</ds:datastoreItem>
</file>

<file path=customXml/itemProps2.xml><?xml version="1.0" encoding="utf-8"?>
<ds:datastoreItem xmlns:ds="http://schemas.openxmlformats.org/officeDocument/2006/customXml" ds:itemID="{468BD055-5518-4A08-9497-E465AC356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F68D8-4954-454E-8D3E-A387FD15142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7594C518-5948-4A88-BE6E-BD58A403EF08}">
  <ds:schemaRefs>
    <ds:schemaRef ds:uri="http://schemas.microsoft.com/sharepoint/v3/contenttype/forms"/>
  </ds:schemaRefs>
</ds:datastoreItem>
</file>

<file path=customXml/itemProps5.xml><?xml version="1.0" encoding="utf-8"?>
<ds:datastoreItem xmlns:ds="http://schemas.openxmlformats.org/officeDocument/2006/customXml" ds:itemID="{56C9DCFC-3EFA-46FA-88EC-978865DC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Recruitment and retention of hard-to-staff roles</vt:lpstr>
    </vt:vector>
  </TitlesOfParts>
  <Company>Microsoft</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retention of hard-to-staff roles</dc:title>
  <dc:creator>ESE</dc:creator>
  <cp:lastModifiedBy>Zou, Dong (EOE)</cp:lastModifiedBy>
  <cp:revision>7</cp:revision>
  <cp:lastPrinted>2017-09-13T17:33:00Z</cp:lastPrinted>
  <dcterms:created xsi:type="dcterms:W3CDTF">2017-09-26T18:48:00Z</dcterms:created>
  <dcterms:modified xsi:type="dcterms:W3CDTF">2020-06-09T21:05:00Z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be63e409-0dd5-4ac9-923a-23fd5d8c16b4</vt:lpwstr>
  </property>
</Properties>
</file>