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7EFA" w:rsidRPr="004E3160" w:rsidRDefault="002F3135" w:rsidP="004E3160">
      <w:pPr>
        <w:spacing w:after="0" w:line="240" w:lineRule="auto"/>
        <w:contextualSpacing/>
        <w:jc w:val="center"/>
        <w:rPr>
          <w:b/>
          <w:color w:val="1F497D" w:themeColor="text2"/>
          <w:sz w:val="36"/>
          <w:szCs w:val="36"/>
        </w:rPr>
      </w:pPr>
      <w:r>
        <w:rPr>
          <w:b/>
          <w:color w:val="1F497D" w:themeColor="text2"/>
          <w:sz w:val="36"/>
          <w:szCs w:val="36"/>
        </w:rPr>
        <w:t>Supporting N</w:t>
      </w:r>
      <w:r w:rsidR="004E3160" w:rsidRPr="004E3160">
        <w:rPr>
          <w:b/>
          <w:color w:val="1F497D" w:themeColor="text2"/>
          <w:sz w:val="36"/>
          <w:szCs w:val="36"/>
        </w:rPr>
        <w:t>ew Specialized Instructional Support Personnel</w:t>
      </w:r>
      <w:r w:rsidR="00FD1BBA" w:rsidRPr="00FD1BBA">
        <w:rPr>
          <w:b/>
          <w:color w:val="1F497D" w:themeColor="text2"/>
          <w:sz w:val="36"/>
          <w:szCs w:val="36"/>
        </w:rPr>
        <w:t xml:space="preserve"> </w:t>
      </w:r>
    </w:p>
    <w:p w:rsidR="00743676" w:rsidRDefault="00EA345C" w:rsidP="00196C1E">
      <w:pPr>
        <w:spacing w:after="0" w:line="240" w:lineRule="auto"/>
        <w:contextualSpacing/>
        <w:rPr>
          <w:i/>
        </w:rPr>
      </w:pPr>
      <w:r>
        <w:rPr>
          <w:i/>
          <w:noProof/>
        </w:rPr>
        <w:pict w14:anchorId="67C94EE4">
          <v:shapetype id="_x0000_t202" coordsize="21600,21600" o:spt="202" path="m,l,21600r21600,l21600,xe">
            <v:stroke joinstyle="miter"/>
            <v:path gradientshapeok="t" o:connecttype="rect"/>
          </v:shapetype>
          <v:shape id="Text Box 2" o:spid="_x0000_s1026" type="#_x0000_t202" style="position:absolute;margin-left:283.5pt;margin-top:11.5pt;width:173.75pt;height:131.55pt;z-index:-251656192;visibility:visible;mso-width-relative:margin;mso-height-relative:margin" wrapcoords="-93 -123 -93 21477 21693 21477 21693 -123 -93 -123">
            <v:stroke dashstyle="dash"/>
            <v:textbox style="mso-next-textbox:#Text Box 2">
              <w:txbxContent>
                <w:p w:rsidR="001051AC" w:rsidRPr="00743676" w:rsidRDefault="001051AC">
                  <w:pPr>
                    <w:rPr>
                      <w:color w:val="4F81BD" w:themeColor="accent1"/>
                    </w:rPr>
                  </w:pPr>
                  <w:r w:rsidRPr="00743676">
                    <w:rPr>
                      <w:b/>
                      <w:color w:val="4F81BD" w:themeColor="accent1"/>
                    </w:rPr>
                    <w:t xml:space="preserve">Specialized Instructional Support Personnel (SISPs) </w:t>
                  </w:r>
                  <w:r w:rsidRPr="00743676">
                    <w:rPr>
                      <w:color w:val="4F81BD" w:themeColor="accent1"/>
                    </w:rPr>
                    <w:t xml:space="preserve">include </w:t>
                  </w:r>
                  <w:r>
                    <w:rPr>
                      <w:color w:val="4F81BD" w:themeColor="accent1"/>
                    </w:rPr>
                    <w:t xml:space="preserve">school counselors, social workers, psychologists, and nurses, among other qualified professional personnel providing “necessary services.” </w:t>
                  </w:r>
                  <w:r w:rsidRPr="001D6E34">
                    <w:rPr>
                      <w:i/>
                      <w:color w:val="4F81BD" w:themeColor="accent1"/>
                    </w:rPr>
                    <w:t>– Every Student Succeeds Act (Sec. 8002, 47 (A)).</w:t>
                  </w:r>
                </w:p>
              </w:txbxContent>
            </v:textbox>
            <w10:wrap type="tight"/>
          </v:shape>
        </w:pict>
      </w:r>
    </w:p>
    <w:p w:rsidR="00743676" w:rsidRPr="00C15151" w:rsidRDefault="00743676" w:rsidP="00196C1E">
      <w:pPr>
        <w:spacing w:after="0" w:line="240" w:lineRule="auto"/>
        <w:contextualSpacing/>
      </w:pPr>
      <w:r>
        <w:t xml:space="preserve">The </w:t>
      </w:r>
      <w:hyperlink r:id="rId12" w:history="1">
        <w:r w:rsidRPr="00177A01">
          <w:rPr>
            <w:rStyle w:val="Hyperlink"/>
          </w:rPr>
          <w:t xml:space="preserve">2017 Statewide Induction and Mentoring </w:t>
        </w:r>
        <w:r w:rsidR="00DC3EFF" w:rsidRPr="00177A01">
          <w:rPr>
            <w:rStyle w:val="Hyperlink"/>
          </w:rPr>
          <w:t>Report</w:t>
        </w:r>
      </w:hyperlink>
      <w:bookmarkStart w:id="0" w:name="_GoBack"/>
      <w:bookmarkEnd w:id="0"/>
      <w:r>
        <w:t xml:space="preserve"> </w:t>
      </w:r>
      <w:r w:rsidR="00DC3EFF">
        <w:t xml:space="preserve">found that most districts provide induction and mentoring to SISPs, but on average these supports are not as extensive or formalized for SISPs as they are for teachers. </w:t>
      </w:r>
      <w:r w:rsidR="00C15151">
        <w:t xml:space="preserve">While districts are not required to provide mentors to SISPs, doing so can enhance a school team’s effectiveness. </w:t>
      </w:r>
    </w:p>
    <w:p w:rsidR="00743676" w:rsidRDefault="00743676" w:rsidP="00196C1E">
      <w:pPr>
        <w:spacing w:after="0" w:line="240" w:lineRule="auto"/>
        <w:contextualSpacing/>
        <w:rPr>
          <w:i/>
        </w:rPr>
      </w:pPr>
    </w:p>
    <w:p w:rsidR="00DC3EFF" w:rsidRDefault="00EA345C" w:rsidP="006318EC">
      <w:pPr>
        <w:spacing w:after="0" w:line="240" w:lineRule="auto"/>
        <w:contextualSpacing/>
      </w:pPr>
      <w:r>
        <w:rPr>
          <w:noProof/>
        </w:rPr>
        <w:pict w14:anchorId="372CA061">
          <v:roundrect id="AutoShape 7" o:spid="_x0000_s1027" style="position:absolute;margin-left:-2.9pt;margin-top:97.5pt;width:468.8pt;height:24.8pt;z-index:-251633664;visibility:visible;mso-width-relative:margin;mso-height-relative:margin" arcsize="10923f" wrapcoords="35 -1309 -69 655 -69 20945 69 24218 138 24218 21531 24218 21600 24218 21738 20945 21738 5236 21669 1964 21531 -1309 35 -1309"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" fillcolor="#4f81bd [3204]" strokecolor="#f2f2f2 [3041]" strokeweight="3pt">
            <v:shadow on="t" color="#243f60 [1604]" opacity=".5" offset="1pt"/>
            <v:textbox style="mso-next-textbox:#AutoShape 7">
              <w:txbxContent>
                <w:p w:rsidR="001051AC" w:rsidRPr="00A46D18" w:rsidRDefault="001051AC" w:rsidP="00881F5C">
                  <w:pPr>
                    <w:rPr>
                      <w:color w:val="FFFFFF" w:themeColor="background1"/>
                    </w:rPr>
                  </w:pPr>
                  <w:r>
                    <w:rPr>
                      <w:b/>
                      <w:color w:val="FFFFFF" w:themeColor="background1"/>
                    </w:rPr>
                    <w:t>Understand SISPs’ diverse roles and backgrounds; set clear expectations</w:t>
                  </w:r>
                </w:p>
              </w:txbxContent>
            </v:textbox>
            <w10:wrap type="tight"/>
          </v:roundrect>
        </w:pict>
      </w:r>
      <w:r w:rsidR="00435E97">
        <w:t xml:space="preserve">In the 2016 and 2017 </w:t>
      </w:r>
      <w:r w:rsidR="003D4BD2">
        <w:t xml:space="preserve">Induction and Mentoring </w:t>
      </w:r>
      <w:r w:rsidR="00DC3EFF">
        <w:t>Reports</w:t>
      </w:r>
      <w:r w:rsidR="00435E97">
        <w:t>, districts reported that they aim</w:t>
      </w:r>
      <w:r w:rsidR="003D4BD2">
        <w:t>ed</w:t>
      </w:r>
      <w:r w:rsidR="00435E97">
        <w:t xml:space="preserve"> to institute or improve induction for new </w:t>
      </w:r>
      <w:r w:rsidR="00C8302A">
        <w:t>Specialized Instructional Support Personnel (</w:t>
      </w:r>
      <w:r w:rsidR="00435E97">
        <w:t>SISPs</w:t>
      </w:r>
      <w:r w:rsidR="00C8302A">
        <w:t>)</w:t>
      </w:r>
      <w:r w:rsidR="00435E97">
        <w:t xml:space="preserve">. </w:t>
      </w:r>
      <w:r w:rsidR="009867D8">
        <w:t>The following</w:t>
      </w:r>
      <w:r w:rsidR="003D4BD2">
        <w:t xml:space="preserve"> guidance </w:t>
      </w:r>
      <w:r w:rsidR="009867D8">
        <w:t xml:space="preserve">describes topics and steps that leaders should prioritize when planning </w:t>
      </w:r>
      <w:r w:rsidR="00C8302A">
        <w:t>supports for</w:t>
      </w:r>
      <w:r w:rsidR="009867D8">
        <w:t xml:space="preserve"> new SISPs</w:t>
      </w:r>
      <w:r w:rsidR="00686885">
        <w:t xml:space="preserve">. The guidance was developed through a review of the Induction and Mentoring Survey responses and through interviews with </w:t>
      </w:r>
      <w:r w:rsidR="009867D8">
        <w:t>professional organizations</w:t>
      </w:r>
      <w:r w:rsidR="003D4BD2">
        <w:t xml:space="preserve"> representing SISPs in Massachusetts</w:t>
      </w:r>
      <w:r w:rsidR="009867D8">
        <w:t>.</w:t>
      </w:r>
      <w:r w:rsidR="009867D8">
        <w:rPr>
          <w:rStyle w:val="FootnoteReference"/>
        </w:rPr>
        <w:footnoteReference w:id="1"/>
      </w:r>
    </w:p>
    <w:p w:rsidR="00780725" w:rsidRDefault="00AB6C11" w:rsidP="006318EC">
      <w:pPr>
        <w:spacing w:after="0" w:line="240" w:lineRule="auto"/>
        <w:contextualSpacing/>
      </w:pPr>
      <w:r>
        <w:t xml:space="preserve">SISPs with the same job title </w:t>
      </w:r>
      <w:r w:rsidR="007D6AB1">
        <w:t xml:space="preserve">often </w:t>
      </w:r>
      <w:r w:rsidR="00881F5C">
        <w:t>fill a range</w:t>
      </w:r>
      <w:r>
        <w:t xml:space="preserve"> </w:t>
      </w:r>
      <w:r w:rsidR="003D4BD2">
        <w:t xml:space="preserve">of </w:t>
      </w:r>
      <w:r>
        <w:t>roles. For example, one school psychologist may</w:t>
      </w:r>
      <w:r w:rsidR="00881F5C">
        <w:t xml:space="preserve"> serve as a </w:t>
      </w:r>
      <w:r w:rsidR="003D4BD2">
        <w:t xml:space="preserve">special education </w:t>
      </w:r>
      <w:r w:rsidR="00881F5C">
        <w:t xml:space="preserve">team chair, </w:t>
      </w:r>
      <w:r>
        <w:t xml:space="preserve">while another </w:t>
      </w:r>
      <w:r w:rsidR="00881F5C">
        <w:t>focuses</w:t>
      </w:r>
      <w:r>
        <w:t xml:space="preserve"> primarily on psychological assessment. </w:t>
      </w:r>
      <w:r w:rsidR="00780725">
        <w:t>Thus, clear job descriptions for SISPs are essential.</w:t>
      </w:r>
      <w:r w:rsidR="00780725">
        <w:br/>
      </w:r>
    </w:p>
    <w:p w:rsidR="0019146C" w:rsidRDefault="00780725" w:rsidP="0019146C">
      <w:pPr>
        <w:spacing w:after="0" w:line="240" w:lineRule="auto"/>
        <w:contextualSpacing/>
      </w:pPr>
      <w:r>
        <w:t xml:space="preserve"> </w:t>
      </w:r>
      <w:r w:rsidR="004A2AF5">
        <w:rPr>
          <w:noProof/>
          <w:lang w:eastAsia="zh-CN"/>
        </w:rPr>
        <w:drawing>
          <wp:anchor distT="0" distB="0" distL="114300" distR="114300" simplePos="0" relativeHeight="251665408" behindDoc="1" locked="0" layoutInCell="1" allowOverlap="1">
            <wp:simplePos x="0" y="0"/>
            <wp:positionH relativeFrom="column">
              <wp:posOffset>1990725</wp:posOffset>
            </wp:positionH>
            <wp:positionV relativeFrom="paragraph">
              <wp:posOffset>48895</wp:posOffset>
            </wp:positionV>
            <wp:extent cx="1863090" cy="1176655"/>
            <wp:effectExtent l="19050" t="0" r="3810" b="0"/>
            <wp:wrapNone/>
            <wp:docPr id="4" name="Picture 4" descr="Graduation c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duotone>
                        <a:schemeClr val="accent1">
                          <a:shade val="45000"/>
                          <a:satMod val="135000"/>
                        </a:schemeClr>
                        <a:prstClr val="white"/>
                      </a:duotone>
                      <a:lum bright="71000" contrast="2000"/>
                    </a:blip>
                    <a:srcRect/>
                    <a:stretch>
                      <a:fillRect/>
                    </a:stretch>
                  </pic:blipFill>
                  <pic:spPr bwMode="auto">
                    <a:xfrm>
                      <a:off x="0" y="0"/>
                      <a:ext cx="1863090" cy="1176655"/>
                    </a:xfrm>
                    <a:prstGeom prst="rect">
                      <a:avLst/>
                    </a:prstGeom>
                    <a:noFill/>
                    <a:ln w="9525">
                      <a:noFill/>
                      <a:miter lim="800000"/>
                      <a:headEnd/>
                      <a:tailEnd/>
                    </a:ln>
                  </pic:spPr>
                </pic:pic>
              </a:graphicData>
            </a:graphic>
          </wp:anchor>
        </w:drawing>
      </w:r>
      <w:r w:rsidR="004A2AF5">
        <w:rPr>
          <w:noProof/>
          <w:lang w:eastAsia="zh-CN"/>
        </w:rPr>
        <w:drawing>
          <wp:anchor distT="0" distB="0" distL="114300" distR="114300" simplePos="0" relativeHeight="251669504" behindDoc="1" locked="0" layoutInCell="1" allowOverlap="1">
            <wp:simplePos x="0" y="0"/>
            <wp:positionH relativeFrom="column">
              <wp:posOffset>126365</wp:posOffset>
            </wp:positionH>
            <wp:positionV relativeFrom="paragraph">
              <wp:posOffset>60960</wp:posOffset>
            </wp:positionV>
            <wp:extent cx="1987550" cy="1258570"/>
            <wp:effectExtent l="190500" t="457200" r="165100" b="436880"/>
            <wp:wrapNone/>
            <wp:docPr id="6" name="Picture 4" descr="Graduation c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duotone>
                        <a:schemeClr val="accent4">
                          <a:shade val="45000"/>
                          <a:satMod val="135000"/>
                        </a:schemeClr>
                        <a:prstClr val="white"/>
                      </a:duotone>
                      <a:lum bright="63000"/>
                    </a:blip>
                    <a:stretch>
                      <a:fillRect/>
                    </a:stretch>
                  </pic:blipFill>
                  <pic:spPr bwMode="auto">
                    <a:xfrm rot="19560560">
                      <a:off x="0" y="0"/>
                      <a:ext cx="1987550" cy="1258570"/>
                    </a:xfrm>
                    <a:prstGeom prst="rect">
                      <a:avLst/>
                    </a:prstGeom>
                    <a:noFill/>
                    <a:ln>
                      <a:noFill/>
                    </a:ln>
                  </pic:spPr>
                </pic:pic>
              </a:graphicData>
            </a:graphic>
          </wp:anchor>
        </w:drawing>
      </w:r>
      <w:r w:rsidR="004A2AF5">
        <w:rPr>
          <w:noProof/>
          <w:lang w:eastAsia="zh-CN"/>
        </w:rPr>
        <w:drawing>
          <wp:anchor distT="0" distB="0" distL="114300" distR="114300" simplePos="0" relativeHeight="251684864" behindDoc="1" locked="0" layoutInCell="1" allowOverlap="1">
            <wp:simplePos x="0" y="0"/>
            <wp:positionH relativeFrom="column">
              <wp:posOffset>3829050</wp:posOffset>
            </wp:positionH>
            <wp:positionV relativeFrom="paragraph">
              <wp:posOffset>56515</wp:posOffset>
            </wp:positionV>
            <wp:extent cx="1930400" cy="1216660"/>
            <wp:effectExtent l="171450" t="285750" r="146050" b="269240"/>
            <wp:wrapNone/>
            <wp:docPr id="12" name="Picture 4" descr="Graduation c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alphaModFix/>
                      <a:duotone>
                        <a:schemeClr val="accent5">
                          <a:shade val="45000"/>
                          <a:satMod val="135000"/>
                        </a:schemeClr>
                        <a:prstClr val="white"/>
                      </a:duotone>
                      <a:lum bright="46000" contrast="-2000"/>
                      <a:extLst>
                        <a:ext uri="{BEBA8EAE-BF5A-486C-A8C5-ECC9F3942E4B}">
                          <a14:imgProps xmlns:a14="http://schemas.microsoft.com/office/drawing/2010/main">
                            <a14:imgLayer r:embed="rId15">
                              <a14:imgEffect>
                                <a14:colorTemperature colorTemp="1500"/>
                              </a14:imgEffect>
                              <a14:imgEffect>
                                <a14:saturation sat="165000"/>
                              </a14:imgEffect>
                            </a14:imgLayer>
                          </a14:imgProps>
                        </a:ext>
                      </a:extLst>
                    </a:blip>
                    <a:srcRect/>
                    <a:stretch>
                      <a:fillRect/>
                    </a:stretch>
                  </pic:blipFill>
                  <pic:spPr bwMode="auto">
                    <a:xfrm rot="1155860">
                      <a:off x="0" y="0"/>
                      <a:ext cx="1930400" cy="1216660"/>
                    </a:xfrm>
                    <a:prstGeom prst="rect">
                      <a:avLst/>
                    </a:prstGeom>
                    <a:noFill/>
                    <a:ln w="9525">
                      <a:noFill/>
                      <a:miter lim="800000"/>
                      <a:headEnd/>
                      <a:tailEnd/>
                    </a:ln>
                  </pic:spPr>
                </pic:pic>
              </a:graphicData>
            </a:graphic>
          </wp:anchor>
        </w:drawing>
      </w:r>
      <w:r w:rsidR="008A396D">
        <w:t xml:space="preserve">SISPs </w:t>
      </w:r>
      <w:r>
        <w:t xml:space="preserve">also </w:t>
      </w:r>
      <w:r w:rsidR="008A396D">
        <w:t xml:space="preserve">come from a variety of </w:t>
      </w:r>
      <w:r w:rsidR="007B1179">
        <w:t>preparation</w:t>
      </w:r>
      <w:r w:rsidR="008A396D">
        <w:t xml:space="preserve"> and prior experiences</w:t>
      </w:r>
      <w:r w:rsidR="0019146C">
        <w:t xml:space="preserve">. </w:t>
      </w:r>
      <w:r w:rsidR="007B1179">
        <w:t>For example, school social workers may have different training backgrounds</w:t>
      </w:r>
      <w:r w:rsidR="00D01CCB">
        <w:t xml:space="preserve">, such as Master’s in Social Work or Licensed Mental Health Counselors. </w:t>
      </w:r>
      <w:r w:rsidR="0019146C">
        <w:t xml:space="preserve">The school system where SISPs previously worked or interned may have functioned very differently. </w:t>
      </w:r>
      <w:r w:rsidR="007948BD">
        <w:t>Therefore, new</w:t>
      </w:r>
      <w:r w:rsidR="0019146C">
        <w:t xml:space="preserve"> SISPs can contribute new ideas, but also need a clear introduction to the school system.</w:t>
      </w:r>
      <w:r>
        <w:t xml:space="preserve"> Be prepared to adapt induction supports based on the function a SISP will play in the district, and on whether it aligns with the SISP’s prior professional roles.</w:t>
      </w:r>
    </w:p>
    <w:p w:rsidR="0019146C" w:rsidRDefault="0019146C" w:rsidP="0019146C">
      <w:pPr>
        <w:spacing w:after="0" w:line="240" w:lineRule="auto"/>
        <w:contextualSpacing/>
      </w:pPr>
    </w:p>
    <w:p w:rsidR="0019146C" w:rsidRDefault="0019146C" w:rsidP="006318EC">
      <w:pPr>
        <w:spacing w:after="0" w:line="240" w:lineRule="auto"/>
        <w:contextualSpacing/>
      </w:pPr>
      <w:r>
        <w:t>Other SISPs come from work in non-school settings, such as school nurses, who bring experience from diverse healthcare settings. In this situation, SISPs may be accustomed to working alongside</w:t>
      </w:r>
      <w:r w:rsidR="00327B25">
        <w:t xml:space="preserve"> role-alike</w:t>
      </w:r>
      <w:r>
        <w:t xml:space="preserve"> colleagues, and being the only person in the building with a given role can be an isolating experience. Leaders should </w:t>
      </w:r>
      <w:r w:rsidR="00B7637B">
        <w:t>orient</w:t>
      </w:r>
      <w:r>
        <w:t xml:space="preserve"> SISPs to working in a school and </w:t>
      </w:r>
      <w:r w:rsidR="00B7637B">
        <w:t>integrate them</w:t>
      </w:r>
      <w:r>
        <w:t xml:space="preserve"> into school-wide work.</w:t>
      </w:r>
    </w:p>
    <w:p w:rsidR="006318EC" w:rsidRDefault="006318EC" w:rsidP="006318EC">
      <w:pPr>
        <w:spacing w:after="0" w:line="240" w:lineRule="auto"/>
        <w:contextualSpacing/>
      </w:pPr>
    </w:p>
    <w:p w:rsidR="0071627D" w:rsidRDefault="00AB6C11" w:rsidP="006318EC">
      <w:pPr>
        <w:spacing w:after="0" w:line="240" w:lineRule="auto"/>
        <w:contextualSpacing/>
      </w:pPr>
      <w:r>
        <w:t>Due to the variability of functions</w:t>
      </w:r>
      <w:r w:rsidR="008A396D">
        <w:t xml:space="preserve"> and prior experiences</w:t>
      </w:r>
      <w:r>
        <w:t xml:space="preserve">, schools </w:t>
      </w:r>
      <w:r w:rsidR="00716A80">
        <w:t>should be</w:t>
      </w:r>
      <w:r>
        <w:t xml:space="preserve"> explicit about expectations of </w:t>
      </w:r>
      <w:r w:rsidR="00716A80">
        <w:t>new-to-district SISPs</w:t>
      </w:r>
      <w:r w:rsidR="00A4431F">
        <w:t>. L</w:t>
      </w:r>
      <w:r w:rsidR="00881F5C">
        <w:t>eaders must set</w:t>
      </w:r>
      <w:r>
        <w:t xml:space="preserve"> clear expectations </w:t>
      </w:r>
      <w:r w:rsidR="00881F5C">
        <w:t>from</w:t>
      </w:r>
      <w:r>
        <w:t xml:space="preserve"> day one, especially because SISPs are often called on to handle crises. Compared to teachers, SISPs’ schedules </w:t>
      </w:r>
      <w:r w:rsidR="00881F5C">
        <w:t>and workloads</w:t>
      </w:r>
      <w:r w:rsidR="008A396D">
        <w:t xml:space="preserve"> may not be clear-cut, so </w:t>
      </w:r>
      <w:r w:rsidR="00735741">
        <w:t>newer</w:t>
      </w:r>
      <w:r>
        <w:t xml:space="preserve"> </w:t>
      </w:r>
      <w:r w:rsidR="00735741">
        <w:t>SISPs need</w:t>
      </w:r>
      <w:r>
        <w:t xml:space="preserve"> clear expectations regarding scheduling and time management</w:t>
      </w:r>
      <w:r w:rsidR="00881F5C">
        <w:t>,</w:t>
      </w:r>
      <w:r>
        <w:t xml:space="preserve"> to avoid being</w:t>
      </w:r>
      <w:r w:rsidR="00735741">
        <w:t xml:space="preserve"> </w:t>
      </w:r>
      <w:r>
        <w:t>overwhelmed</w:t>
      </w:r>
      <w:r w:rsidR="00881F5C">
        <w:t>.</w:t>
      </w:r>
      <w:r w:rsidR="00716A80">
        <w:t xml:space="preserve"> For example, districts could provide a checklist of roles and duties.</w:t>
      </w:r>
    </w:p>
    <w:p w:rsidR="00686885" w:rsidRDefault="00EA345C" w:rsidP="006318EC">
      <w:pPr>
        <w:spacing w:after="0" w:line="240" w:lineRule="auto"/>
        <w:contextualSpacing/>
      </w:pPr>
      <w:r>
        <w:rPr>
          <w:noProof/>
        </w:rPr>
        <w:lastRenderedPageBreak/>
        <w:pict w14:anchorId="08BA929E">
          <v:roundrect id="AutoShape 6" o:spid="_x0000_s1038" style="position:absolute;margin-left:-8.05pt;margin-top:-17.6pt;width:340.1pt;height:23.05pt;z-index:251691008;visibility:visible;mso-width-relative:margin;mso-height-relative:margin"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" fillcolor="#4f81bd [3204]" strokecolor="#f2f2f2 [3041]" strokeweight="3pt">
            <v:shadow on="t" color="#243f60 [1604]" opacity=".5" offset="1pt"/>
            <v:textbox style="mso-next-textbox:#AutoShape 6">
              <w:txbxContent>
                <w:p w:rsidR="001051AC" w:rsidRPr="00A46D18" w:rsidRDefault="001051AC" w:rsidP="00E509A9">
                  <w:pPr>
                    <w:rPr>
                      <w:color w:val="FFFFFF" w:themeColor="background1"/>
                    </w:rPr>
                  </w:pPr>
                  <w:r>
                    <w:rPr>
                      <w:b/>
                      <w:color w:val="FFFFFF" w:themeColor="background1"/>
                    </w:rPr>
                    <w:t>Make SISPs a part of the school and district team</w:t>
                  </w:r>
                </w:p>
              </w:txbxContent>
            </v:textbox>
          </v:roundrect>
        </w:pict>
      </w:r>
      <w:r>
        <w:rPr>
          <w:noProof/>
        </w:rPr>
        <w:pict w14:anchorId="625FEDDC">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39" type="#_x0000_t185" style="position:absolute;margin-left:346.25pt;margin-top:10.7pt;width:127.25pt;height:194.7pt;rotation:-360;z-index:251692032;mso-position-horizontal-relative:margin;mso-position-vertical-relative:margin;mso-width-relative:margin;mso-height-relative:margin" o:allowincell="f" adj="1739" fillcolor="#943634 [2405]" strokecolor="#ffc000" strokeweight="3pt">
            <v:imagedata embosscolor="shadow add(51)"/>
            <v:shadow type="emboss" color="lineOrFill darken(153)" color2="shadow add(102)" offset="1pt,1pt"/>
            <v:textbox style="mso-next-textbox:#_x0000_s1039;mso-fit-shape-to-text:t" inset="3.6pt,,3.6pt">
              <w:txbxContent>
                <w:p w:rsidR="001051AC" w:rsidRDefault="001051AC" w:rsidP="00E509A9">
                  <w:pPr>
                    <w:pBdr>
                      <w:top w:val="single" w:sz="8" w:space="10" w:color="FFFFFF" w:themeColor="background1"/>
                      <w:bottom w:val="single" w:sz="8" w:space="1" w:color="FFFFFF" w:themeColor="background1"/>
                    </w:pBdr>
                    <w:spacing w:after="0" w:line="240" w:lineRule="auto"/>
                    <w:contextualSpacing/>
                    <w:jc w:val="center"/>
                    <w:rPr>
                      <w:i/>
                      <w:iCs/>
                      <w:color w:val="808080" w:themeColor="text1" w:themeTint="7F"/>
                      <w:sz w:val="24"/>
                      <w:szCs w:val="24"/>
                    </w:rPr>
                  </w:pPr>
                  <w:r>
                    <w:rPr>
                      <w:i/>
                      <w:iCs/>
                      <w:color w:val="808080" w:themeColor="text1" w:themeTint="7F"/>
                      <w:sz w:val="24"/>
                      <w:szCs w:val="24"/>
                    </w:rPr>
                    <w:t>“There are so many great things [counselors and principals] can do together… Include us in the conversation. Include us in the district plan.”</w:t>
                  </w:r>
                </w:p>
                <w:p w:rsidR="001051AC" w:rsidRPr="006B685C" w:rsidRDefault="001051AC" w:rsidP="00E509A9">
                  <w:pPr>
                    <w:pBdr>
                      <w:top w:val="single" w:sz="8" w:space="10" w:color="FFFFFF" w:themeColor="background1"/>
                      <w:bottom w:val="single" w:sz="8" w:space="1" w:color="FFFFFF" w:themeColor="background1"/>
                    </w:pBdr>
                    <w:spacing w:after="0" w:line="240" w:lineRule="auto"/>
                    <w:contextualSpacing/>
                    <w:jc w:val="center"/>
                    <w:rPr>
                      <w:i/>
                      <w:iCs/>
                      <w:color w:val="808080" w:themeColor="text1" w:themeTint="7F"/>
                      <w:sz w:val="20"/>
                      <w:szCs w:val="20"/>
                    </w:rPr>
                  </w:pPr>
                  <w:r w:rsidRPr="006B685C">
                    <w:rPr>
                      <w:i/>
                      <w:iCs/>
                      <w:color w:val="808080" w:themeColor="text1" w:themeTint="7F"/>
                      <w:sz w:val="20"/>
                      <w:szCs w:val="20"/>
                    </w:rPr>
                    <w:t xml:space="preserve">- </w:t>
                  </w:r>
                  <w:r w:rsidRPr="006B685C">
                    <w:rPr>
                      <w:iCs/>
                      <w:color w:val="808080" w:themeColor="text1" w:themeTint="7F"/>
                      <w:sz w:val="20"/>
                      <w:szCs w:val="20"/>
                    </w:rPr>
                    <w:t xml:space="preserve">Ruth Carrigan, Massachusetts School Counselors Association President </w:t>
                  </w:r>
                </w:p>
              </w:txbxContent>
            </v:textbox>
            <w10:wrap type="square" anchorx="margin" anchory="margin"/>
          </v:shape>
        </w:pict>
      </w:r>
    </w:p>
    <w:p w:rsidR="00E509A9" w:rsidRDefault="00FD1BBA" w:rsidP="00E509A9">
      <w:r>
        <w:rPr>
          <w:noProof/>
          <w:lang w:eastAsia="zh-CN"/>
        </w:rPr>
        <w:drawing>
          <wp:anchor distT="0" distB="0" distL="114300" distR="114300" simplePos="0" relativeHeight="251689984" behindDoc="1" locked="0" layoutInCell="1" allowOverlap="1">
            <wp:simplePos x="0" y="0"/>
            <wp:positionH relativeFrom="column">
              <wp:posOffset>298450</wp:posOffset>
            </wp:positionH>
            <wp:positionV relativeFrom="paragraph">
              <wp:posOffset>575945</wp:posOffset>
            </wp:positionV>
            <wp:extent cx="3663950" cy="1917700"/>
            <wp:effectExtent l="19050" t="0" r="0" b="0"/>
            <wp:wrapNone/>
            <wp:docPr id="2" name="Picture 1" descr="Two hands reaching for each ot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lum bright="42000" contrast="-8000"/>
                    </a:blip>
                    <a:srcRect/>
                    <a:stretch>
                      <a:fillRect/>
                    </a:stretch>
                  </pic:blipFill>
                  <pic:spPr bwMode="auto">
                    <a:xfrm>
                      <a:off x="0" y="0"/>
                      <a:ext cx="3663950" cy="1917700"/>
                    </a:xfrm>
                    <a:prstGeom prst="rect">
                      <a:avLst/>
                    </a:prstGeom>
                    <a:noFill/>
                    <a:ln w="9525">
                      <a:noFill/>
                      <a:miter lim="800000"/>
                      <a:headEnd/>
                      <a:tailEnd/>
                    </a:ln>
                  </pic:spPr>
                </pic:pic>
              </a:graphicData>
            </a:graphic>
          </wp:anchor>
        </w:drawing>
      </w:r>
      <w:r w:rsidR="00D01CCB">
        <w:t xml:space="preserve">A </w:t>
      </w:r>
      <w:r w:rsidR="00E509A9">
        <w:t>SISP is often the only one in the building or district who does, or perhaps even understands, his or her particular job. This can pose a barrier to learning to navigat</w:t>
      </w:r>
      <w:r w:rsidR="007D24E2">
        <w:t>e a school system and culture–</w:t>
      </w:r>
      <w:r w:rsidR="00E509A9">
        <w:t>a process that is especially crucial for SISPs, who need to know how to work with colleagues in diverse roles. School leaders sometimes neglect to orient SISPs to school culture and dynamics, including where to go for information and resources. In small districts, there may be only one person with a specific SISP role in the district. On the other hand, if a school culture is not collaborative, a SISP can feel isolated even in a large district.</w:t>
      </w:r>
    </w:p>
    <w:p w:rsidR="00B3295C" w:rsidRDefault="00EA345C" w:rsidP="00196C1E">
      <w:pPr>
        <w:rPr>
          <w:noProof/>
        </w:rPr>
      </w:pPr>
      <w:r>
        <w:rPr>
          <w:noProof/>
        </w:rPr>
        <w:pict w14:anchorId="4D043C00">
          <v:roundrect id="AutoShape 8" o:spid="_x0000_s1040" style="position:absolute;margin-left:-2.7pt;margin-top:130pt;width:468.8pt;height:24.8pt;z-index:251693056;visibility:visible;mso-width-relative:margin;mso-height-relative:margin"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" fillcolor="#4f81bd [3204]" strokecolor="#f2f2f2 [3041]" strokeweight="3pt">
            <v:shadow on="t" color="#243f60 [1604]" opacity=".5" offset="1pt"/>
            <v:textbox style="mso-next-textbox:#AutoShape 8">
              <w:txbxContent>
                <w:p w:rsidR="001051AC" w:rsidRPr="00A46D18" w:rsidRDefault="001051AC" w:rsidP="00E509A9">
                  <w:pPr>
                    <w:rPr>
                      <w:color w:val="FFFFFF" w:themeColor="background1"/>
                    </w:rPr>
                  </w:pPr>
                  <w:r>
                    <w:rPr>
                      <w:b/>
                      <w:color w:val="FFFFFF" w:themeColor="background1"/>
                    </w:rPr>
                    <w:t>Provide formal &amp; informal opportunities for mentoring &amp; networking</w:t>
                  </w:r>
                </w:p>
              </w:txbxContent>
            </v:textbox>
          </v:roundrect>
        </w:pict>
      </w:r>
      <w:r w:rsidR="00E509A9">
        <w:t>As a starting point, leaders can reduce isolation by regularly checking in with new SISPs and engaging them in school-wide work. Schools can benefit from including SISPs on relevant teams</w:t>
      </w:r>
      <w:r w:rsidR="00D01CCB">
        <w:t>–such as student support, Response to Intervention, or bullying–</w:t>
      </w:r>
      <w:r w:rsidR="00E509A9">
        <w:t xml:space="preserve">and </w:t>
      </w:r>
      <w:r w:rsidR="00D01CCB">
        <w:t xml:space="preserve">from </w:t>
      </w:r>
      <w:r w:rsidR="00E509A9">
        <w:t xml:space="preserve">otherwise including them in meaningful plans and conversations. This </w:t>
      </w:r>
      <w:r w:rsidR="00C30777">
        <w:t>way,</w:t>
      </w:r>
      <w:r w:rsidR="00E509A9">
        <w:t xml:space="preserve"> principals can understand what SISPs can “bring to the table.” For example, a nurse may have a unique insight into a student’s home life. When a SISP is included as an integral part of a school team, leaders</w:t>
      </w:r>
      <w:r w:rsidR="00C30777">
        <w:t xml:space="preserve"> should demonstrably value SISP</w:t>
      </w:r>
      <w:r w:rsidR="00E509A9">
        <w:t>s</w:t>
      </w:r>
      <w:r w:rsidR="00C30777">
        <w:t>’</w:t>
      </w:r>
      <w:r w:rsidR="00E509A9">
        <w:t xml:space="preserve"> contributions.</w:t>
      </w:r>
      <w:r w:rsidR="00E509A9" w:rsidRPr="006066B3">
        <w:rPr>
          <w:noProof/>
        </w:rPr>
        <w:t xml:space="preserve"> </w:t>
      </w:r>
      <w:r w:rsidR="00FB3828">
        <w:rPr>
          <w:noProof/>
        </w:rPr>
        <w:t>An induction program promoting</w:t>
      </w:r>
      <w:r w:rsidR="005A3318">
        <w:rPr>
          <w:noProof/>
        </w:rPr>
        <w:t xml:space="preserve"> thoughtful professional growth and collaboration </w:t>
      </w:r>
      <w:r w:rsidR="001051AC">
        <w:rPr>
          <w:noProof/>
        </w:rPr>
        <w:t>demonstrates</w:t>
      </w:r>
      <w:r w:rsidR="005A3318">
        <w:rPr>
          <w:noProof/>
        </w:rPr>
        <w:t xml:space="preserve"> recognition of </w:t>
      </w:r>
      <w:r w:rsidR="001051AC">
        <w:rPr>
          <w:noProof/>
        </w:rPr>
        <w:t>SISPs’ important work.</w:t>
      </w:r>
    </w:p>
    <w:p w:rsidR="001051AC" w:rsidRPr="0053750D" w:rsidRDefault="001051AC" w:rsidP="00196C1E">
      <w:pPr>
        <w:rPr>
          <w:noProof/>
        </w:rPr>
      </w:pPr>
    </w:p>
    <w:p w:rsidR="00EC1E5F" w:rsidRDefault="0050276D" w:rsidP="00196C1E">
      <w:r>
        <w:rPr>
          <w:b/>
        </w:rPr>
        <w:t xml:space="preserve">Finding formal and informal mentors: </w:t>
      </w:r>
      <w:r w:rsidR="00B74816">
        <w:t xml:space="preserve">Beyond orienting new SISPs to their roles, mentors can </w:t>
      </w:r>
      <w:r w:rsidR="00881F5C">
        <w:t>promote</w:t>
      </w:r>
      <w:r w:rsidR="00B74816">
        <w:t xml:space="preserve"> self-advocacy and time-mana</w:t>
      </w:r>
      <w:r w:rsidR="00881F5C">
        <w:t xml:space="preserve">gement, which are necessary for </w:t>
      </w:r>
      <w:r w:rsidR="00B74816">
        <w:t>learning to navigate a new school sy</w:t>
      </w:r>
      <w:r w:rsidR="00881F5C">
        <w:t>s</w:t>
      </w:r>
      <w:r w:rsidR="00B74816">
        <w:t xml:space="preserve">tem. </w:t>
      </w:r>
      <w:r w:rsidR="00881F5C">
        <w:t>I</w:t>
      </w:r>
      <w:r w:rsidR="00BC47D5">
        <w:t xml:space="preserve">nduction and mentoring reports indicate that districts often struggle </w:t>
      </w:r>
      <w:r w:rsidR="00881F5C">
        <w:t>to match mentors and mentees</w:t>
      </w:r>
      <w:r w:rsidR="00BC47D5">
        <w:t xml:space="preserve">. This matchmaking process faces </w:t>
      </w:r>
      <w:r w:rsidR="00881F5C">
        <w:t>particular</w:t>
      </w:r>
      <w:r w:rsidR="00BC47D5">
        <w:t xml:space="preserve"> ob</w:t>
      </w:r>
      <w:r w:rsidR="001F1CAF">
        <w:t xml:space="preserve">stacles </w:t>
      </w:r>
      <w:r w:rsidR="00881F5C">
        <w:t>for</w:t>
      </w:r>
      <w:r w:rsidR="001F1CAF">
        <w:t xml:space="preserve"> SISPs, particularly in small districts that may not have a veteran in the same role.</w:t>
      </w:r>
      <w:r>
        <w:t xml:space="preserve"> </w:t>
      </w:r>
      <w:r w:rsidR="00BC49F7">
        <w:t xml:space="preserve">In the 2017 Induction and Mentoring Report, nearly half of districts reported challenges in finding enough mentors for SISPs. </w:t>
      </w:r>
      <w:r w:rsidR="00EC1E5F">
        <w:t xml:space="preserve">Nevertheless, 59 percent of districts indicated that SISPs are always paired with a role-alike mentor, and 37 percent said they sometimes are. </w:t>
      </w:r>
    </w:p>
    <w:p w:rsidR="00196C1E" w:rsidRPr="00BC47D5" w:rsidRDefault="0050276D" w:rsidP="00196C1E">
      <w:r>
        <w:t xml:space="preserve">Districts may turn to out-of-district SISPs to serve as mentors–in which case the mentee may need both a role-alike mentor </w:t>
      </w:r>
      <w:r>
        <w:rPr>
          <w:i/>
        </w:rPr>
        <w:t>and</w:t>
      </w:r>
      <w:r>
        <w:t xml:space="preserve"> a local mentor.</w:t>
      </w:r>
      <w:r w:rsidR="00B3295C">
        <w:t xml:space="preserve"> In such a case, the mentors can split the mentoring work, as well as a stipend.</w:t>
      </w:r>
      <w:r w:rsidR="00D01CCB">
        <w:t xml:space="preserve"> </w:t>
      </w:r>
      <w:r w:rsidR="00EC1E5F">
        <w:t>Nearby</w:t>
      </w:r>
      <w:r w:rsidR="00D01CCB">
        <w:t xml:space="preserve"> districts, professional organizations, or collaboratives can assist in </w:t>
      </w:r>
      <w:r w:rsidR="00EC1E5F">
        <w:t>finding</w:t>
      </w:r>
      <w:r w:rsidR="00D01CCB">
        <w:t xml:space="preserve"> mentors.</w:t>
      </w:r>
    </w:p>
    <w:tbl>
      <w:tblPr>
        <w:tblStyle w:val="LightList-Accent11"/>
        <w:tblW w:w="0" w:type="auto"/>
        <w:tblLook w:val="04A0" w:firstRow="1" w:lastRow="0" w:firstColumn="1" w:lastColumn="0" w:noHBand="0" w:noVBand="1"/>
      </w:tblPr>
      <w:tblGrid>
        <w:gridCol w:w="5238"/>
        <w:gridCol w:w="4338"/>
      </w:tblGrid>
      <w:tr w:rsidR="00D8678D" w:rsidTr="00E3415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38" w:type="dxa"/>
          </w:tcPr>
          <w:p w:rsidR="00D8678D" w:rsidRPr="001051AC" w:rsidRDefault="00D8678D" w:rsidP="00D8678D">
            <w:pPr>
              <w:tabs>
                <w:tab w:val="left" w:pos="3960"/>
              </w:tabs>
              <w:jc w:val="center"/>
            </w:pPr>
            <w:r w:rsidRPr="001051AC">
              <w:t>Role-alike mentor</w:t>
            </w:r>
          </w:p>
        </w:tc>
        <w:tc>
          <w:tcPr>
            <w:tcW w:w="4338" w:type="dxa"/>
            <w:tcBorders>
              <w:bottom w:val="single" w:sz="4" w:space="0" w:color="auto"/>
            </w:tcBorders>
          </w:tcPr>
          <w:p w:rsidR="00D8678D" w:rsidRPr="001051AC" w:rsidRDefault="00D8678D" w:rsidP="00D8678D">
            <w:pPr>
              <w:tabs>
                <w:tab w:val="left" w:pos="3960"/>
              </w:tabs>
              <w:jc w:val="center"/>
              <w:cnfStyle w:val="100000000000" w:firstRow="1" w:lastRow="0" w:firstColumn="0" w:lastColumn="0" w:oddVBand="0" w:evenVBand="0" w:oddHBand="0" w:evenHBand="0" w:firstRowFirstColumn="0" w:firstRowLastColumn="0" w:lastRowFirstColumn="0" w:lastRowLastColumn="0"/>
            </w:pPr>
            <w:r w:rsidRPr="001051AC">
              <w:t>In-school/district mentor</w:t>
            </w:r>
          </w:p>
        </w:tc>
      </w:tr>
      <w:tr w:rsidR="00D8678D" w:rsidTr="00E341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38" w:type="dxa"/>
            <w:tcBorders>
              <w:right w:val="single" w:sz="4" w:space="0" w:color="auto"/>
            </w:tcBorders>
          </w:tcPr>
          <w:p w:rsidR="00D8678D" w:rsidRPr="00CB3C5E" w:rsidRDefault="00D8678D" w:rsidP="00D8678D">
            <w:pPr>
              <w:pStyle w:val="ListParagraph"/>
              <w:numPr>
                <w:ilvl w:val="0"/>
                <w:numId w:val="11"/>
              </w:numPr>
              <w:tabs>
                <w:tab w:val="left" w:pos="3960"/>
              </w:tabs>
              <w:rPr>
                <w:b w:val="0"/>
              </w:rPr>
            </w:pPr>
            <w:r w:rsidRPr="00CB3C5E">
              <w:rPr>
                <w:b w:val="0"/>
              </w:rPr>
              <w:t>May work in another district</w:t>
            </w:r>
            <w:r w:rsidR="004C1FD5" w:rsidRPr="00CB3C5E">
              <w:rPr>
                <w:b w:val="0"/>
              </w:rPr>
              <w:t xml:space="preserve">, such as a neighboring district or </w:t>
            </w:r>
            <w:r w:rsidR="005F0781" w:rsidRPr="00CB3C5E">
              <w:rPr>
                <w:b w:val="0"/>
              </w:rPr>
              <w:t>one</w:t>
            </w:r>
            <w:r w:rsidR="004C1FD5" w:rsidRPr="00CB3C5E">
              <w:rPr>
                <w:b w:val="0"/>
              </w:rPr>
              <w:t xml:space="preserve"> that shares an educational collaborative</w:t>
            </w:r>
          </w:p>
          <w:p w:rsidR="00A7259A" w:rsidRPr="00CB3C5E" w:rsidRDefault="00A7259A" w:rsidP="00D8678D">
            <w:pPr>
              <w:pStyle w:val="ListParagraph"/>
              <w:numPr>
                <w:ilvl w:val="0"/>
                <w:numId w:val="11"/>
              </w:numPr>
              <w:tabs>
                <w:tab w:val="left" w:pos="3960"/>
              </w:tabs>
              <w:rPr>
                <w:b w:val="0"/>
              </w:rPr>
            </w:pPr>
            <w:r w:rsidRPr="00CB3C5E">
              <w:rPr>
                <w:b w:val="0"/>
              </w:rPr>
              <w:t xml:space="preserve">Holds not only the same title, but also the same </w:t>
            </w:r>
            <w:r w:rsidRPr="00CB3C5E">
              <w:rPr>
                <w:b w:val="0"/>
                <w:i/>
              </w:rPr>
              <w:t>function</w:t>
            </w:r>
          </w:p>
          <w:p w:rsidR="00D8678D" w:rsidRPr="00CB3C5E" w:rsidRDefault="005A36D0" w:rsidP="00D8678D">
            <w:pPr>
              <w:pStyle w:val="ListParagraph"/>
              <w:numPr>
                <w:ilvl w:val="0"/>
                <w:numId w:val="11"/>
              </w:numPr>
              <w:tabs>
                <w:tab w:val="left" w:pos="3960"/>
              </w:tabs>
              <w:rPr>
                <w:b w:val="0"/>
              </w:rPr>
            </w:pPr>
            <w:r>
              <w:rPr>
                <w:b w:val="0"/>
              </w:rPr>
              <w:t>Knows</w:t>
            </w:r>
            <w:r w:rsidR="00D8678D" w:rsidRPr="00CB3C5E">
              <w:rPr>
                <w:b w:val="0"/>
              </w:rPr>
              <w:t xml:space="preserve"> relevant skills, knowledge,</w:t>
            </w:r>
            <w:r w:rsidR="00E3415B">
              <w:rPr>
                <w:b w:val="0"/>
              </w:rPr>
              <w:t xml:space="preserve"> &amp; </w:t>
            </w:r>
            <w:r w:rsidR="00D8678D" w:rsidRPr="00CB3C5E">
              <w:rPr>
                <w:b w:val="0"/>
              </w:rPr>
              <w:t>regulations</w:t>
            </w:r>
          </w:p>
          <w:p w:rsidR="00A25FDD" w:rsidRPr="00CB3C5E" w:rsidRDefault="00045961" w:rsidP="007C2C3A">
            <w:pPr>
              <w:pStyle w:val="ListParagraph"/>
              <w:numPr>
                <w:ilvl w:val="0"/>
                <w:numId w:val="11"/>
              </w:numPr>
              <w:tabs>
                <w:tab w:val="left" w:pos="3960"/>
              </w:tabs>
              <w:rPr>
                <w:b w:val="0"/>
              </w:rPr>
            </w:pPr>
            <w:r w:rsidRPr="00CB3C5E">
              <w:rPr>
                <w:b w:val="0"/>
              </w:rPr>
              <w:t xml:space="preserve">Provides additional supervision required </w:t>
            </w:r>
          </w:p>
          <w:p w:rsidR="00D43AA6" w:rsidRDefault="00045961" w:rsidP="00D43AA6">
            <w:pPr>
              <w:tabs>
                <w:tab w:val="left" w:pos="3960"/>
              </w:tabs>
              <w:ind w:left="360"/>
              <w:rPr>
                <w:b w:val="0"/>
              </w:rPr>
            </w:pPr>
            <w:r w:rsidRPr="00CB3C5E">
              <w:rPr>
                <w:b w:val="0"/>
              </w:rPr>
              <w:t xml:space="preserve">for novices in some </w:t>
            </w:r>
            <w:r w:rsidR="00D43AA6">
              <w:rPr>
                <w:b w:val="0"/>
              </w:rPr>
              <w:t>fields</w:t>
            </w:r>
          </w:p>
          <w:p w:rsidR="00A25FDD" w:rsidRPr="00D43AA6" w:rsidRDefault="00A25FDD" w:rsidP="00D43AA6">
            <w:pPr>
              <w:pStyle w:val="ListParagraph"/>
              <w:numPr>
                <w:ilvl w:val="0"/>
                <w:numId w:val="11"/>
              </w:numPr>
              <w:tabs>
                <w:tab w:val="left" w:pos="3960"/>
              </w:tabs>
              <w:rPr>
                <w:b w:val="0"/>
              </w:rPr>
            </w:pPr>
            <w:r w:rsidRPr="00D43AA6">
              <w:rPr>
                <w:b w:val="0"/>
              </w:rPr>
              <w:t>May communicate virtually</w:t>
            </w:r>
          </w:p>
        </w:tc>
        <w:tc>
          <w:tcPr>
            <w:tcW w:w="4338" w:type="dxa"/>
            <w:tcBorders>
              <w:top w:val="single" w:sz="4" w:space="0" w:color="auto"/>
              <w:left w:val="single" w:sz="4" w:space="0" w:color="auto"/>
              <w:bottom w:val="single" w:sz="4" w:space="0" w:color="auto"/>
              <w:right w:val="single" w:sz="4" w:space="0" w:color="auto"/>
            </w:tcBorders>
          </w:tcPr>
          <w:p w:rsidR="005D35A9" w:rsidRDefault="005D35A9" w:rsidP="00D8678D">
            <w:pPr>
              <w:pStyle w:val="ListParagraph"/>
              <w:numPr>
                <w:ilvl w:val="0"/>
                <w:numId w:val="11"/>
              </w:numPr>
              <w:tabs>
                <w:tab w:val="left" w:pos="3960"/>
              </w:tabs>
              <w:cnfStyle w:val="000000100000" w:firstRow="0" w:lastRow="0" w:firstColumn="0" w:lastColumn="0" w:oddVBand="0" w:evenVBand="0" w:oddHBand="1" w:evenHBand="0" w:firstRowFirstColumn="0" w:firstRowLastColumn="0" w:lastRowFirstColumn="0" w:lastRowLastColumn="0"/>
            </w:pPr>
            <w:r>
              <w:t>Orients mentee</w:t>
            </w:r>
            <w:r w:rsidR="00E55A87">
              <w:t xml:space="preserve"> to school culture</w:t>
            </w:r>
            <w:r w:rsidR="0095323D">
              <w:t>, procedures</w:t>
            </w:r>
            <w:r w:rsidR="00654679">
              <w:t>, resources</w:t>
            </w:r>
            <w:r w:rsidR="0095323D">
              <w:t xml:space="preserve"> </w:t>
            </w:r>
            <w:r w:rsidR="00E3415B">
              <w:t>&amp;</w:t>
            </w:r>
            <w:r w:rsidR="0095323D">
              <w:t xml:space="preserve"> colleagues</w:t>
            </w:r>
          </w:p>
          <w:p w:rsidR="00D8678D" w:rsidRDefault="00E94AD4" w:rsidP="00D8678D">
            <w:pPr>
              <w:pStyle w:val="ListParagraph"/>
              <w:numPr>
                <w:ilvl w:val="0"/>
                <w:numId w:val="11"/>
              </w:numPr>
              <w:tabs>
                <w:tab w:val="left" w:pos="3960"/>
              </w:tabs>
              <w:cnfStyle w:val="000000100000" w:firstRow="0" w:lastRow="0" w:firstColumn="0" w:lastColumn="0" w:oddVBand="0" w:evenVBand="0" w:oddHBand="1" w:evenHBand="0" w:firstRowFirstColumn="0" w:firstRowLastColumn="0" w:lastRowFirstColumn="0" w:lastRowLastColumn="0"/>
            </w:pPr>
            <w:r>
              <w:t>Offers</w:t>
            </w:r>
            <w:r w:rsidR="00D8678D">
              <w:t xml:space="preserve"> building-wide perspective on how school system operates</w:t>
            </w:r>
          </w:p>
          <w:p w:rsidR="00D8678D" w:rsidRDefault="00D8678D" w:rsidP="00D8678D">
            <w:pPr>
              <w:pStyle w:val="ListParagraph"/>
              <w:numPr>
                <w:ilvl w:val="0"/>
                <w:numId w:val="11"/>
              </w:numPr>
              <w:tabs>
                <w:tab w:val="left" w:pos="3960"/>
              </w:tabs>
              <w:cnfStyle w:val="000000100000" w:firstRow="0" w:lastRow="0" w:firstColumn="0" w:lastColumn="0" w:oddVBand="0" w:evenVBand="0" w:oddHBand="1" w:evenHBand="0" w:firstRowFirstColumn="0" w:firstRowLastColumn="0" w:lastRowFirstColumn="0" w:lastRowLastColumn="0"/>
            </w:pPr>
            <w:r>
              <w:t>May hold a similar role</w:t>
            </w:r>
            <w:r w:rsidR="00A217BB">
              <w:t xml:space="preserve"> (i.e. matching a counselor with a psychologist)</w:t>
            </w:r>
          </w:p>
          <w:p w:rsidR="00A25FDD" w:rsidRDefault="00891C9E" w:rsidP="00A25FDD">
            <w:pPr>
              <w:pStyle w:val="ListParagraph"/>
              <w:numPr>
                <w:ilvl w:val="0"/>
                <w:numId w:val="11"/>
              </w:numPr>
              <w:tabs>
                <w:tab w:val="left" w:pos="3960"/>
              </w:tabs>
              <w:cnfStyle w:val="000000100000" w:firstRow="0" w:lastRow="0" w:firstColumn="0" w:lastColumn="0" w:oddVBand="0" w:evenVBand="0" w:oddHBand="1" w:evenHBand="0" w:firstRowFirstColumn="0" w:firstRowLastColumn="0" w:lastRowFirstColumn="0" w:lastRowLastColumn="0"/>
            </w:pPr>
            <w:r>
              <w:t xml:space="preserve">Serves as a formal mentor if the mentee has an </w:t>
            </w:r>
            <w:r>
              <w:rPr>
                <w:i/>
              </w:rPr>
              <w:t>informal</w:t>
            </w:r>
            <w:r>
              <w:t xml:space="preserve"> role-alike mentor in another district</w:t>
            </w:r>
          </w:p>
        </w:tc>
      </w:tr>
    </w:tbl>
    <w:p w:rsidR="002C0422" w:rsidRDefault="0053750D" w:rsidP="00907B44">
      <w:pPr>
        <w:tabs>
          <w:tab w:val="left" w:pos="3960"/>
        </w:tabs>
      </w:pPr>
      <w:r>
        <w:rPr>
          <w:b/>
          <w:noProof/>
          <w:lang w:eastAsia="zh-CN"/>
        </w:rPr>
        <w:lastRenderedPageBreak/>
        <w:drawing>
          <wp:anchor distT="0" distB="0" distL="114300" distR="114300" simplePos="0" relativeHeight="251671552" behindDoc="1" locked="0" layoutInCell="1" allowOverlap="1">
            <wp:simplePos x="0" y="0"/>
            <wp:positionH relativeFrom="column">
              <wp:posOffset>1990725</wp:posOffset>
            </wp:positionH>
            <wp:positionV relativeFrom="paragraph">
              <wp:posOffset>516890</wp:posOffset>
            </wp:positionV>
            <wp:extent cx="1968500" cy="1820545"/>
            <wp:effectExtent l="19050" t="0" r="0" b="0"/>
            <wp:wrapNone/>
            <wp:docPr id="7" name="Picture 7" descr="Circle of people holding han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lum bright="59000" contrast="-34000"/>
                    </a:blip>
                    <a:srcRect/>
                    <a:stretch>
                      <a:fillRect/>
                    </a:stretch>
                  </pic:blipFill>
                  <pic:spPr bwMode="auto">
                    <a:xfrm>
                      <a:off x="0" y="0"/>
                      <a:ext cx="1968500" cy="1820545"/>
                    </a:xfrm>
                    <a:prstGeom prst="rect">
                      <a:avLst/>
                    </a:prstGeom>
                    <a:noFill/>
                    <a:ln w="9525">
                      <a:noFill/>
                      <a:miter lim="800000"/>
                      <a:headEnd/>
                      <a:tailEnd/>
                    </a:ln>
                  </pic:spPr>
                </pic:pic>
              </a:graphicData>
            </a:graphic>
          </wp:anchor>
        </w:drawing>
      </w:r>
      <w:r w:rsidR="001B22FC">
        <w:rPr>
          <w:b/>
        </w:rPr>
        <w:t xml:space="preserve">Building a structured mentoring program: </w:t>
      </w:r>
      <w:r w:rsidR="001B22FC">
        <w:t xml:space="preserve">While new SISPs may have informal peer mentors, they also need formal mentors. Mentoring duties should be </w:t>
      </w:r>
      <w:r w:rsidR="004A0FB1">
        <w:t xml:space="preserve">built </w:t>
      </w:r>
      <w:r w:rsidR="00AC7F8E">
        <w:t xml:space="preserve">into, and protected as, part of the mentor’s official workload and schedule. </w:t>
      </w:r>
      <w:r w:rsidR="003A35EE">
        <w:t xml:space="preserve">If </w:t>
      </w:r>
      <w:r w:rsidR="00893F9A">
        <w:t xml:space="preserve">a district doesn’t have a designated SISP to oversee mentoring relationships, it can leverage a veteran SISP to serve as a </w:t>
      </w:r>
      <w:r w:rsidR="003A35EE">
        <w:t>mentor coordinator</w:t>
      </w:r>
      <w:r w:rsidR="004A0FB1">
        <w:t>.</w:t>
      </w:r>
    </w:p>
    <w:p w:rsidR="00B3295C" w:rsidRDefault="00B3295C" w:rsidP="00907B44">
      <w:pPr>
        <w:tabs>
          <w:tab w:val="left" w:pos="3960"/>
        </w:tabs>
      </w:pPr>
      <w:r>
        <w:t>Well-structured programs require funding, which many districts find in their Title II, Part A allocations. Long-term retention of educat</w:t>
      </w:r>
      <w:r w:rsidR="000D5E3B">
        <w:t xml:space="preserve">ors, which begins with </w:t>
      </w:r>
      <w:r>
        <w:t>quality induction, prevents the costs of teacher turnover. For example, districts spend thousands of dollars to replace the average exiting teacher.</w:t>
      </w:r>
      <w:r>
        <w:rPr>
          <w:rStyle w:val="FootnoteReference"/>
        </w:rPr>
        <w:footnoteReference w:id="2"/>
      </w:r>
    </w:p>
    <w:p w:rsidR="00976028" w:rsidRDefault="00AF0541" w:rsidP="00907B44">
      <w:r>
        <w:rPr>
          <w:b/>
        </w:rPr>
        <w:t xml:space="preserve">Supporting networks: </w:t>
      </w:r>
      <w:r w:rsidR="00D92C56">
        <w:t xml:space="preserve">Beyond one-on-one mentoring, new SISPs can benefit from </w:t>
      </w:r>
      <w:r w:rsidR="007D6AB1">
        <w:t xml:space="preserve">role-alike </w:t>
      </w:r>
      <w:r w:rsidR="00D62600">
        <w:t>networks across</w:t>
      </w:r>
      <w:r w:rsidR="00D92C56">
        <w:t xml:space="preserve"> schools and districts. </w:t>
      </w:r>
      <w:r w:rsidR="00082481">
        <w:t xml:space="preserve">Encouraging meetings with role-alike colleagues should be a priority, as it reduces isolation and allows professional development. </w:t>
      </w:r>
      <w:r w:rsidR="00907B44">
        <w:t xml:space="preserve">Participation in professional organizations also allows SISPs to network with peers </w:t>
      </w:r>
      <w:r w:rsidR="00CB3C5E">
        <w:t>across</w:t>
      </w:r>
      <w:r w:rsidR="00907B44">
        <w:t xml:space="preserve"> districts. Networking not only offers informal guidance from experienced peers, but also insight into resources and PD opportunities.</w:t>
      </w:r>
    </w:p>
    <w:p w:rsidR="00CB3C5E" w:rsidRPr="00E509A9" w:rsidRDefault="00EA345C" w:rsidP="00907B44">
      <w:r>
        <w:rPr>
          <w:noProof/>
        </w:rPr>
        <w:pict w14:anchorId="1AD4EF67">
          <v:roundrect id="AutoShape 10" o:spid="_x0000_s1029" style="position:absolute;margin-left:-15pt;margin-top:-2.7pt;width:468.8pt;height:24.8pt;z-index:251672576;visibility:visible;mso-width-relative:margin;mso-height-relative:margin"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" fillcolor="#4f81bd [3204]" strokecolor="#f2f2f2 [3041]" strokeweight="3pt">
            <v:shadow on="t" color="#243f60 [1604]" opacity=".5" offset="1pt"/>
            <v:textbox>
              <w:txbxContent>
                <w:p w:rsidR="001051AC" w:rsidRPr="00A46D18" w:rsidRDefault="001051AC" w:rsidP="00907B44">
                  <w:pPr>
                    <w:rPr>
                      <w:color w:val="FFFFFF" w:themeColor="background1"/>
                    </w:rPr>
                  </w:pPr>
                  <w:r>
                    <w:rPr>
                      <w:b/>
                      <w:color w:val="FFFFFF" w:themeColor="background1"/>
                    </w:rPr>
                    <w:t>Differentiate training by role</w:t>
                  </w:r>
                </w:p>
              </w:txbxContent>
            </v:textbox>
          </v:roundrect>
        </w:pict>
      </w:r>
    </w:p>
    <w:p w:rsidR="00F7564B" w:rsidRDefault="006F31A7" w:rsidP="006F31A7">
      <w:r>
        <w:rPr>
          <w:noProof/>
          <w:lang w:eastAsia="zh-CN"/>
        </w:rPr>
        <w:drawing>
          <wp:anchor distT="0" distB="0" distL="114300" distR="114300" simplePos="0" relativeHeight="251694080" behindDoc="1" locked="0" layoutInCell="1" allowOverlap="1">
            <wp:simplePos x="0" y="0"/>
            <wp:positionH relativeFrom="column">
              <wp:posOffset>1712677</wp:posOffset>
            </wp:positionH>
            <wp:positionV relativeFrom="paragraph">
              <wp:posOffset>214878</wp:posOffset>
            </wp:positionV>
            <wp:extent cx="2984970" cy="1534602"/>
            <wp:effectExtent l="19050" t="0" r="5880" b="0"/>
            <wp:wrapNone/>
            <wp:docPr id="5" name="Picture 7"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result for open book clip art"/>
                    <pic:cNvPicPr>
                      <a:picLocks noChangeAspect="1" noChangeArrowheads="1"/>
                    </pic:cNvPicPr>
                  </pic:nvPicPr>
                  <pic:blipFill>
                    <a:blip r:embed="rId18" cstate="print">
                      <a:duotone>
                        <a:schemeClr val="accent5">
                          <a:shade val="45000"/>
                          <a:satMod val="135000"/>
                        </a:schemeClr>
                        <a:prstClr val="white"/>
                      </a:duotone>
                      <a:lum bright="30000" contrast="5000"/>
                    </a:blip>
                    <a:stretch>
                      <a:fillRect/>
                    </a:stretch>
                  </pic:blipFill>
                  <pic:spPr bwMode="auto">
                    <a:xfrm>
                      <a:off x="0" y="0"/>
                      <a:ext cx="2984970" cy="1534602"/>
                    </a:xfrm>
                    <a:prstGeom prst="rect">
                      <a:avLst/>
                    </a:prstGeom>
                    <a:noFill/>
                    <a:ln>
                      <a:noFill/>
                    </a:ln>
                  </pic:spPr>
                </pic:pic>
              </a:graphicData>
            </a:graphic>
          </wp:anchor>
        </w:drawing>
      </w:r>
      <w:r w:rsidR="00F7564B">
        <w:t>Though districts often offer PD targeted to teachers, they can leverage existing PD offerings to benefit SISPs’ work</w:t>
      </w:r>
      <w:r w:rsidR="00CB3C5E">
        <w:t xml:space="preserve">. </w:t>
      </w:r>
      <w:r w:rsidR="00F7564B">
        <w:t>Engaging SISPs for their input can make PD more relevant. If offering the same training for all educators, districts can allow staff to choose the topic/s relevant to their role; school psychologists might choose a special education training, for example. New SISPs and teachers do need development in some of the same areas. For example, SISPs also need to understand how to work with English learners and accommodate diverse cultures.</w:t>
      </w:r>
    </w:p>
    <w:p w:rsidR="006F31A7" w:rsidRDefault="00F7564B" w:rsidP="006F31A7">
      <w:r>
        <w:t xml:space="preserve">Districts can offer parallel, role-specific training, perhaps led by veteran SISPs and/or in collaboration with other districts. Online trainings for SISPs allow for more flexible schedules. </w:t>
      </w:r>
      <w:r w:rsidR="00704BAA">
        <w:t xml:space="preserve">SISPs should also receive role-specific training from mentors, grounded in daily work. For social </w:t>
      </w:r>
      <w:r w:rsidR="00617D57">
        <w:t>workers</w:t>
      </w:r>
      <w:r w:rsidR="00704BAA">
        <w:t xml:space="preserve">, going over a case study together can be a springboard for conversation and reflection. </w:t>
      </w:r>
    </w:p>
    <w:p w:rsidR="00030081" w:rsidRPr="00030081" w:rsidRDefault="00EA345C" w:rsidP="00196C1E">
      <w:pPr>
        <w:rPr>
          <w:b/>
        </w:rPr>
      </w:pPr>
      <w:r>
        <w:rPr>
          <w:b/>
          <w:noProof/>
        </w:rPr>
        <w:pict w14:anchorId="01CEA307">
          <v:roundrect id="AutoShape 11" o:spid="_x0000_s1031" style="position:absolute;margin-left:0;margin-top:1.85pt;width:468.8pt;height:24.8pt;z-index:251680768;visibility:visible;mso-width-relative:margin;mso-height-relative:margin"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" fillcolor="#4f81bd [3204]" strokecolor="#f2f2f2 [3041]" strokeweight="3pt">
            <v:shadow on="t" color="#243f60 [1604]" opacity=".5" offset="1pt"/>
            <v:textbox style="mso-next-textbox:#AutoShape 11">
              <w:txbxContent>
                <w:p w:rsidR="001051AC" w:rsidRPr="00A46D18" w:rsidRDefault="001051AC" w:rsidP="00881F5C">
                  <w:pPr>
                    <w:rPr>
                      <w:color w:val="FFFFFF" w:themeColor="background1"/>
                    </w:rPr>
                  </w:pPr>
                  <w:r>
                    <w:rPr>
                      <w:b/>
                      <w:color w:val="FFFFFF" w:themeColor="background1"/>
                    </w:rPr>
                    <w:t>Explore suggested resources for SISPs and administrators supporting new SISPs</w:t>
                  </w:r>
                </w:p>
              </w:txbxContent>
            </v:textbox>
          </v:roundrect>
        </w:pict>
      </w:r>
    </w:p>
    <w:tbl>
      <w:tblPr>
        <w:tblStyle w:val="GridTable2-Accent11"/>
        <w:tblpPr w:leftFromText="180" w:rightFromText="180" w:vertAnchor="text" w:horzAnchor="page" w:tblpX="1630" w:tblpY="324"/>
        <w:tblW w:w="0" w:type="auto"/>
        <w:tblLook w:val="04A0" w:firstRow="1" w:lastRow="0" w:firstColumn="1" w:lastColumn="0" w:noHBand="0" w:noVBand="1"/>
      </w:tblPr>
      <w:tblGrid>
        <w:gridCol w:w="9350"/>
      </w:tblGrid>
      <w:tr w:rsidR="00FA0E69" w:rsidTr="00FA0E69">
        <w:trPr>
          <w:cnfStyle w:val="100000000000" w:firstRow="1" w:lastRow="0" w:firstColumn="0" w:lastColumn="0" w:oddVBand="0" w:evenVBand="0" w:oddHBand="0" w:evenHBand="0" w:firstRowFirstColumn="0" w:firstRowLastColumn="0" w:lastRowFirstColumn="0" w:lastRowLastColumn="0"/>
          <w:trHeight w:val="67"/>
        </w:trPr>
        <w:tc>
          <w:tcPr>
            <w:cnfStyle w:val="001000000000" w:firstRow="0" w:lastRow="0" w:firstColumn="1" w:lastColumn="0" w:oddVBand="0" w:evenVBand="0" w:oddHBand="0" w:evenHBand="0" w:firstRowFirstColumn="0" w:firstRowLastColumn="0" w:lastRowFirstColumn="0" w:lastRowLastColumn="0"/>
            <w:tcW w:w="9350" w:type="dxa"/>
          </w:tcPr>
          <w:p w:rsidR="00FA0E69" w:rsidRPr="00FA0E69" w:rsidRDefault="00FA0E69" w:rsidP="00FA0E69">
            <w:pPr>
              <w:rPr>
                <w:sz w:val="4"/>
                <w:szCs w:val="4"/>
              </w:rPr>
            </w:pPr>
          </w:p>
        </w:tc>
      </w:tr>
      <w:tr w:rsidR="00FA0E69" w:rsidTr="00FA0E69">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9350" w:type="dxa"/>
          </w:tcPr>
          <w:p w:rsidR="00FA0E69" w:rsidRDefault="00FA0E69" w:rsidP="00FA0E69">
            <w:r>
              <w:t>For school psychologists</w:t>
            </w:r>
          </w:p>
        </w:tc>
      </w:tr>
      <w:tr w:rsidR="00FA0E69" w:rsidTr="00CB335F">
        <w:trPr>
          <w:trHeight w:val="687"/>
        </w:trPr>
        <w:tc>
          <w:tcPr>
            <w:cnfStyle w:val="001000000000" w:firstRow="0" w:lastRow="0" w:firstColumn="1" w:lastColumn="0" w:oddVBand="0" w:evenVBand="0" w:oddHBand="0" w:evenHBand="0" w:firstRowFirstColumn="0" w:firstRowLastColumn="0" w:lastRowFirstColumn="0" w:lastRowLastColumn="0"/>
            <w:tcW w:w="9350" w:type="dxa"/>
          </w:tcPr>
          <w:p w:rsidR="00FA0E69" w:rsidRDefault="00FA0E69" w:rsidP="00CB335F">
            <w:pPr>
              <w:pStyle w:val="ListParagraph"/>
              <w:numPr>
                <w:ilvl w:val="0"/>
                <w:numId w:val="8"/>
              </w:numPr>
            </w:pPr>
            <w:r>
              <w:rPr>
                <w:b w:val="0"/>
              </w:rPr>
              <w:t xml:space="preserve">National Association of School Psychologists </w:t>
            </w:r>
            <w:r w:rsidR="00110B56">
              <w:rPr>
                <w:b w:val="0"/>
              </w:rPr>
              <w:t xml:space="preserve">(NASP) </w:t>
            </w:r>
            <w:hyperlink r:id="rId19" w:history="1">
              <w:r>
                <w:rPr>
                  <w:rStyle w:val="Hyperlink"/>
                  <w:b w:val="0"/>
                </w:rPr>
                <w:t>Guidance for Postgraduate Mentorship and Professional Support</w:t>
              </w:r>
            </w:hyperlink>
          </w:p>
          <w:p w:rsidR="00110B56" w:rsidRPr="00110B56" w:rsidRDefault="00110B56" w:rsidP="00CB335F">
            <w:pPr>
              <w:pStyle w:val="ListParagraph"/>
              <w:numPr>
                <w:ilvl w:val="0"/>
                <w:numId w:val="8"/>
              </w:numPr>
              <w:rPr>
                <w:rStyle w:val="Strong"/>
                <w:b/>
                <w:bCs/>
              </w:rPr>
            </w:pPr>
            <w:r w:rsidRPr="00110B56">
              <w:rPr>
                <w:b w:val="0"/>
              </w:rPr>
              <w:t>NASP</w:t>
            </w:r>
            <w:r>
              <w:t xml:space="preserve"> </w:t>
            </w:r>
            <w:hyperlink r:id="rId20" w:history="1">
              <w:r>
                <w:rPr>
                  <w:rStyle w:val="Hyperlink"/>
                  <w:rFonts w:ascii="Helvetica" w:eastAsia="Times New Roman" w:hAnsi="Helvetica" w:cs="Helvetica"/>
                  <w:b w:val="0"/>
                  <w:bCs w:val="0"/>
                  <w:sz w:val="20"/>
                  <w:szCs w:val="20"/>
                </w:rPr>
                <w:t>Find-a-Mentor Program</w:t>
              </w:r>
            </w:hyperlink>
          </w:p>
          <w:p w:rsidR="00110B56" w:rsidRPr="005A36D0" w:rsidRDefault="00110B56" w:rsidP="00110B56">
            <w:pPr>
              <w:pStyle w:val="ListParagraph"/>
              <w:numPr>
                <w:ilvl w:val="0"/>
                <w:numId w:val="8"/>
              </w:numPr>
            </w:pPr>
            <w:r>
              <w:rPr>
                <w:b w:val="0"/>
              </w:rPr>
              <w:t xml:space="preserve">Massachusetts School Psychologists Association (MSPA) </w:t>
            </w:r>
            <w:hyperlink r:id="rId21" w:history="1">
              <w:r w:rsidRPr="00110B56">
                <w:rPr>
                  <w:rStyle w:val="Hyperlink"/>
                  <w:b w:val="0"/>
                </w:rPr>
                <w:t>contact information</w:t>
              </w:r>
            </w:hyperlink>
            <w:r>
              <w:rPr>
                <w:b w:val="0"/>
              </w:rPr>
              <w:t xml:space="preserve"> and </w:t>
            </w:r>
            <w:hyperlink r:id="rId22" w:history="1">
              <w:r w:rsidRPr="00110B56">
                <w:rPr>
                  <w:rStyle w:val="Hyperlink"/>
                  <w:b w:val="0"/>
                </w:rPr>
                <w:t>Professional Development</w:t>
              </w:r>
            </w:hyperlink>
            <w:r w:rsidRPr="00110B56">
              <w:rPr>
                <w:b w:val="0"/>
              </w:rPr>
              <w:t xml:space="preserve">    </w:t>
            </w:r>
          </w:p>
          <w:p w:rsidR="005A36D0" w:rsidRDefault="005A36D0" w:rsidP="005A36D0"/>
          <w:p w:rsidR="005A36D0" w:rsidRPr="005A36D0" w:rsidRDefault="005A36D0" w:rsidP="005A36D0"/>
        </w:tc>
      </w:tr>
      <w:tr w:rsidR="00FA0E69" w:rsidTr="00FA0E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rsidR="00FA0E69" w:rsidRPr="00C06EEA" w:rsidRDefault="00FA0E69" w:rsidP="00FA0E69">
            <w:r>
              <w:lastRenderedPageBreak/>
              <w:t>For school social workers</w:t>
            </w:r>
          </w:p>
        </w:tc>
      </w:tr>
      <w:tr w:rsidR="00FA0E69" w:rsidTr="00FA0E69">
        <w:tc>
          <w:tcPr>
            <w:cnfStyle w:val="001000000000" w:firstRow="0" w:lastRow="0" w:firstColumn="1" w:lastColumn="0" w:oddVBand="0" w:evenVBand="0" w:oddHBand="0" w:evenHBand="0" w:firstRowFirstColumn="0" w:firstRowLastColumn="0" w:lastRowFirstColumn="0" w:lastRowLastColumn="0"/>
            <w:tcW w:w="9350" w:type="dxa"/>
          </w:tcPr>
          <w:p w:rsidR="007B1179" w:rsidRDefault="007B1179" w:rsidP="00FA0E69">
            <w:pPr>
              <w:pStyle w:val="ListParagraph"/>
              <w:numPr>
                <w:ilvl w:val="0"/>
                <w:numId w:val="8"/>
              </w:numPr>
              <w:rPr>
                <w:b w:val="0"/>
              </w:rPr>
            </w:pPr>
            <w:r>
              <w:rPr>
                <w:b w:val="0"/>
              </w:rPr>
              <w:t xml:space="preserve">The National Association of Social Workers </w:t>
            </w:r>
            <w:r w:rsidR="004F512C">
              <w:rPr>
                <w:b w:val="0"/>
              </w:rPr>
              <w:t xml:space="preserve">(NASW) </w:t>
            </w:r>
            <w:r>
              <w:rPr>
                <w:b w:val="0"/>
              </w:rPr>
              <w:t xml:space="preserve">– MA Chapter hosts a Google group forum for licensed social workers to share ideas and questions; contact </w:t>
            </w:r>
            <w:hyperlink r:id="rId23" w:history="1">
              <w:r w:rsidRPr="007B1179">
                <w:rPr>
                  <w:rStyle w:val="Hyperlink"/>
                  <w:b w:val="0"/>
                </w:rPr>
                <w:t>jgoldenberg.naswma@socialworkers.org</w:t>
              </w:r>
            </w:hyperlink>
            <w:r w:rsidR="004F512C">
              <w:rPr>
                <w:b w:val="0"/>
              </w:rPr>
              <w:t xml:space="preserve"> for more information</w:t>
            </w:r>
          </w:p>
          <w:p w:rsidR="004F512C" w:rsidRPr="00431344" w:rsidRDefault="004F512C" w:rsidP="00FA0E69">
            <w:pPr>
              <w:pStyle w:val="ListParagraph"/>
              <w:numPr>
                <w:ilvl w:val="0"/>
                <w:numId w:val="8"/>
              </w:numPr>
              <w:rPr>
                <w:b w:val="0"/>
              </w:rPr>
            </w:pPr>
            <w:r>
              <w:rPr>
                <w:b w:val="0"/>
              </w:rPr>
              <w:t>The NASW - MA School So</w:t>
            </w:r>
            <w:r w:rsidR="00C63661">
              <w:rPr>
                <w:b w:val="0"/>
              </w:rPr>
              <w:t>cial Work Shared Interest Group</w:t>
            </w:r>
            <w:r>
              <w:rPr>
                <w:b w:val="0"/>
              </w:rPr>
              <w:t xml:space="preserve"> contact</w:t>
            </w:r>
            <w:r w:rsidR="00C63661">
              <w:rPr>
                <w:b w:val="0"/>
              </w:rPr>
              <w:t>:</w:t>
            </w:r>
            <w:r>
              <w:rPr>
                <w:b w:val="0"/>
              </w:rPr>
              <w:t xml:space="preserve"> </w:t>
            </w:r>
            <w:r>
              <w:rPr>
                <w:rFonts w:ascii="Arial" w:hAnsi="Arial" w:cs="Arial"/>
                <w:b w:val="0"/>
                <w:bCs w:val="0"/>
                <w:color w:val="333333"/>
                <w:sz w:val="18"/>
                <w:szCs w:val="18"/>
                <w:shd w:val="clear" w:color="auto" w:fill="FFFFFF"/>
              </w:rPr>
              <w:t xml:space="preserve"> </w:t>
            </w:r>
            <w:hyperlink r:id="rId24" w:history="1">
              <w:r w:rsidRPr="004F512C">
                <w:rPr>
                  <w:rStyle w:val="Hyperlink"/>
                  <w:b w:val="0"/>
                </w:rPr>
                <w:t>Chapter@naswma.org</w:t>
              </w:r>
            </w:hyperlink>
          </w:p>
        </w:tc>
      </w:tr>
      <w:tr w:rsidR="00FA0E69" w:rsidTr="00FA0E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rsidR="00FA0E69" w:rsidRPr="00C06EEA" w:rsidRDefault="00FA0E69" w:rsidP="00FA0E69">
            <w:pPr>
              <w:rPr>
                <w:b w:val="0"/>
              </w:rPr>
            </w:pPr>
            <w:r>
              <w:t>For school nurses</w:t>
            </w:r>
          </w:p>
        </w:tc>
      </w:tr>
      <w:tr w:rsidR="00FA0E69" w:rsidTr="00FA0E69">
        <w:tc>
          <w:tcPr>
            <w:cnfStyle w:val="001000000000" w:firstRow="0" w:lastRow="0" w:firstColumn="1" w:lastColumn="0" w:oddVBand="0" w:evenVBand="0" w:oddHBand="0" w:evenHBand="0" w:firstRowFirstColumn="0" w:firstRowLastColumn="0" w:lastRowFirstColumn="0" w:lastRowLastColumn="0"/>
            <w:tcW w:w="9350" w:type="dxa"/>
          </w:tcPr>
          <w:p w:rsidR="00FA0E69" w:rsidRDefault="00FA0E69" w:rsidP="009733D0">
            <w:pPr>
              <w:pStyle w:val="ListParagraph"/>
              <w:numPr>
                <w:ilvl w:val="0"/>
                <w:numId w:val="2"/>
              </w:numPr>
              <w:rPr>
                <w:b w:val="0"/>
              </w:rPr>
            </w:pPr>
            <w:r w:rsidRPr="00431344">
              <w:rPr>
                <w:b w:val="0"/>
              </w:rPr>
              <w:t xml:space="preserve">The MA Dept. of Public Health </w:t>
            </w:r>
            <w:hyperlink r:id="rId25" w:history="1">
              <w:r w:rsidR="009733D0" w:rsidRPr="009733D0">
                <w:rPr>
                  <w:rStyle w:val="Hyperlink"/>
                  <w:b w:val="0"/>
                </w:rPr>
                <w:t>School Health Services</w:t>
              </w:r>
            </w:hyperlink>
            <w:r w:rsidR="009733D0">
              <w:rPr>
                <w:b w:val="0"/>
              </w:rPr>
              <w:t xml:space="preserve"> </w:t>
            </w:r>
            <w:r w:rsidRPr="00431344">
              <w:rPr>
                <w:b w:val="0"/>
              </w:rPr>
              <w:t>offers regional advisers that support school nurses</w:t>
            </w:r>
          </w:p>
          <w:p w:rsidR="0002759F" w:rsidRPr="00431344" w:rsidRDefault="0002759F" w:rsidP="009733D0">
            <w:pPr>
              <w:pStyle w:val="ListParagraph"/>
              <w:numPr>
                <w:ilvl w:val="0"/>
                <w:numId w:val="2"/>
              </w:numPr>
              <w:rPr>
                <w:b w:val="0"/>
              </w:rPr>
            </w:pPr>
            <w:r>
              <w:rPr>
                <w:b w:val="0"/>
              </w:rPr>
              <w:t>The MA School Nurse Organization contact</w:t>
            </w:r>
            <w:r w:rsidR="00C63661">
              <w:rPr>
                <w:b w:val="0"/>
              </w:rPr>
              <w:t>:</w:t>
            </w:r>
            <w:r>
              <w:rPr>
                <w:b w:val="0"/>
              </w:rPr>
              <w:t xml:space="preserve"> </w:t>
            </w:r>
            <w:hyperlink r:id="rId26" w:history="1">
              <w:r w:rsidRPr="0002759F">
                <w:rPr>
                  <w:rStyle w:val="Hyperlink"/>
                  <w:b w:val="0"/>
                </w:rPr>
                <w:t>president@msno.org</w:t>
              </w:r>
            </w:hyperlink>
            <w:r>
              <w:rPr>
                <w:b w:val="0"/>
              </w:rPr>
              <w:t xml:space="preserve"> </w:t>
            </w:r>
          </w:p>
        </w:tc>
      </w:tr>
      <w:tr w:rsidR="00FA0E69" w:rsidTr="00FA0E69">
        <w:trPr>
          <w:cnfStyle w:val="000000100000" w:firstRow="0" w:lastRow="0" w:firstColumn="0" w:lastColumn="0" w:oddVBand="0" w:evenVBand="0" w:oddHBand="1" w:evenHBand="0" w:firstRowFirstColumn="0" w:firstRowLastColumn="0" w:lastRowFirstColumn="0" w:lastRowLastColumn="0"/>
          <w:trHeight w:val="247"/>
        </w:trPr>
        <w:tc>
          <w:tcPr>
            <w:cnfStyle w:val="001000000000" w:firstRow="0" w:lastRow="0" w:firstColumn="1" w:lastColumn="0" w:oddVBand="0" w:evenVBand="0" w:oddHBand="0" w:evenHBand="0" w:firstRowFirstColumn="0" w:firstRowLastColumn="0" w:lastRowFirstColumn="0" w:lastRowLastColumn="0"/>
            <w:tcW w:w="9350" w:type="dxa"/>
          </w:tcPr>
          <w:p w:rsidR="00FA0E69" w:rsidRDefault="00FA0E69" w:rsidP="00FA0E69">
            <w:r>
              <w:t>For school counselors</w:t>
            </w:r>
          </w:p>
        </w:tc>
      </w:tr>
      <w:tr w:rsidR="00FA0E69" w:rsidRPr="00EA345C" w:rsidTr="00FA0E69">
        <w:trPr>
          <w:trHeight w:val="247"/>
        </w:trPr>
        <w:tc>
          <w:tcPr>
            <w:cnfStyle w:val="001000000000" w:firstRow="0" w:lastRow="0" w:firstColumn="1" w:lastColumn="0" w:oddVBand="0" w:evenVBand="0" w:oddHBand="0" w:evenHBand="0" w:firstRowFirstColumn="0" w:firstRowLastColumn="0" w:lastRowFirstColumn="0" w:lastRowLastColumn="0"/>
            <w:tcW w:w="9350" w:type="dxa"/>
          </w:tcPr>
          <w:p w:rsidR="007B1179" w:rsidRDefault="00FA0E69" w:rsidP="001E142D">
            <w:pPr>
              <w:pStyle w:val="ListParagraph"/>
              <w:numPr>
                <w:ilvl w:val="0"/>
                <w:numId w:val="2"/>
              </w:numPr>
              <w:rPr>
                <w:b w:val="0"/>
              </w:rPr>
            </w:pPr>
            <w:r w:rsidRPr="00431344">
              <w:rPr>
                <w:b w:val="0"/>
              </w:rPr>
              <w:t>Mentors and mentees can go through the MA School Counselors Association</w:t>
            </w:r>
            <w:r w:rsidR="00C63661">
              <w:rPr>
                <w:b w:val="0"/>
              </w:rPr>
              <w:t xml:space="preserve"> (MASCA)</w:t>
            </w:r>
            <w:r w:rsidRPr="00431344">
              <w:rPr>
                <w:b w:val="0"/>
              </w:rPr>
              <w:t xml:space="preserve"> </w:t>
            </w:r>
            <w:hyperlink r:id="rId27" w:history="1">
              <w:r w:rsidR="001E142D" w:rsidRPr="001E142D">
                <w:rPr>
                  <w:rStyle w:val="Hyperlink"/>
                  <w:b w:val="0"/>
                </w:rPr>
                <w:t>MA Model for School Counselors</w:t>
              </w:r>
            </w:hyperlink>
            <w:r w:rsidR="001E142D" w:rsidRPr="001E142D">
              <w:rPr>
                <w:b w:val="0"/>
              </w:rPr>
              <w:t xml:space="preserve"> </w:t>
            </w:r>
            <w:r w:rsidRPr="00431344">
              <w:rPr>
                <w:b w:val="0"/>
              </w:rPr>
              <w:t>together</w:t>
            </w:r>
          </w:p>
          <w:p w:rsidR="001E142D" w:rsidRPr="00EA345C" w:rsidRDefault="001E142D" w:rsidP="001E142D">
            <w:pPr>
              <w:pStyle w:val="ListParagraph"/>
              <w:numPr>
                <w:ilvl w:val="0"/>
                <w:numId w:val="2"/>
              </w:numPr>
              <w:rPr>
                <w:b w:val="0"/>
                <w:lang w:val="pt-BR"/>
              </w:rPr>
            </w:pPr>
            <w:r w:rsidRPr="00EA345C">
              <w:rPr>
                <w:b w:val="0"/>
                <w:lang w:val="pt-BR"/>
              </w:rPr>
              <w:t xml:space="preserve">MASCA contact: </w:t>
            </w:r>
            <w:hyperlink r:id="rId28" w:history="1">
              <w:r w:rsidRPr="00EA345C">
                <w:rPr>
                  <w:rStyle w:val="Hyperlink"/>
                  <w:b w:val="0"/>
                  <w:lang w:val="pt-BR"/>
                </w:rPr>
                <w:t>president@masca.org</w:t>
              </w:r>
            </w:hyperlink>
          </w:p>
        </w:tc>
      </w:tr>
      <w:tr w:rsidR="00FA0E69" w:rsidTr="00FA0E69">
        <w:trPr>
          <w:cnfStyle w:val="000000100000" w:firstRow="0" w:lastRow="0" w:firstColumn="0" w:lastColumn="0" w:oddVBand="0" w:evenVBand="0" w:oddHBand="1" w:evenHBand="0" w:firstRowFirstColumn="0" w:firstRowLastColumn="0" w:lastRowFirstColumn="0" w:lastRowLastColumn="0"/>
          <w:trHeight w:val="247"/>
        </w:trPr>
        <w:tc>
          <w:tcPr>
            <w:cnfStyle w:val="001000000000" w:firstRow="0" w:lastRow="0" w:firstColumn="1" w:lastColumn="0" w:oddVBand="0" w:evenVBand="0" w:oddHBand="0" w:evenHBand="0" w:firstRowFirstColumn="0" w:firstRowLastColumn="0" w:lastRowFirstColumn="0" w:lastRowLastColumn="0"/>
            <w:tcW w:w="9350" w:type="dxa"/>
            <w:shd w:val="clear" w:color="auto" w:fill="auto"/>
          </w:tcPr>
          <w:p w:rsidR="00FA0E69" w:rsidRPr="00A57AC2" w:rsidRDefault="00FA0E69" w:rsidP="00FA0E69">
            <w:pPr>
              <w:rPr>
                <w:b w:val="0"/>
                <w:color w:val="4F81BD" w:themeColor="accent1"/>
              </w:rPr>
            </w:pPr>
            <w:r w:rsidRPr="00A57AC2">
              <w:rPr>
                <w:color w:val="4F81BD" w:themeColor="accent1"/>
              </w:rPr>
              <w:t xml:space="preserve">All SISP mentors and mentees </w:t>
            </w:r>
            <w:r w:rsidR="00ED7675" w:rsidRPr="00A57AC2">
              <w:rPr>
                <w:b w:val="0"/>
                <w:color w:val="4F81BD" w:themeColor="accent1"/>
              </w:rPr>
              <w:t>can also consult:</w:t>
            </w:r>
          </w:p>
          <w:p w:rsidR="00CC7F99" w:rsidRPr="00A57AC2" w:rsidRDefault="00CC7F99" w:rsidP="0076124F">
            <w:pPr>
              <w:pStyle w:val="ListParagraph"/>
              <w:numPr>
                <w:ilvl w:val="0"/>
                <w:numId w:val="2"/>
              </w:numPr>
              <w:rPr>
                <w:b w:val="0"/>
                <w:color w:val="4F81BD" w:themeColor="accent1"/>
              </w:rPr>
            </w:pPr>
            <w:r w:rsidRPr="00A57AC2">
              <w:rPr>
                <w:b w:val="0"/>
                <w:color w:val="4F81BD" w:themeColor="accent1"/>
              </w:rPr>
              <w:t xml:space="preserve">Educator Evaluation </w:t>
            </w:r>
            <w:hyperlink r:id="rId29" w:history="1">
              <w:r w:rsidRPr="00A57AC2">
                <w:rPr>
                  <w:rStyle w:val="Hyperlink"/>
                  <w:b w:val="0"/>
                  <w:color w:val="4F81BD" w:themeColor="accent1"/>
                </w:rPr>
                <w:t>rubrics</w:t>
              </w:r>
            </w:hyperlink>
            <w:r w:rsidRPr="00A57AC2">
              <w:rPr>
                <w:b w:val="0"/>
                <w:color w:val="4F81BD" w:themeColor="accent1"/>
              </w:rPr>
              <w:t xml:space="preserve"> for SISP</w:t>
            </w:r>
            <w:r w:rsidR="006254A6" w:rsidRPr="00A57AC2">
              <w:rPr>
                <w:b w:val="0"/>
                <w:color w:val="4F81BD" w:themeColor="accent1"/>
              </w:rPr>
              <w:t>s</w:t>
            </w:r>
          </w:p>
          <w:p w:rsidR="0076124F" w:rsidRPr="00A57AC2" w:rsidRDefault="0076124F" w:rsidP="0076124F">
            <w:pPr>
              <w:pStyle w:val="ListParagraph"/>
              <w:numPr>
                <w:ilvl w:val="0"/>
                <w:numId w:val="2"/>
              </w:numPr>
              <w:rPr>
                <w:b w:val="0"/>
                <w:color w:val="4F81BD" w:themeColor="accent1"/>
              </w:rPr>
            </w:pPr>
            <w:r w:rsidRPr="00A57AC2">
              <w:rPr>
                <w:b w:val="0"/>
                <w:color w:val="4F81BD" w:themeColor="accent1"/>
              </w:rPr>
              <w:t>state/national organization for their SISP role (i.e. American School Counseling Association)</w:t>
            </w:r>
          </w:p>
          <w:p w:rsidR="0076124F" w:rsidRPr="00A57AC2" w:rsidRDefault="0076124F" w:rsidP="0076124F">
            <w:pPr>
              <w:pStyle w:val="ListParagraph"/>
              <w:numPr>
                <w:ilvl w:val="0"/>
                <w:numId w:val="2"/>
              </w:numPr>
              <w:rPr>
                <w:b w:val="0"/>
                <w:color w:val="4F81BD" w:themeColor="accent1"/>
              </w:rPr>
            </w:pPr>
            <w:r w:rsidRPr="00A57AC2">
              <w:rPr>
                <w:b w:val="0"/>
                <w:color w:val="4F81BD" w:themeColor="accent1"/>
              </w:rPr>
              <w:t xml:space="preserve">state governing body for their profession (i.e. </w:t>
            </w:r>
            <w:r w:rsidR="00ED7675" w:rsidRPr="00A57AC2">
              <w:rPr>
                <w:b w:val="0"/>
                <w:color w:val="4F81BD" w:themeColor="accent1"/>
              </w:rPr>
              <w:t>Health and Human Services for nurses)</w:t>
            </w:r>
          </w:p>
          <w:p w:rsidR="0076124F" w:rsidRPr="0076124F" w:rsidRDefault="0076124F" w:rsidP="0076124F">
            <w:pPr>
              <w:pStyle w:val="ListParagraph"/>
              <w:numPr>
                <w:ilvl w:val="0"/>
                <w:numId w:val="2"/>
              </w:numPr>
              <w:rPr>
                <w:color w:val="4F81BD" w:themeColor="accent1"/>
              </w:rPr>
            </w:pPr>
            <w:r w:rsidRPr="00A57AC2">
              <w:rPr>
                <w:b w:val="0"/>
                <w:color w:val="4F81BD" w:themeColor="accent1"/>
              </w:rPr>
              <w:t>alma maters</w:t>
            </w:r>
          </w:p>
        </w:tc>
      </w:tr>
    </w:tbl>
    <w:p w:rsidR="00387FE3" w:rsidRPr="00387FE3" w:rsidRDefault="00387FE3"/>
    <w:sectPr w:rsidR="00387FE3" w:rsidRPr="00387FE3" w:rsidSect="00E47EFA">
      <w:headerReference w:type="default" r:id="rId30"/>
      <w:footerReference w:type="default" r:id="rId3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D3733" w:rsidRDefault="005D3733" w:rsidP="009867D8">
      <w:pPr>
        <w:spacing w:after="0" w:line="240" w:lineRule="auto"/>
      </w:pPr>
      <w:r>
        <w:separator/>
      </w:r>
    </w:p>
  </w:endnote>
  <w:endnote w:type="continuationSeparator" w:id="0">
    <w:p w:rsidR="005D3733" w:rsidRDefault="005D3733" w:rsidP="009867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9518938"/>
      <w:docPartObj>
        <w:docPartGallery w:val="Page Numbers (Bottom of Page)"/>
        <w:docPartUnique/>
      </w:docPartObj>
    </w:sdtPr>
    <w:sdtEndPr/>
    <w:sdtContent>
      <w:p w:rsidR="001051AC" w:rsidRDefault="005D3733">
        <w:pPr>
          <w:pStyle w:val="Footer"/>
          <w:jc w:val="right"/>
        </w:pPr>
        <w:r>
          <w:fldChar w:fldCharType="begin"/>
        </w:r>
        <w:r>
          <w:instrText xml:space="preserve"> PAGE   \* MERGEFORMAT </w:instrText>
        </w:r>
        <w:r>
          <w:fldChar w:fldCharType="separate"/>
        </w:r>
        <w:r w:rsidR="00DD52E1">
          <w:rPr>
            <w:noProof/>
          </w:rPr>
          <w:t>2</w:t>
        </w:r>
        <w:r>
          <w:rPr>
            <w:noProof/>
          </w:rPr>
          <w:fldChar w:fldCharType="end"/>
        </w:r>
      </w:p>
    </w:sdtContent>
  </w:sdt>
  <w:p w:rsidR="001051AC" w:rsidRDefault="001051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D3733" w:rsidRDefault="005D3733" w:rsidP="009867D8">
      <w:pPr>
        <w:spacing w:after="0" w:line="240" w:lineRule="auto"/>
      </w:pPr>
      <w:r>
        <w:separator/>
      </w:r>
    </w:p>
  </w:footnote>
  <w:footnote w:type="continuationSeparator" w:id="0">
    <w:p w:rsidR="005D3733" w:rsidRDefault="005D3733" w:rsidP="009867D8">
      <w:pPr>
        <w:spacing w:after="0" w:line="240" w:lineRule="auto"/>
      </w:pPr>
      <w:r>
        <w:continuationSeparator/>
      </w:r>
    </w:p>
  </w:footnote>
  <w:footnote w:id="1">
    <w:p w:rsidR="001051AC" w:rsidRDefault="001051AC">
      <w:pPr>
        <w:pStyle w:val="FootnoteText"/>
      </w:pPr>
      <w:r>
        <w:rPr>
          <w:rStyle w:val="FootnoteReference"/>
        </w:rPr>
        <w:footnoteRef/>
      </w:r>
      <w:r>
        <w:t xml:space="preserve"> Content based on interviews with representatives from the following professional organizations: Massachusetts School Counselors Association (Ruth Carrigan, President); National </w:t>
      </w:r>
      <w:r w:rsidR="00E3415B">
        <w:t>Association of Social Workers–</w:t>
      </w:r>
      <w:r>
        <w:t xml:space="preserve">Massachusetts (Jennifer Orcutt, Co-chair of the School Social Work Shared Interest Group); Massachusetts School Psychologists Association (Kristine Camacho, President; Bob Lichtenstein, </w:t>
      </w:r>
      <w:proofErr w:type="spellStart"/>
      <w:r>
        <w:t>Chieh</w:t>
      </w:r>
      <w:proofErr w:type="spellEnd"/>
      <w:r>
        <w:t xml:space="preserve"> Li, Barbara Miller); and Massachusetts School Nurses Association (</w:t>
      </w:r>
      <w:proofErr w:type="spellStart"/>
      <w:r>
        <w:t>Carilyn</w:t>
      </w:r>
      <w:proofErr w:type="spellEnd"/>
      <w:r>
        <w:t xml:space="preserve"> Rains, Past President); also with the Massachusetts Dept. of Public Health (Mary </w:t>
      </w:r>
      <w:proofErr w:type="spellStart"/>
      <w:r>
        <w:t>Gapinski</w:t>
      </w:r>
      <w:proofErr w:type="spellEnd"/>
      <w:r>
        <w:t>, Director of School Health)</w:t>
      </w:r>
    </w:p>
  </w:footnote>
  <w:footnote w:id="2">
    <w:p w:rsidR="001051AC" w:rsidRDefault="001051AC">
      <w:pPr>
        <w:pStyle w:val="FootnoteText"/>
      </w:pPr>
      <w:r>
        <w:rPr>
          <w:rStyle w:val="FootnoteReference"/>
        </w:rPr>
        <w:footnoteRef/>
      </w:r>
      <w:r>
        <w:t xml:space="preserve"> A National Commission for Teaching and America’s Future (NCTAF) study found the cost of recruiting, hiring and training a replacement teacher ranges from about $4,400 in a rural district to more than $17,000 in a large urban district. NCTAF (2007). The High Cost of Teacher Turnover. </w:t>
      </w:r>
      <w:hyperlink r:id="rId1" w:history="1">
        <w:r w:rsidRPr="00D61E98">
          <w:rPr>
            <w:rStyle w:val="Hyperlink"/>
          </w:rPr>
          <w:t>https://nctaf.org/wp-content/uploads/NCTAFCostofTeacherTurnoverpolicybrief.pdf</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51AC" w:rsidRDefault="001051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274E5"/>
    <w:multiLevelType w:val="hybridMultilevel"/>
    <w:tmpl w:val="E9BA09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7B039C"/>
    <w:multiLevelType w:val="hybridMultilevel"/>
    <w:tmpl w:val="AF4EF794"/>
    <w:lvl w:ilvl="0" w:tplc="B0BE007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4D5703"/>
    <w:multiLevelType w:val="hybridMultilevel"/>
    <w:tmpl w:val="0AB2A748"/>
    <w:lvl w:ilvl="0" w:tplc="EEF4A706">
      <w:start w:val="2"/>
      <w:numFmt w:val="bullet"/>
      <w:lvlText w:val=""/>
      <w:lvlJc w:val="left"/>
      <w:pPr>
        <w:ind w:left="360" w:hanging="360"/>
      </w:pPr>
      <w:rPr>
        <w:rFonts w:ascii="Symbol" w:eastAsia="Cambria" w:hAnsi="Symbol" w:cs="Arial" w:hint="default"/>
        <w:i w:val="0"/>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E446E806">
      <w:numFmt w:val="bullet"/>
      <w:lvlText w:val=""/>
      <w:lvlJc w:val="left"/>
      <w:pPr>
        <w:ind w:left="2520" w:hanging="360"/>
      </w:pPr>
      <w:rPr>
        <w:rFonts w:ascii="Wingdings" w:eastAsia="Cambria" w:hAnsi="Wingdings" w:cs="Times New Roman"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2C0282C"/>
    <w:multiLevelType w:val="hybridMultilevel"/>
    <w:tmpl w:val="667CFB80"/>
    <w:lvl w:ilvl="0" w:tplc="87B0E3D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994A0A"/>
    <w:multiLevelType w:val="hybridMultilevel"/>
    <w:tmpl w:val="18DABDE8"/>
    <w:lvl w:ilvl="0" w:tplc="5798C304">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13207F"/>
    <w:multiLevelType w:val="hybridMultilevel"/>
    <w:tmpl w:val="A912AAF4"/>
    <w:lvl w:ilvl="0" w:tplc="2BE67B0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CD05145"/>
    <w:multiLevelType w:val="hybridMultilevel"/>
    <w:tmpl w:val="71621C0E"/>
    <w:lvl w:ilvl="0" w:tplc="08A6370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E2F7A76"/>
    <w:multiLevelType w:val="hybridMultilevel"/>
    <w:tmpl w:val="19206040"/>
    <w:lvl w:ilvl="0" w:tplc="2A901EC0">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75E514C"/>
    <w:multiLevelType w:val="hybridMultilevel"/>
    <w:tmpl w:val="DD56D210"/>
    <w:lvl w:ilvl="0" w:tplc="03E4AF1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50A5DBB"/>
    <w:multiLevelType w:val="hybridMultilevel"/>
    <w:tmpl w:val="8838490A"/>
    <w:lvl w:ilvl="0" w:tplc="613492F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886794B"/>
    <w:multiLevelType w:val="hybridMultilevel"/>
    <w:tmpl w:val="D9EAA58C"/>
    <w:lvl w:ilvl="0" w:tplc="5BD8088A">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4"/>
  </w:num>
  <w:num w:numId="4">
    <w:abstractNumId w:val="5"/>
  </w:num>
  <w:num w:numId="5">
    <w:abstractNumId w:val="0"/>
  </w:num>
  <w:num w:numId="6">
    <w:abstractNumId w:val="7"/>
  </w:num>
  <w:num w:numId="7">
    <w:abstractNumId w:val="1"/>
  </w:num>
  <w:num w:numId="8">
    <w:abstractNumId w:val="9"/>
  </w:num>
  <w:num w:numId="9">
    <w:abstractNumId w:val="2"/>
  </w:num>
  <w:num w:numId="10">
    <w:abstractNumId w:val="1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F5B34"/>
    <w:rsid w:val="00006BE0"/>
    <w:rsid w:val="00017D12"/>
    <w:rsid w:val="00023071"/>
    <w:rsid w:val="0002759F"/>
    <w:rsid w:val="00030081"/>
    <w:rsid w:val="00041CE0"/>
    <w:rsid w:val="00045961"/>
    <w:rsid w:val="00082481"/>
    <w:rsid w:val="0009173E"/>
    <w:rsid w:val="000948C4"/>
    <w:rsid w:val="000B4CC2"/>
    <w:rsid w:val="000B5C84"/>
    <w:rsid w:val="000C1D29"/>
    <w:rsid w:val="000C3280"/>
    <w:rsid w:val="000D5E3B"/>
    <w:rsid w:val="000E6955"/>
    <w:rsid w:val="000F4FC6"/>
    <w:rsid w:val="001021FE"/>
    <w:rsid w:val="001051AC"/>
    <w:rsid w:val="00110B56"/>
    <w:rsid w:val="00121794"/>
    <w:rsid w:val="00154C71"/>
    <w:rsid w:val="00170FFF"/>
    <w:rsid w:val="00177A01"/>
    <w:rsid w:val="00180F5C"/>
    <w:rsid w:val="00190835"/>
    <w:rsid w:val="0019146C"/>
    <w:rsid w:val="00196C1E"/>
    <w:rsid w:val="001B22FC"/>
    <w:rsid w:val="001D216F"/>
    <w:rsid w:val="001D6E34"/>
    <w:rsid w:val="001E142D"/>
    <w:rsid w:val="001E54BD"/>
    <w:rsid w:val="001F123D"/>
    <w:rsid w:val="001F1A0A"/>
    <w:rsid w:val="001F1CAF"/>
    <w:rsid w:val="0020391E"/>
    <w:rsid w:val="00230AC5"/>
    <w:rsid w:val="0027670D"/>
    <w:rsid w:val="00285525"/>
    <w:rsid w:val="00291B93"/>
    <w:rsid w:val="00295FFC"/>
    <w:rsid w:val="002C0422"/>
    <w:rsid w:val="002F3135"/>
    <w:rsid w:val="002F73AB"/>
    <w:rsid w:val="00306965"/>
    <w:rsid w:val="00313C7D"/>
    <w:rsid w:val="0031488D"/>
    <w:rsid w:val="00327B25"/>
    <w:rsid w:val="0033726A"/>
    <w:rsid w:val="00367D8F"/>
    <w:rsid w:val="00371F4B"/>
    <w:rsid w:val="00381CA5"/>
    <w:rsid w:val="00387FE3"/>
    <w:rsid w:val="00390336"/>
    <w:rsid w:val="003A35EE"/>
    <w:rsid w:val="003D0AF0"/>
    <w:rsid w:val="003D2974"/>
    <w:rsid w:val="003D4BD2"/>
    <w:rsid w:val="004259A6"/>
    <w:rsid w:val="00431344"/>
    <w:rsid w:val="00435E97"/>
    <w:rsid w:val="00453037"/>
    <w:rsid w:val="00455DAE"/>
    <w:rsid w:val="00463A4B"/>
    <w:rsid w:val="004801E4"/>
    <w:rsid w:val="004A0FB1"/>
    <w:rsid w:val="004A2AF5"/>
    <w:rsid w:val="004A70C4"/>
    <w:rsid w:val="004B5904"/>
    <w:rsid w:val="004C1FD5"/>
    <w:rsid w:val="004C2944"/>
    <w:rsid w:val="004C37BD"/>
    <w:rsid w:val="004D5922"/>
    <w:rsid w:val="004E3160"/>
    <w:rsid w:val="004F512C"/>
    <w:rsid w:val="0050276D"/>
    <w:rsid w:val="00514D75"/>
    <w:rsid w:val="00516BFF"/>
    <w:rsid w:val="0053750D"/>
    <w:rsid w:val="005672BE"/>
    <w:rsid w:val="00580B51"/>
    <w:rsid w:val="00590CA8"/>
    <w:rsid w:val="005926CC"/>
    <w:rsid w:val="005A3318"/>
    <w:rsid w:val="005A36D0"/>
    <w:rsid w:val="005A6AA5"/>
    <w:rsid w:val="005B36A5"/>
    <w:rsid w:val="005B4A5A"/>
    <w:rsid w:val="005D35A9"/>
    <w:rsid w:val="005D3733"/>
    <w:rsid w:val="005D6E07"/>
    <w:rsid w:val="005E7E71"/>
    <w:rsid w:val="005F0781"/>
    <w:rsid w:val="005F5B34"/>
    <w:rsid w:val="00602E9B"/>
    <w:rsid w:val="006066B3"/>
    <w:rsid w:val="00611C22"/>
    <w:rsid w:val="006132AA"/>
    <w:rsid w:val="00617D57"/>
    <w:rsid w:val="006254A6"/>
    <w:rsid w:val="006259B4"/>
    <w:rsid w:val="006318EC"/>
    <w:rsid w:val="00650B7E"/>
    <w:rsid w:val="00654679"/>
    <w:rsid w:val="0066391B"/>
    <w:rsid w:val="00681239"/>
    <w:rsid w:val="00686885"/>
    <w:rsid w:val="006A408C"/>
    <w:rsid w:val="006B515E"/>
    <w:rsid w:val="006B685C"/>
    <w:rsid w:val="006D13ED"/>
    <w:rsid w:val="006E5DF8"/>
    <w:rsid w:val="006F31A7"/>
    <w:rsid w:val="00704BAA"/>
    <w:rsid w:val="0071627D"/>
    <w:rsid w:val="0071681F"/>
    <w:rsid w:val="00716A80"/>
    <w:rsid w:val="007179B2"/>
    <w:rsid w:val="00735741"/>
    <w:rsid w:val="00743676"/>
    <w:rsid w:val="0076124F"/>
    <w:rsid w:val="00774CD6"/>
    <w:rsid w:val="0077643D"/>
    <w:rsid w:val="00780725"/>
    <w:rsid w:val="00791283"/>
    <w:rsid w:val="007948BD"/>
    <w:rsid w:val="00797C24"/>
    <w:rsid w:val="007A1600"/>
    <w:rsid w:val="007B1179"/>
    <w:rsid w:val="007C2C3A"/>
    <w:rsid w:val="007D24E2"/>
    <w:rsid w:val="007D2A03"/>
    <w:rsid w:val="007D4858"/>
    <w:rsid w:val="007D6AB1"/>
    <w:rsid w:val="008102EF"/>
    <w:rsid w:val="00837369"/>
    <w:rsid w:val="00837682"/>
    <w:rsid w:val="00842C08"/>
    <w:rsid w:val="0086543F"/>
    <w:rsid w:val="00865BC2"/>
    <w:rsid w:val="0087104C"/>
    <w:rsid w:val="0087215D"/>
    <w:rsid w:val="00881F5C"/>
    <w:rsid w:val="00886E5B"/>
    <w:rsid w:val="00891C9E"/>
    <w:rsid w:val="00893F9A"/>
    <w:rsid w:val="008A0010"/>
    <w:rsid w:val="008A0577"/>
    <w:rsid w:val="008A2877"/>
    <w:rsid w:val="008A396D"/>
    <w:rsid w:val="008C7360"/>
    <w:rsid w:val="008E7B5C"/>
    <w:rsid w:val="008F33B3"/>
    <w:rsid w:val="008F5907"/>
    <w:rsid w:val="0090060F"/>
    <w:rsid w:val="00907B44"/>
    <w:rsid w:val="0094251B"/>
    <w:rsid w:val="00944210"/>
    <w:rsid w:val="0095323D"/>
    <w:rsid w:val="00955BEE"/>
    <w:rsid w:val="009716C1"/>
    <w:rsid w:val="009733D0"/>
    <w:rsid w:val="0097583F"/>
    <w:rsid w:val="00976028"/>
    <w:rsid w:val="009867D8"/>
    <w:rsid w:val="009A32D8"/>
    <w:rsid w:val="009A7F8B"/>
    <w:rsid w:val="009B466E"/>
    <w:rsid w:val="009D0639"/>
    <w:rsid w:val="009D0B38"/>
    <w:rsid w:val="009D63D1"/>
    <w:rsid w:val="00A02ED5"/>
    <w:rsid w:val="00A217BB"/>
    <w:rsid w:val="00A25FDD"/>
    <w:rsid w:val="00A35708"/>
    <w:rsid w:val="00A4431F"/>
    <w:rsid w:val="00A46D18"/>
    <w:rsid w:val="00A531D0"/>
    <w:rsid w:val="00A5711E"/>
    <w:rsid w:val="00A57AC2"/>
    <w:rsid w:val="00A613B0"/>
    <w:rsid w:val="00A62529"/>
    <w:rsid w:val="00A722A3"/>
    <w:rsid w:val="00A7259A"/>
    <w:rsid w:val="00A77BF3"/>
    <w:rsid w:val="00A82576"/>
    <w:rsid w:val="00A86D6B"/>
    <w:rsid w:val="00A96140"/>
    <w:rsid w:val="00A97CDC"/>
    <w:rsid w:val="00AA1144"/>
    <w:rsid w:val="00AB3448"/>
    <w:rsid w:val="00AB6C11"/>
    <w:rsid w:val="00AC7F8E"/>
    <w:rsid w:val="00AF0541"/>
    <w:rsid w:val="00AF17EE"/>
    <w:rsid w:val="00B008B4"/>
    <w:rsid w:val="00B029FB"/>
    <w:rsid w:val="00B109AD"/>
    <w:rsid w:val="00B21347"/>
    <w:rsid w:val="00B251D7"/>
    <w:rsid w:val="00B26828"/>
    <w:rsid w:val="00B3295C"/>
    <w:rsid w:val="00B52ED2"/>
    <w:rsid w:val="00B71102"/>
    <w:rsid w:val="00B73CAB"/>
    <w:rsid w:val="00B74816"/>
    <w:rsid w:val="00B7637B"/>
    <w:rsid w:val="00BA0AD8"/>
    <w:rsid w:val="00BC47D5"/>
    <w:rsid w:val="00BC49F7"/>
    <w:rsid w:val="00BF2CA2"/>
    <w:rsid w:val="00C06EEA"/>
    <w:rsid w:val="00C07A74"/>
    <w:rsid w:val="00C11CA7"/>
    <w:rsid w:val="00C15151"/>
    <w:rsid w:val="00C30777"/>
    <w:rsid w:val="00C52AEE"/>
    <w:rsid w:val="00C54B0D"/>
    <w:rsid w:val="00C63661"/>
    <w:rsid w:val="00C75222"/>
    <w:rsid w:val="00C81207"/>
    <w:rsid w:val="00C8302A"/>
    <w:rsid w:val="00C87C49"/>
    <w:rsid w:val="00C95FF3"/>
    <w:rsid w:val="00C9604D"/>
    <w:rsid w:val="00CA26BD"/>
    <w:rsid w:val="00CB10DE"/>
    <w:rsid w:val="00CB2C5E"/>
    <w:rsid w:val="00CB335F"/>
    <w:rsid w:val="00CB3C5E"/>
    <w:rsid w:val="00CC51E7"/>
    <w:rsid w:val="00CC7F99"/>
    <w:rsid w:val="00CF67F1"/>
    <w:rsid w:val="00D01CCB"/>
    <w:rsid w:val="00D2722D"/>
    <w:rsid w:val="00D30477"/>
    <w:rsid w:val="00D33EE8"/>
    <w:rsid w:val="00D422CE"/>
    <w:rsid w:val="00D43AA6"/>
    <w:rsid w:val="00D57A97"/>
    <w:rsid w:val="00D61F2B"/>
    <w:rsid w:val="00D62600"/>
    <w:rsid w:val="00D67141"/>
    <w:rsid w:val="00D803D5"/>
    <w:rsid w:val="00D8678D"/>
    <w:rsid w:val="00D92C56"/>
    <w:rsid w:val="00D932FD"/>
    <w:rsid w:val="00DA5728"/>
    <w:rsid w:val="00DC2DDF"/>
    <w:rsid w:val="00DC3EFF"/>
    <w:rsid w:val="00DD52E1"/>
    <w:rsid w:val="00DF38D2"/>
    <w:rsid w:val="00E1179B"/>
    <w:rsid w:val="00E24885"/>
    <w:rsid w:val="00E256EB"/>
    <w:rsid w:val="00E3415B"/>
    <w:rsid w:val="00E34299"/>
    <w:rsid w:val="00E46C02"/>
    <w:rsid w:val="00E47EFA"/>
    <w:rsid w:val="00E509A9"/>
    <w:rsid w:val="00E55A87"/>
    <w:rsid w:val="00E7073A"/>
    <w:rsid w:val="00E94AD4"/>
    <w:rsid w:val="00EA345C"/>
    <w:rsid w:val="00EA3EF2"/>
    <w:rsid w:val="00EB3D8C"/>
    <w:rsid w:val="00EC1E5F"/>
    <w:rsid w:val="00EC532E"/>
    <w:rsid w:val="00ED0AA5"/>
    <w:rsid w:val="00ED321C"/>
    <w:rsid w:val="00ED7675"/>
    <w:rsid w:val="00F21E48"/>
    <w:rsid w:val="00F358DE"/>
    <w:rsid w:val="00F5783C"/>
    <w:rsid w:val="00F62E82"/>
    <w:rsid w:val="00F66C3C"/>
    <w:rsid w:val="00F709BE"/>
    <w:rsid w:val="00F7564B"/>
    <w:rsid w:val="00F81C1C"/>
    <w:rsid w:val="00F93863"/>
    <w:rsid w:val="00FA0E69"/>
    <w:rsid w:val="00FA76FB"/>
    <w:rsid w:val="00FB3828"/>
    <w:rsid w:val="00FB47F5"/>
    <w:rsid w:val="00FD10A5"/>
    <w:rsid w:val="00FD1BBA"/>
    <w:rsid w:val="00FE4177"/>
    <w:rsid w:val="00FF704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1607C426-7FA4-4207-818E-53697A11A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47EF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6C1E"/>
    <w:pPr>
      <w:ind w:left="720"/>
      <w:contextualSpacing/>
    </w:pPr>
  </w:style>
  <w:style w:type="paragraph" w:styleId="BalloonText">
    <w:name w:val="Balloon Text"/>
    <w:basedOn w:val="Normal"/>
    <w:link w:val="BalloonTextChar"/>
    <w:uiPriority w:val="99"/>
    <w:semiHidden/>
    <w:unhideWhenUsed/>
    <w:rsid w:val="007436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3676"/>
    <w:rPr>
      <w:rFonts w:ascii="Tahoma" w:hAnsi="Tahoma" w:cs="Tahoma"/>
      <w:sz w:val="16"/>
      <w:szCs w:val="16"/>
    </w:rPr>
  </w:style>
  <w:style w:type="character" w:styleId="CommentReference">
    <w:name w:val="annotation reference"/>
    <w:basedOn w:val="DefaultParagraphFont"/>
    <w:uiPriority w:val="99"/>
    <w:semiHidden/>
    <w:unhideWhenUsed/>
    <w:rsid w:val="00435E97"/>
    <w:rPr>
      <w:sz w:val="16"/>
      <w:szCs w:val="16"/>
    </w:rPr>
  </w:style>
  <w:style w:type="paragraph" w:styleId="CommentText">
    <w:name w:val="annotation text"/>
    <w:basedOn w:val="Normal"/>
    <w:link w:val="CommentTextChar"/>
    <w:uiPriority w:val="99"/>
    <w:semiHidden/>
    <w:unhideWhenUsed/>
    <w:rsid w:val="00435E97"/>
    <w:pPr>
      <w:spacing w:line="240" w:lineRule="auto"/>
    </w:pPr>
    <w:rPr>
      <w:sz w:val="20"/>
      <w:szCs w:val="20"/>
    </w:rPr>
  </w:style>
  <w:style w:type="character" w:customStyle="1" w:styleId="CommentTextChar">
    <w:name w:val="Comment Text Char"/>
    <w:basedOn w:val="DefaultParagraphFont"/>
    <w:link w:val="CommentText"/>
    <w:uiPriority w:val="99"/>
    <w:semiHidden/>
    <w:rsid w:val="00435E97"/>
    <w:rPr>
      <w:sz w:val="20"/>
      <w:szCs w:val="20"/>
    </w:rPr>
  </w:style>
  <w:style w:type="paragraph" w:styleId="CommentSubject">
    <w:name w:val="annotation subject"/>
    <w:basedOn w:val="CommentText"/>
    <w:next w:val="CommentText"/>
    <w:link w:val="CommentSubjectChar"/>
    <w:uiPriority w:val="99"/>
    <w:semiHidden/>
    <w:unhideWhenUsed/>
    <w:rsid w:val="00435E97"/>
    <w:rPr>
      <w:b/>
      <w:bCs/>
    </w:rPr>
  </w:style>
  <w:style w:type="character" w:customStyle="1" w:styleId="CommentSubjectChar">
    <w:name w:val="Comment Subject Char"/>
    <w:basedOn w:val="CommentTextChar"/>
    <w:link w:val="CommentSubject"/>
    <w:uiPriority w:val="99"/>
    <w:semiHidden/>
    <w:rsid w:val="00435E97"/>
    <w:rPr>
      <w:b/>
      <w:bCs/>
      <w:sz w:val="20"/>
      <w:szCs w:val="20"/>
    </w:rPr>
  </w:style>
  <w:style w:type="paragraph" w:styleId="FootnoteText">
    <w:name w:val="footnote text"/>
    <w:basedOn w:val="Normal"/>
    <w:link w:val="FootnoteTextChar"/>
    <w:uiPriority w:val="99"/>
    <w:semiHidden/>
    <w:unhideWhenUsed/>
    <w:rsid w:val="009867D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67D8"/>
    <w:rPr>
      <w:sz w:val="20"/>
      <w:szCs w:val="20"/>
    </w:rPr>
  </w:style>
  <w:style w:type="character" w:styleId="FootnoteReference">
    <w:name w:val="footnote reference"/>
    <w:basedOn w:val="DefaultParagraphFont"/>
    <w:uiPriority w:val="99"/>
    <w:semiHidden/>
    <w:unhideWhenUsed/>
    <w:rsid w:val="009867D8"/>
    <w:rPr>
      <w:vertAlign w:val="superscript"/>
    </w:rPr>
  </w:style>
  <w:style w:type="table" w:styleId="TableGrid">
    <w:name w:val="Table Grid"/>
    <w:basedOn w:val="TableNormal"/>
    <w:uiPriority w:val="59"/>
    <w:rsid w:val="00C06E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2-Accent11">
    <w:name w:val="Grid Table 2 - Accent 11"/>
    <w:basedOn w:val="TableNormal"/>
    <w:uiPriority w:val="47"/>
    <w:rsid w:val="00C06EEA"/>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Hyperlink">
    <w:name w:val="Hyperlink"/>
    <w:basedOn w:val="DefaultParagraphFont"/>
    <w:uiPriority w:val="99"/>
    <w:unhideWhenUsed/>
    <w:rsid w:val="00C06EEA"/>
    <w:rPr>
      <w:color w:val="0000FF" w:themeColor="hyperlink"/>
      <w:u w:val="single"/>
    </w:rPr>
  </w:style>
  <w:style w:type="table" w:customStyle="1" w:styleId="LightList-Accent11">
    <w:name w:val="Light List - Accent 11"/>
    <w:basedOn w:val="TableNormal"/>
    <w:uiPriority w:val="61"/>
    <w:rsid w:val="00CB3C5E"/>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Header">
    <w:name w:val="header"/>
    <w:basedOn w:val="Normal"/>
    <w:link w:val="HeaderChar"/>
    <w:uiPriority w:val="99"/>
    <w:semiHidden/>
    <w:unhideWhenUsed/>
    <w:rsid w:val="0073574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35741"/>
  </w:style>
  <w:style w:type="paragraph" w:styleId="Footer">
    <w:name w:val="footer"/>
    <w:basedOn w:val="Normal"/>
    <w:link w:val="FooterChar"/>
    <w:uiPriority w:val="99"/>
    <w:unhideWhenUsed/>
    <w:rsid w:val="007357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5741"/>
  </w:style>
  <w:style w:type="character" w:styleId="FollowedHyperlink">
    <w:name w:val="FollowedHyperlink"/>
    <w:basedOn w:val="DefaultParagraphFont"/>
    <w:uiPriority w:val="99"/>
    <w:semiHidden/>
    <w:unhideWhenUsed/>
    <w:rsid w:val="001E142D"/>
    <w:rPr>
      <w:color w:val="800080" w:themeColor="followedHyperlink"/>
      <w:u w:val="single"/>
    </w:rPr>
  </w:style>
  <w:style w:type="character" w:styleId="Strong">
    <w:name w:val="Strong"/>
    <w:basedOn w:val="DefaultParagraphFont"/>
    <w:uiPriority w:val="22"/>
    <w:qFormat/>
    <w:rsid w:val="00110B5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image" Target="media/image5.jpeg"/><Relationship Id="rId26" Type="http://schemas.openxmlformats.org/officeDocument/2006/relationships/hyperlink" Target="mailto:president@msno.org" TargetMode="External"/><Relationship Id="rId3" Type="http://schemas.openxmlformats.org/officeDocument/2006/relationships/customXml" Target="../customXml/item3.xml"/><Relationship Id="rId21" Type="http://schemas.openxmlformats.org/officeDocument/2006/relationships/hyperlink" Target="https://mspa.wildapricot.org/Contact-Us" TargetMode="External"/><Relationship Id="rId7" Type="http://schemas.openxmlformats.org/officeDocument/2006/relationships/styles" Target="styles.xml"/><Relationship Id="rId12" Type="http://schemas.openxmlformats.org/officeDocument/2006/relationships/hyperlink" Target="http://www.doe.mass.edu/edeffectiveness/mentor/reports.html" TargetMode="External"/><Relationship Id="rId17" Type="http://schemas.openxmlformats.org/officeDocument/2006/relationships/image" Target="media/image4.png"/><Relationship Id="rId25" Type="http://schemas.openxmlformats.org/officeDocument/2006/relationships/hyperlink" Target="http://www.mass.gov/eohhs/gov/departments/dph/programs/community-health/primarycare-healthaccess/school-health/about/"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https://www.nasponline.org/membership-and-community/get-involved/find-a-mentor-program" TargetMode="External"/><Relationship Id="rId29" Type="http://schemas.openxmlformats.org/officeDocument/2006/relationships/hyperlink" Target="http://www.doe.mass.edu/edeval/resources/rubric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Chapter@naswma.org"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microsoft.com/office/2007/relationships/hdphoto" Target="media/hdphoto1.wdp"/><Relationship Id="rId23" Type="http://schemas.openxmlformats.org/officeDocument/2006/relationships/hyperlink" Target="mailto:jgoldenberg.naswma@socialworkers.org" TargetMode="External"/><Relationship Id="rId28" Type="http://schemas.openxmlformats.org/officeDocument/2006/relationships/hyperlink" Target="mailto:president@masca.org" TargetMode="External"/><Relationship Id="rId10" Type="http://schemas.openxmlformats.org/officeDocument/2006/relationships/footnotes" Target="footnotes.xml"/><Relationship Id="rId19" Type="http://schemas.openxmlformats.org/officeDocument/2006/relationships/hyperlink" Target="https://www.nasponline.org/Documents/Standards%20and%20Certification/Certification/Guidance_Postgraduate_Mentorship.pdf"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jpeg"/><Relationship Id="rId22" Type="http://schemas.openxmlformats.org/officeDocument/2006/relationships/hyperlink" Target="https://mspa.wildapricot.org/Professional-Development" TargetMode="External"/><Relationship Id="rId27" Type="http://schemas.openxmlformats.org/officeDocument/2006/relationships/hyperlink" Target="https://masca.wildapricot.org/resources/Documents/MA%20Model%202.0/MA%20Model%202.0%20FINAL%20DRAFT%202017%20-%20ABSOLUTE%20FINAL%20AGREED.pdf" TargetMode="External"/><Relationship Id="rId30"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nctaf.org/wp-content/uploads/NCTAFCostofTeacherTurnoverpolicybrief.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DESE-231-37116</_dlc_DocId>
    <_dlc_DocIdUrl xmlns="733efe1c-5bbe-4968-87dc-d400e65c879f">
      <Url>https://sharepoint.doemass.org/ese/webteam/cps/_layouts/DocIdRedir.aspx?ID=DESE-231-37116</Url>
      <Description>DESE-231-37116</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3DD27D-E4BD-4E12-B160-7749967ADEC1}">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BD13A469-EC9D-4E46-8EE8-70E69281DE7C}">
  <ds:schemaRefs>
    <ds:schemaRef ds:uri="http://schemas.microsoft.com/sharepoint/events"/>
  </ds:schemaRefs>
</ds:datastoreItem>
</file>

<file path=customXml/itemProps3.xml><?xml version="1.0" encoding="utf-8"?>
<ds:datastoreItem xmlns:ds="http://schemas.openxmlformats.org/officeDocument/2006/customXml" ds:itemID="{A6AAF6BF-B8F5-4F6D-A22E-EA04F8254D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3FAB67A-A477-4209-B920-26C608B2EFDE}">
  <ds:schemaRefs>
    <ds:schemaRef ds:uri="http://schemas.microsoft.com/sharepoint/v3/contenttype/forms"/>
  </ds:schemaRefs>
</ds:datastoreItem>
</file>

<file path=customXml/itemProps5.xml><?xml version="1.0" encoding="utf-8"?>
<ds:datastoreItem xmlns:ds="http://schemas.openxmlformats.org/officeDocument/2006/customXml" ds:itemID="{E208B9D7-2652-498A-B061-F8284BF8DD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1498</Words>
  <Characters>8541</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Supporting New Specialized Instructional Support Personnel</vt:lpstr>
    </vt:vector>
  </TitlesOfParts>
  <Company/>
  <LinksUpToDate>false</LinksUpToDate>
  <CharactersWithSpaces>10019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New Specialized Instructional Support Personnel</dc:title>
  <dc:creator>ESE</dc:creator>
  <cp:lastModifiedBy>Zou, Dong (EOE)</cp:lastModifiedBy>
  <cp:revision>6</cp:revision>
  <cp:lastPrinted>2017-10-26T19:39:00Z</cp:lastPrinted>
  <dcterms:created xsi:type="dcterms:W3CDTF">2017-09-26T18:45:00Z</dcterms:created>
  <dcterms:modified xsi:type="dcterms:W3CDTF">2020-06-09T21:39:00Z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Oct 26 2017</vt:lpwstr>
  </property>
</Properties>
</file>