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8804"/>
      </w:tblGrid>
      <w:tr w:rsidR="00CF68AC" w:rsidRPr="00726944" w14:paraId="478DD603" w14:textId="77777777" w:rsidTr="00CF68AC">
        <w:tc>
          <w:tcPr>
            <w:tcW w:w="1770" w:type="dxa"/>
            <w:tcBorders>
              <w:top w:val="single" w:sz="24" w:space="0" w:color="44546A" w:themeColor="text2"/>
              <w:left w:val="single" w:sz="24" w:space="0" w:color="44546A" w:themeColor="text2"/>
            </w:tcBorders>
            <w:shd w:val="clear" w:color="auto" w:fill="44546A" w:themeFill="text2"/>
            <w:vAlign w:val="center"/>
          </w:tcPr>
          <w:p w14:paraId="128C0B58" w14:textId="52561E12" w:rsidR="006F512B" w:rsidRDefault="00966C93" w:rsidP="001C0343">
            <w:pPr>
              <w:jc w:val="center"/>
              <w:rPr>
                <w:rFonts w:cstheme="minorHAnsi"/>
              </w:rPr>
            </w:pPr>
            <w:r>
              <w:rPr>
                <w:rFonts w:cstheme="minorHAnsi"/>
                <w:noProof/>
              </w:rPr>
              <w:drawing>
                <wp:inline distT="0" distB="0" distL="0" distR="0" wp14:anchorId="4CCC8795" wp14:editId="1CD94149">
                  <wp:extent cx="1092200" cy="1092200"/>
                  <wp:effectExtent l="0" t="0" r="0" b="0"/>
                  <wp:docPr id="2" name="Picture 2" descr="Raksmey Der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inline>
              </w:drawing>
            </w:r>
          </w:p>
          <w:p w14:paraId="7EE1F935" w14:textId="652D3661" w:rsidR="001C0343" w:rsidRPr="001C0343" w:rsidRDefault="001C0343" w:rsidP="001C0343">
            <w:pPr>
              <w:jc w:val="center"/>
              <w:rPr>
                <w:rFonts w:cstheme="minorHAnsi"/>
                <w:sz w:val="6"/>
                <w:szCs w:val="6"/>
              </w:rPr>
            </w:pPr>
          </w:p>
        </w:tc>
        <w:tc>
          <w:tcPr>
            <w:tcW w:w="8970" w:type="dxa"/>
            <w:tcBorders>
              <w:top w:val="single" w:sz="24" w:space="0" w:color="44546A" w:themeColor="text2"/>
              <w:right w:val="single" w:sz="24" w:space="0" w:color="44546A" w:themeColor="text2"/>
            </w:tcBorders>
            <w:shd w:val="clear" w:color="auto" w:fill="44546A" w:themeFill="text2"/>
            <w:vAlign w:val="center"/>
          </w:tcPr>
          <w:p w14:paraId="436DC0BB" w14:textId="2282455F" w:rsidR="00966C93" w:rsidRPr="00966C93" w:rsidRDefault="00972342" w:rsidP="00CE694F">
            <w:pPr>
              <w:rPr>
                <w:rFonts w:ascii="Franklin Gothic Heavy" w:hAnsi="Franklin Gothic Heavy"/>
                <w:color w:val="FFFFFF" w:themeColor="background1"/>
                <w:sz w:val="28"/>
                <w:szCs w:val="28"/>
              </w:rPr>
            </w:pPr>
            <w:hyperlink r:id="rId12" w:history="1">
              <w:r w:rsidR="00966C93" w:rsidRPr="00966C93">
                <w:rPr>
                  <w:rStyle w:val="Hyperlink"/>
                  <w:rFonts w:ascii="Franklin Gothic Heavy" w:hAnsi="Franklin Gothic Heavy"/>
                  <w:color w:val="FFFFFF" w:themeColor="background1"/>
                  <w:sz w:val="28"/>
                  <w:szCs w:val="28"/>
                </w:rPr>
                <w:t>CHEMICAL BONDING AND ITS APPLICATION IN DEICERS</w:t>
              </w:r>
            </w:hyperlink>
          </w:p>
          <w:p w14:paraId="6680F6B7" w14:textId="77777777" w:rsidR="00966C93" w:rsidRDefault="00966C93" w:rsidP="00CE694F">
            <w:pPr>
              <w:rPr>
                <w:rFonts w:cstheme="minorHAnsi"/>
                <w:color w:val="FFFFFF" w:themeColor="background1"/>
              </w:rPr>
            </w:pPr>
            <w:proofErr w:type="spellStart"/>
            <w:r w:rsidRPr="00966C93">
              <w:rPr>
                <w:rFonts w:cstheme="minorHAnsi"/>
                <w:color w:val="FFFFFF" w:themeColor="background1"/>
              </w:rPr>
              <w:t>Raksmey</w:t>
            </w:r>
            <w:proofErr w:type="spellEnd"/>
            <w:r w:rsidRPr="00966C93">
              <w:rPr>
                <w:rFonts w:cstheme="minorHAnsi"/>
                <w:color w:val="FFFFFF" w:themeColor="background1"/>
              </w:rPr>
              <w:t xml:space="preserve"> </w:t>
            </w:r>
            <w:proofErr w:type="spellStart"/>
            <w:r w:rsidRPr="00966C93">
              <w:rPr>
                <w:rFonts w:cstheme="minorHAnsi"/>
                <w:color w:val="FFFFFF" w:themeColor="background1"/>
              </w:rPr>
              <w:t>Derival</w:t>
            </w:r>
            <w:proofErr w:type="spellEnd"/>
          </w:p>
          <w:p w14:paraId="02AA2D3F" w14:textId="635A5A51" w:rsidR="00966C93" w:rsidRDefault="00966C93" w:rsidP="00CE694F">
            <w:pPr>
              <w:rPr>
                <w:rFonts w:cstheme="minorHAnsi"/>
                <w:color w:val="FFFFFF" w:themeColor="background1"/>
              </w:rPr>
            </w:pPr>
            <w:r w:rsidRPr="00966C93">
              <w:rPr>
                <w:rFonts w:cstheme="minorHAnsi"/>
                <w:color w:val="FFFFFF" w:themeColor="background1"/>
              </w:rPr>
              <w:t>High School Science Educator</w:t>
            </w:r>
            <w:r>
              <w:rPr>
                <w:rFonts w:cstheme="minorHAnsi"/>
                <w:color w:val="FFFFFF" w:themeColor="background1"/>
              </w:rPr>
              <w:t xml:space="preserve"> |</w:t>
            </w:r>
            <w:r w:rsidRPr="00966C93">
              <w:rPr>
                <w:rFonts w:cstheme="minorHAnsi"/>
                <w:color w:val="FFFFFF" w:themeColor="background1"/>
              </w:rPr>
              <w:t xml:space="preserve"> Innovation Academy Charter School</w:t>
            </w:r>
          </w:p>
          <w:p w14:paraId="3E225E70" w14:textId="5CD21631" w:rsidR="006F512B" w:rsidRPr="00726944" w:rsidRDefault="006F512B" w:rsidP="00CE694F">
            <w:pPr>
              <w:rPr>
                <w:rFonts w:cstheme="minorHAnsi"/>
                <w:color w:val="FFFFFF" w:themeColor="background1"/>
                <w:lang w:val="pt-BR"/>
              </w:rPr>
            </w:pPr>
            <w:r w:rsidRPr="00726944">
              <w:rPr>
                <w:rFonts w:cstheme="minorHAnsi"/>
                <w:color w:val="FFFFFF" w:themeColor="background1"/>
                <w:lang w:val="pt-BR"/>
              </w:rPr>
              <w:t>Video URL:</w:t>
            </w:r>
            <w:r w:rsidR="00966C93" w:rsidRPr="00726944">
              <w:rPr>
                <w:color w:val="FFFFFF" w:themeColor="background1"/>
                <w:lang w:val="pt-BR"/>
              </w:rPr>
              <w:t xml:space="preserve"> </w:t>
            </w:r>
            <w:r w:rsidR="00972342">
              <w:fldChar w:fldCharType="begin"/>
            </w:r>
            <w:r w:rsidR="00972342" w:rsidRPr="00726944">
              <w:rPr>
                <w:lang w:val="pt-BR"/>
              </w:rPr>
              <w:instrText xml:space="preserve"> HYPERLINK "https://youtu.be/3NC_p76Oguw" </w:instrText>
            </w:r>
            <w:r w:rsidR="00972342">
              <w:fldChar w:fldCharType="separate"/>
            </w:r>
            <w:r w:rsidR="00966C93" w:rsidRPr="00726944">
              <w:rPr>
                <w:rStyle w:val="Hyperlink"/>
                <w:rFonts w:cstheme="minorHAnsi"/>
                <w:color w:val="FFFFFF" w:themeColor="background1"/>
                <w:lang w:val="pt-BR"/>
              </w:rPr>
              <w:t>https://youtu.be/3NC_p76Oguw</w:t>
            </w:r>
            <w:r w:rsidR="00972342">
              <w:rPr>
                <w:rStyle w:val="Hyperlink"/>
                <w:rFonts w:cstheme="minorHAnsi"/>
                <w:color w:val="FFFFFF" w:themeColor="background1"/>
              </w:rPr>
              <w:fldChar w:fldCharType="end"/>
            </w:r>
            <w:r w:rsidR="00966C93" w:rsidRPr="00726944">
              <w:rPr>
                <w:rFonts w:cstheme="minorHAnsi"/>
                <w:color w:val="FFFFFF" w:themeColor="background1"/>
                <w:lang w:val="pt-BR"/>
              </w:rPr>
              <w:t xml:space="preserve"> </w:t>
            </w:r>
          </w:p>
        </w:tc>
      </w:tr>
      <w:tr w:rsidR="00CE694F" w:rsidRPr="001C0343" w14:paraId="256CFA0F" w14:textId="77777777" w:rsidTr="00CF68AC">
        <w:tc>
          <w:tcPr>
            <w:tcW w:w="10740" w:type="dxa"/>
            <w:gridSpan w:val="2"/>
            <w:tcBorders>
              <w:left w:val="single" w:sz="24" w:space="0" w:color="44546A" w:themeColor="text2"/>
              <w:bottom w:val="single" w:sz="24" w:space="0" w:color="44546A" w:themeColor="text2"/>
              <w:right w:val="single" w:sz="24" w:space="0" w:color="44546A" w:themeColor="text2"/>
            </w:tcBorders>
          </w:tcPr>
          <w:p w14:paraId="1248543F" w14:textId="77777777" w:rsidR="00966C93" w:rsidRPr="00062B72" w:rsidRDefault="00966C93" w:rsidP="00966C93">
            <w:pPr>
              <w:rPr>
                <w:rFonts w:cstheme="minorHAnsi"/>
                <w:i/>
                <w:iCs/>
              </w:rPr>
            </w:pPr>
            <w:r w:rsidRPr="00062B72">
              <w:rPr>
                <w:rFonts w:cstheme="minorHAnsi"/>
                <w:i/>
                <w:iCs/>
              </w:rPr>
              <w:t>Prior to this lesson, the students were given an overview of chemical bonds. They demonstrated understanding of ionic and covalent bonds through drawings of electron configuration models and Lewis Dot Structures.</w:t>
            </w:r>
          </w:p>
          <w:p w14:paraId="7BD4BD7D" w14:textId="77777777" w:rsidR="00966C93" w:rsidRPr="00062B72" w:rsidRDefault="00966C93" w:rsidP="00966C93">
            <w:pPr>
              <w:rPr>
                <w:rFonts w:cstheme="minorHAnsi"/>
                <w:i/>
                <w:iCs/>
              </w:rPr>
            </w:pPr>
          </w:p>
          <w:p w14:paraId="2B7664FD" w14:textId="77777777" w:rsidR="00966C93" w:rsidRPr="00062B72" w:rsidRDefault="00966C93" w:rsidP="00966C93">
            <w:pPr>
              <w:rPr>
                <w:rFonts w:cstheme="minorHAnsi"/>
                <w:i/>
                <w:iCs/>
              </w:rPr>
            </w:pPr>
            <w:r w:rsidRPr="00062B72">
              <w:rPr>
                <w:rFonts w:cstheme="minorHAnsi"/>
                <w:i/>
                <w:iCs/>
              </w:rPr>
              <w:t>This lesson is designed to help students better understand that ionic bonds are not as strong as covalent bonds, a property that is applied in deicer chemicals. We connect the lesson to students’ experiences of living in the Northeast US where icy weather occurs during our winter months. Students may be able to connect their observations of salt and sand trucks on the roads to the reason why salts are commonly used to melt ice. Students also gain a deeper understanding of how water molecules behave when exposed to cold temperatures, and how salts lower the freezing point of water.</w:t>
            </w:r>
          </w:p>
          <w:p w14:paraId="780D0C0F" w14:textId="77777777" w:rsidR="00966C93" w:rsidRPr="00062B72" w:rsidRDefault="00966C93" w:rsidP="00966C93">
            <w:pPr>
              <w:rPr>
                <w:rFonts w:cstheme="minorHAnsi"/>
                <w:i/>
                <w:iCs/>
              </w:rPr>
            </w:pPr>
          </w:p>
          <w:p w14:paraId="06772FAF" w14:textId="7E5D5814" w:rsidR="00966C93" w:rsidRPr="00062B72" w:rsidRDefault="00966C93" w:rsidP="00966C93">
            <w:pPr>
              <w:rPr>
                <w:rFonts w:cstheme="minorHAnsi"/>
                <w:i/>
                <w:iCs/>
              </w:rPr>
            </w:pPr>
            <w:r w:rsidRPr="00062B72">
              <w:rPr>
                <w:rFonts w:cstheme="minorHAnsi"/>
                <w:i/>
                <w:iCs/>
              </w:rPr>
              <w:t xml:space="preserve">This work leads up to students’ “Greener Deicers” project, an interdisciplinary hands-on exploration that aims to find a safer chemical to use for melting ice. It includes a 3 week long toxicology experiment to investigate safety, a cost analysis of various salts and common kitchen chemicals, and a deicer performance test to identify greener (more sustainable in safety, cost and performance) alternatives to common salts for </w:t>
            </w:r>
            <w:proofErr w:type="gramStart"/>
            <w:r w:rsidRPr="00062B72">
              <w:rPr>
                <w:rFonts w:cstheme="minorHAnsi"/>
                <w:i/>
                <w:iCs/>
              </w:rPr>
              <w:t>deicing,,.</w:t>
            </w:r>
            <w:proofErr w:type="gramEnd"/>
            <w:r w:rsidRPr="00062B72">
              <w:rPr>
                <w:rFonts w:cstheme="minorHAnsi"/>
                <w:i/>
                <w:iCs/>
              </w:rPr>
              <w:t xml:space="preserve"> This work has led to enhanced awareness and appreciation for how the chemicals we use in seemingly harmless ways can impact the environment we live in, including life on land and life under water. It activates students as environmental stewards who become better informed and responsible consumers.</w:t>
            </w:r>
          </w:p>
        </w:tc>
      </w:tr>
    </w:tbl>
    <w:p w14:paraId="754E81F8" w14:textId="4585BD10" w:rsidR="006F512B" w:rsidRPr="001C0343" w:rsidRDefault="006F512B" w:rsidP="006F512B">
      <w:pPr>
        <w:spacing w:after="0"/>
        <w:rPr>
          <w:rFonts w:cstheme="minorHAnsi"/>
        </w:rPr>
      </w:pPr>
    </w:p>
    <w:p w14:paraId="4BCC72C4" w14:textId="7D5BAB5B" w:rsidR="00CE694F" w:rsidRPr="001C0343" w:rsidRDefault="00CE694F" w:rsidP="006F512B">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1C0343" w:rsidRPr="001C0343" w14:paraId="6D1125DF" w14:textId="77777777" w:rsidTr="001C0343">
        <w:tc>
          <w:tcPr>
            <w:tcW w:w="10790" w:type="dxa"/>
            <w:gridSpan w:val="2"/>
            <w:shd w:val="clear" w:color="auto" w:fill="44546A" w:themeFill="text2"/>
            <w:vAlign w:val="center"/>
          </w:tcPr>
          <w:p w14:paraId="03A85D55" w14:textId="0045500D"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Learn more about this video and</w:t>
            </w:r>
            <w:r w:rsidR="00966C93">
              <w:rPr>
                <w:rFonts w:ascii="Franklin Gothic Heavy" w:hAnsi="Franklin Gothic Heavy" w:cstheme="minorHAnsi"/>
                <w:color w:val="FFFFFF" w:themeColor="background1"/>
              </w:rPr>
              <w:t xml:space="preserve"> </w:t>
            </w:r>
            <w:proofErr w:type="spellStart"/>
            <w:r w:rsidR="00966C93">
              <w:rPr>
                <w:rFonts w:ascii="Franklin Gothic Heavy" w:hAnsi="Franklin Gothic Heavy" w:cstheme="minorHAnsi"/>
                <w:color w:val="FFFFFF" w:themeColor="background1"/>
              </w:rPr>
              <w:t>Raksmey</w:t>
            </w:r>
            <w:r w:rsidRPr="001C0343">
              <w:rPr>
                <w:rFonts w:ascii="Franklin Gothic Heavy" w:hAnsi="Franklin Gothic Heavy" w:cstheme="minorHAnsi"/>
                <w:color w:val="FFFFFF" w:themeColor="background1"/>
              </w:rPr>
              <w:t>’s</w:t>
            </w:r>
            <w:proofErr w:type="spellEnd"/>
            <w:r w:rsidRPr="001C0343">
              <w:rPr>
                <w:rFonts w:ascii="Franklin Gothic Heavy" w:hAnsi="Franklin Gothic Heavy" w:cstheme="minorHAnsi"/>
                <w:color w:val="FFFFFF" w:themeColor="background1"/>
              </w:rPr>
              <w:t xml:space="preserve"> culturally responsive teaching </w:t>
            </w:r>
            <w:r w:rsidR="00C86D62">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966C93">
        <w:trPr>
          <w:trHeight w:val="2394"/>
        </w:trPr>
        <w:tc>
          <w:tcPr>
            <w:tcW w:w="2515"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275" w:type="dxa"/>
            <w:tcBorders>
              <w:bottom w:val="dashSmallGap" w:sz="4" w:space="0" w:color="44546A" w:themeColor="text2"/>
            </w:tcBorders>
            <w:vAlign w:val="center"/>
          </w:tcPr>
          <w:p w14:paraId="23947830" w14:textId="77777777" w:rsidR="00966C93" w:rsidRPr="00966C93" w:rsidRDefault="00966C93" w:rsidP="00966C93">
            <w:pPr>
              <w:rPr>
                <w:rFonts w:cstheme="minorHAnsi"/>
                <w:i/>
                <w:iCs/>
              </w:rPr>
            </w:pPr>
            <w:r w:rsidRPr="00966C93">
              <w:rPr>
                <w:rFonts w:cstheme="minorHAnsi"/>
                <w:i/>
                <w:iCs/>
              </w:rPr>
              <w:t>I knew this particular class was a great candidate to showcase Culturally Responsive Teaching. From beginning to end, it felt like students were engaged and empowered. We created space for the following:</w:t>
            </w:r>
          </w:p>
          <w:p w14:paraId="11D3A06F" w14:textId="77777777" w:rsidR="00966C93" w:rsidRPr="00966C93" w:rsidRDefault="00966C93" w:rsidP="00966C93">
            <w:pPr>
              <w:numPr>
                <w:ilvl w:val="0"/>
                <w:numId w:val="4"/>
              </w:numPr>
              <w:rPr>
                <w:rFonts w:cstheme="minorHAnsi"/>
                <w:i/>
                <w:iCs/>
              </w:rPr>
            </w:pPr>
            <w:r w:rsidRPr="00966C93">
              <w:rPr>
                <w:rFonts w:cstheme="minorHAnsi"/>
                <w:i/>
                <w:iCs/>
              </w:rPr>
              <w:t>Attendance with personal check-in / greeting for each student (not shown in recording)</w:t>
            </w:r>
          </w:p>
          <w:p w14:paraId="7EBE7160" w14:textId="77777777" w:rsidR="00966C93" w:rsidRPr="00966C93" w:rsidRDefault="00966C93" w:rsidP="00966C93">
            <w:pPr>
              <w:numPr>
                <w:ilvl w:val="0"/>
                <w:numId w:val="4"/>
              </w:numPr>
              <w:rPr>
                <w:rFonts w:cstheme="minorHAnsi"/>
                <w:i/>
                <w:iCs/>
              </w:rPr>
            </w:pPr>
            <w:r w:rsidRPr="00966C93">
              <w:rPr>
                <w:rFonts w:cstheme="minorHAnsi"/>
                <w:i/>
                <w:iCs/>
              </w:rPr>
              <w:t>Welcoming vibes with student DJ (playing a song off the class request list on their device)</w:t>
            </w:r>
          </w:p>
          <w:p w14:paraId="6B1072C6" w14:textId="77777777" w:rsidR="00966C93" w:rsidRPr="00966C93" w:rsidRDefault="00966C93" w:rsidP="00966C93">
            <w:pPr>
              <w:numPr>
                <w:ilvl w:val="0"/>
                <w:numId w:val="4"/>
              </w:numPr>
              <w:rPr>
                <w:rFonts w:cstheme="minorHAnsi"/>
                <w:i/>
                <w:iCs/>
              </w:rPr>
            </w:pPr>
            <w:r w:rsidRPr="00966C93">
              <w:rPr>
                <w:rFonts w:cstheme="minorHAnsi"/>
                <w:i/>
                <w:iCs/>
              </w:rPr>
              <w:t>Announcements and news</w:t>
            </w:r>
          </w:p>
          <w:p w14:paraId="710FFC5B" w14:textId="77777777" w:rsidR="00966C93" w:rsidRPr="00966C93" w:rsidRDefault="00966C93" w:rsidP="00966C93">
            <w:pPr>
              <w:numPr>
                <w:ilvl w:val="0"/>
                <w:numId w:val="4"/>
              </w:numPr>
              <w:rPr>
                <w:rFonts w:cstheme="minorHAnsi"/>
                <w:i/>
                <w:iCs/>
              </w:rPr>
            </w:pPr>
            <w:proofErr w:type="spellStart"/>
            <w:r w:rsidRPr="00966C93">
              <w:rPr>
                <w:rFonts w:cstheme="minorHAnsi"/>
                <w:i/>
                <w:iCs/>
              </w:rPr>
              <w:t>CommUNITY</w:t>
            </w:r>
            <w:proofErr w:type="spellEnd"/>
            <w:r w:rsidRPr="00966C93">
              <w:rPr>
                <w:rFonts w:cstheme="minorHAnsi"/>
                <w:i/>
                <w:iCs/>
              </w:rPr>
              <w:t xml:space="preserve"> Building </w:t>
            </w:r>
          </w:p>
          <w:p w14:paraId="0D511497" w14:textId="77777777" w:rsidR="00966C93" w:rsidRPr="00966C93" w:rsidRDefault="00966C93" w:rsidP="00966C93">
            <w:pPr>
              <w:numPr>
                <w:ilvl w:val="2"/>
                <w:numId w:val="7"/>
              </w:numPr>
              <w:ind w:left="1368"/>
              <w:rPr>
                <w:rFonts w:cstheme="minorHAnsi"/>
                <w:i/>
                <w:iCs/>
              </w:rPr>
            </w:pPr>
            <w:r w:rsidRPr="00966C93">
              <w:rPr>
                <w:rFonts w:cstheme="minorHAnsi"/>
                <w:i/>
                <w:iCs/>
              </w:rPr>
              <w:t>Women’s History Month - women who contributed to the discovery of elements</w:t>
            </w:r>
          </w:p>
          <w:p w14:paraId="7A8F9D20" w14:textId="77777777" w:rsidR="00966C93" w:rsidRPr="00966C93" w:rsidRDefault="00966C93" w:rsidP="00966C93">
            <w:pPr>
              <w:numPr>
                <w:ilvl w:val="2"/>
                <w:numId w:val="7"/>
              </w:numPr>
              <w:ind w:left="1368"/>
              <w:rPr>
                <w:rFonts w:cstheme="minorHAnsi"/>
                <w:i/>
                <w:iCs/>
              </w:rPr>
            </w:pPr>
            <w:r w:rsidRPr="00966C93">
              <w:rPr>
                <w:rFonts w:cstheme="minorHAnsi"/>
                <w:i/>
                <w:iCs/>
              </w:rPr>
              <w:t xml:space="preserve">In this class, we discussed the significance of Clarice Phelps, a Black female chemist, and her work towards discovering element 117 </w:t>
            </w:r>
            <w:proofErr w:type="spellStart"/>
            <w:r w:rsidRPr="00966C93">
              <w:rPr>
                <w:rFonts w:cstheme="minorHAnsi"/>
                <w:i/>
                <w:iCs/>
              </w:rPr>
              <w:t>Tennessine</w:t>
            </w:r>
            <w:proofErr w:type="spellEnd"/>
            <w:r w:rsidRPr="00966C93">
              <w:rPr>
                <w:rFonts w:cstheme="minorHAnsi"/>
                <w:i/>
                <w:iCs/>
              </w:rPr>
              <w:t>, as well as the controversy behind why her name was removed and  reinstated.</w:t>
            </w:r>
          </w:p>
          <w:p w14:paraId="728BBE45" w14:textId="77777777" w:rsidR="00966C93" w:rsidRPr="00966C93" w:rsidRDefault="00966C93" w:rsidP="00966C93">
            <w:pPr>
              <w:numPr>
                <w:ilvl w:val="0"/>
                <w:numId w:val="5"/>
              </w:numPr>
              <w:rPr>
                <w:rFonts w:cstheme="minorHAnsi"/>
                <w:i/>
                <w:iCs/>
              </w:rPr>
            </w:pPr>
            <w:r w:rsidRPr="00966C93">
              <w:rPr>
                <w:rFonts w:cstheme="minorHAnsi"/>
                <w:i/>
                <w:iCs/>
              </w:rPr>
              <w:t>Chemical Bonding - how water behaves in cold temperatures and how salts lower the freezing point of water for deicing applications. The shorter video showcases this part of class.</w:t>
            </w:r>
          </w:p>
          <w:p w14:paraId="760F61C3" w14:textId="77777777" w:rsidR="00966C93" w:rsidRPr="00966C93" w:rsidRDefault="00966C93" w:rsidP="00966C93">
            <w:pPr>
              <w:rPr>
                <w:rFonts w:cstheme="minorHAnsi"/>
                <w:i/>
                <w:iCs/>
              </w:rPr>
            </w:pPr>
          </w:p>
          <w:p w14:paraId="27BF6A70" w14:textId="68C544F0" w:rsidR="00966C93" w:rsidRPr="00966C93" w:rsidRDefault="00966C93" w:rsidP="00966C93">
            <w:pPr>
              <w:rPr>
                <w:rFonts w:cstheme="minorHAnsi"/>
                <w:i/>
                <w:iCs/>
              </w:rPr>
            </w:pPr>
            <w:r w:rsidRPr="00966C93">
              <w:rPr>
                <w:rFonts w:cstheme="minorHAnsi"/>
                <w:i/>
                <w:iCs/>
              </w:rPr>
              <w:t>Below is a list of ways that the video shows elements of Culturally Responsive Teaching:</w:t>
            </w:r>
          </w:p>
          <w:p w14:paraId="73CB6B43" w14:textId="77777777" w:rsidR="00966C93" w:rsidRPr="00966C93" w:rsidRDefault="00966C93" w:rsidP="00966C93">
            <w:pPr>
              <w:numPr>
                <w:ilvl w:val="0"/>
                <w:numId w:val="6"/>
              </w:numPr>
              <w:rPr>
                <w:rFonts w:cstheme="minorHAnsi"/>
                <w:i/>
                <w:iCs/>
              </w:rPr>
            </w:pPr>
            <w:r w:rsidRPr="00966C93">
              <w:rPr>
                <w:rFonts w:cstheme="minorHAnsi"/>
                <w:i/>
                <w:iCs/>
              </w:rPr>
              <w:t> Lesson is aligned to common core state standards and includes rigorous tasks that are cognitively demanding</w:t>
            </w:r>
          </w:p>
          <w:p w14:paraId="5DDECFEA" w14:textId="77777777" w:rsidR="00966C93" w:rsidRPr="00966C93" w:rsidRDefault="00966C93" w:rsidP="00966C93">
            <w:pPr>
              <w:numPr>
                <w:ilvl w:val="0"/>
                <w:numId w:val="6"/>
              </w:numPr>
              <w:rPr>
                <w:rFonts w:cstheme="minorHAnsi"/>
                <w:i/>
                <w:iCs/>
              </w:rPr>
            </w:pPr>
            <w:r w:rsidRPr="00966C93">
              <w:rPr>
                <w:rFonts w:cstheme="minorHAnsi"/>
                <w:i/>
                <w:iCs/>
              </w:rPr>
              <w:t> The teacher demonstrates depth and breadth of the lesson and is able to contextualize it in students’ identities, experiences, and abilities</w:t>
            </w:r>
          </w:p>
          <w:p w14:paraId="47DB3779" w14:textId="77777777" w:rsidR="00966C93" w:rsidRPr="00966C93" w:rsidRDefault="00966C93" w:rsidP="00966C93">
            <w:pPr>
              <w:numPr>
                <w:ilvl w:val="0"/>
                <w:numId w:val="6"/>
              </w:numPr>
              <w:rPr>
                <w:rFonts w:cstheme="minorHAnsi"/>
                <w:i/>
                <w:iCs/>
              </w:rPr>
            </w:pPr>
            <w:r w:rsidRPr="00966C93">
              <w:rPr>
                <w:rFonts w:cstheme="minorHAnsi"/>
                <w:i/>
                <w:iCs/>
              </w:rPr>
              <w:lastRenderedPageBreak/>
              <w:t xml:space="preserve"> The content itself is reflective of and affirming to students' identities, and it presents impartial and </w:t>
            </w:r>
            <w:proofErr w:type="gramStart"/>
            <w:r w:rsidRPr="00966C93">
              <w:rPr>
                <w:rFonts w:cstheme="minorHAnsi"/>
                <w:i/>
                <w:iCs/>
              </w:rPr>
              <w:t>fact based</w:t>
            </w:r>
            <w:proofErr w:type="gramEnd"/>
            <w:r w:rsidRPr="00966C93">
              <w:rPr>
                <w:rFonts w:cstheme="minorHAnsi"/>
                <w:i/>
                <w:iCs/>
              </w:rPr>
              <w:t xml:space="preserve"> information</w:t>
            </w:r>
          </w:p>
          <w:p w14:paraId="3FEBF346" w14:textId="77777777" w:rsidR="00966C93" w:rsidRPr="00966C93" w:rsidRDefault="00966C93" w:rsidP="00966C93">
            <w:pPr>
              <w:numPr>
                <w:ilvl w:val="0"/>
                <w:numId w:val="6"/>
              </w:numPr>
              <w:rPr>
                <w:rFonts w:cstheme="minorHAnsi"/>
                <w:i/>
                <w:iCs/>
              </w:rPr>
            </w:pPr>
            <w:r w:rsidRPr="00966C93">
              <w:rPr>
                <w:rFonts w:cstheme="minorHAnsi"/>
                <w:i/>
                <w:iCs/>
              </w:rPr>
              <w:t xml:space="preserve"> The content itself is reflective of and affirming to students' identities, and it presents impartial and </w:t>
            </w:r>
            <w:proofErr w:type="gramStart"/>
            <w:r w:rsidRPr="00966C93">
              <w:rPr>
                <w:rFonts w:cstheme="minorHAnsi"/>
                <w:i/>
                <w:iCs/>
              </w:rPr>
              <w:t>fact based</w:t>
            </w:r>
            <w:proofErr w:type="gramEnd"/>
            <w:r w:rsidRPr="00966C93">
              <w:rPr>
                <w:rFonts w:cstheme="minorHAnsi"/>
                <w:i/>
                <w:iCs/>
              </w:rPr>
              <w:t xml:space="preserve"> information</w:t>
            </w:r>
          </w:p>
          <w:p w14:paraId="59E0A7DC" w14:textId="77777777" w:rsidR="00966C93" w:rsidRPr="00966C93" w:rsidRDefault="00966C93" w:rsidP="00966C93">
            <w:pPr>
              <w:numPr>
                <w:ilvl w:val="0"/>
                <w:numId w:val="6"/>
              </w:numPr>
              <w:rPr>
                <w:rFonts w:cstheme="minorHAnsi"/>
                <w:i/>
                <w:iCs/>
              </w:rPr>
            </w:pPr>
            <w:r w:rsidRPr="00966C93">
              <w:rPr>
                <w:rFonts w:cstheme="minorHAnsi"/>
                <w:i/>
                <w:iCs/>
              </w:rPr>
              <w:t> Students have opportunities to demonstrate their learning in a variety of ways</w:t>
            </w:r>
          </w:p>
          <w:p w14:paraId="1A947E30" w14:textId="77777777" w:rsidR="00966C93" w:rsidRPr="00966C93" w:rsidRDefault="00966C93" w:rsidP="00966C93">
            <w:pPr>
              <w:numPr>
                <w:ilvl w:val="0"/>
                <w:numId w:val="6"/>
              </w:numPr>
              <w:rPr>
                <w:rFonts w:cstheme="minorHAnsi"/>
                <w:i/>
                <w:iCs/>
              </w:rPr>
            </w:pPr>
            <w:r w:rsidRPr="00966C93">
              <w:rPr>
                <w:rFonts w:cstheme="minorHAnsi"/>
                <w:i/>
                <w:iCs/>
              </w:rPr>
              <w:t> Students had or have opportunities to engage in discourse</w:t>
            </w:r>
          </w:p>
          <w:p w14:paraId="55542274" w14:textId="2E150A3E" w:rsidR="00CE694F" w:rsidRPr="00966C93" w:rsidRDefault="00966C93" w:rsidP="00C86D62">
            <w:pPr>
              <w:numPr>
                <w:ilvl w:val="0"/>
                <w:numId w:val="6"/>
              </w:numPr>
              <w:rPr>
                <w:rFonts w:cstheme="minorHAnsi"/>
                <w:i/>
                <w:iCs/>
              </w:rPr>
            </w:pPr>
            <w:r w:rsidRPr="00966C93">
              <w:rPr>
                <w:rFonts w:cstheme="minorHAnsi"/>
                <w:i/>
                <w:iCs/>
              </w:rPr>
              <w:t> The classroom environment is culturally and socially affirming to students' identities</w:t>
            </w:r>
          </w:p>
        </w:tc>
      </w:tr>
      <w:tr w:rsidR="00C86D62" w:rsidRPr="001C0343" w14:paraId="7FE952FE" w14:textId="77777777" w:rsidTr="00966C93">
        <w:trPr>
          <w:trHeight w:val="2060"/>
        </w:trPr>
        <w:tc>
          <w:tcPr>
            <w:tcW w:w="2515" w:type="dxa"/>
            <w:tcBorders>
              <w:bottom w:val="dashSmallGap" w:sz="4" w:space="0" w:color="44546A" w:themeColor="text2"/>
            </w:tcBorders>
            <w:shd w:val="clear" w:color="auto" w:fill="D5DCE4" w:themeFill="text2" w:themeFillTint="33"/>
            <w:vAlign w:val="center"/>
          </w:tcPr>
          <w:p w14:paraId="0CC6813C" w14:textId="461B432B" w:rsidR="00C86D62" w:rsidRPr="001C0343" w:rsidRDefault="00C86D62" w:rsidP="001C0343">
            <w:pPr>
              <w:jc w:val="center"/>
              <w:rPr>
                <w:rFonts w:cstheme="minorHAnsi"/>
                <w:b/>
                <w:bCs/>
                <w:sz w:val="20"/>
                <w:szCs w:val="20"/>
              </w:rPr>
            </w:pPr>
            <w:r w:rsidRPr="00C86D62">
              <w:rPr>
                <w:rFonts w:cstheme="minorHAnsi"/>
                <w:b/>
                <w:bCs/>
                <w:sz w:val="20"/>
                <w:szCs w:val="20"/>
              </w:rPr>
              <w:lastRenderedPageBreak/>
              <w:t>What does culturally responsive teaching and/or anti-racist teaching mean to you?</w:t>
            </w:r>
          </w:p>
        </w:tc>
        <w:tc>
          <w:tcPr>
            <w:tcW w:w="8275" w:type="dxa"/>
            <w:tcBorders>
              <w:bottom w:val="dashSmallGap" w:sz="4" w:space="0" w:color="44546A" w:themeColor="text2"/>
            </w:tcBorders>
            <w:vAlign w:val="center"/>
          </w:tcPr>
          <w:p w14:paraId="365898C3" w14:textId="57D01B50" w:rsidR="00C86D62" w:rsidRPr="00C86D62" w:rsidRDefault="00966C93" w:rsidP="00C86D62">
            <w:pPr>
              <w:rPr>
                <w:rFonts w:cstheme="minorHAnsi"/>
                <w:i/>
                <w:iCs/>
              </w:rPr>
            </w:pPr>
            <w:r w:rsidRPr="00966C93">
              <w:rPr>
                <w:rFonts w:cstheme="minorHAnsi"/>
                <w:i/>
                <w:iCs/>
              </w:rPr>
              <w:t>To me, Culturally Responsive Teaching is anti-racist teaching. It means putting my students first in any decision made in and about the classroom. It means drawing upon their strengths, insights and expertise to call them forward and call them higher in the classroom to ensure that they not only take ownership of their learning, but that they feel empowered and included along the learning journey too. It means showing them that they are cared for, loved, and supported as developing humans under my care through the lens of science.</w:t>
            </w:r>
          </w:p>
        </w:tc>
      </w:tr>
      <w:tr w:rsidR="00CE694F" w:rsidRPr="001C0343" w14:paraId="311D8CE1" w14:textId="77777777" w:rsidTr="00966C93">
        <w:trPr>
          <w:trHeight w:val="5390"/>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6D9C9E65" w14:textId="3431927D" w:rsidR="00CE694F" w:rsidRPr="001C0343" w:rsidRDefault="00CE694F" w:rsidP="001C0343">
            <w:pPr>
              <w:jc w:val="center"/>
              <w:rPr>
                <w:rFonts w:cstheme="minorHAnsi"/>
                <w:b/>
                <w:bCs/>
                <w:sz w:val="20"/>
                <w:szCs w:val="20"/>
              </w:rPr>
            </w:pPr>
            <w:r w:rsidRPr="001C0343">
              <w:rPr>
                <w:rFonts w:cstheme="minorHAnsi"/>
                <w:b/>
                <w:bCs/>
                <w:sz w:val="20"/>
                <w:szCs w:val="20"/>
              </w:rPr>
              <w:t>Describe your journey to becoming a more culturally responsive, anti-racist educator. What has helped you grow your CRT practice?</w:t>
            </w:r>
          </w:p>
        </w:tc>
        <w:tc>
          <w:tcPr>
            <w:tcW w:w="8275" w:type="dxa"/>
            <w:tcBorders>
              <w:top w:val="dashSmallGap" w:sz="4" w:space="0" w:color="44546A" w:themeColor="text2"/>
              <w:bottom w:val="dashSmallGap" w:sz="4" w:space="0" w:color="44546A" w:themeColor="text2"/>
            </w:tcBorders>
            <w:vAlign w:val="center"/>
          </w:tcPr>
          <w:p w14:paraId="492C48FC" w14:textId="77777777" w:rsidR="00966C93" w:rsidRPr="00966C93" w:rsidRDefault="00966C93" w:rsidP="00966C93">
            <w:pPr>
              <w:rPr>
                <w:rFonts w:cstheme="minorHAnsi"/>
                <w:i/>
                <w:iCs/>
              </w:rPr>
            </w:pPr>
            <w:r w:rsidRPr="00966C93">
              <w:rPr>
                <w:rFonts w:cstheme="minorHAnsi"/>
                <w:i/>
                <w:iCs/>
              </w:rPr>
              <w:t xml:space="preserve">The Teacher Collaborative has helped me grow my CRT practice. I was called in higher to do this work upon being selected for the Culturally Responsive Teaching Task Force by The Teacher Collaborative, The Teachers’ Lounge, and the Massachusetts Department of Elementary and Secondary Education. I became familiar with different ways that Culturally Responsive Teaching can look like in the classroom after analyzing and using the CRT Rubric. </w:t>
            </w:r>
          </w:p>
          <w:p w14:paraId="42F8B61A" w14:textId="77777777" w:rsidR="00966C93" w:rsidRPr="00966C93" w:rsidRDefault="00966C93" w:rsidP="00966C93">
            <w:pPr>
              <w:rPr>
                <w:rFonts w:cstheme="minorHAnsi"/>
                <w:i/>
                <w:iCs/>
              </w:rPr>
            </w:pPr>
          </w:p>
          <w:p w14:paraId="2C757530" w14:textId="5A6ED305" w:rsidR="00CE694F" w:rsidRPr="001C0343" w:rsidRDefault="00966C93" w:rsidP="00966C93">
            <w:pPr>
              <w:rPr>
                <w:rFonts w:cstheme="minorHAnsi"/>
                <w:i/>
                <w:iCs/>
              </w:rPr>
            </w:pPr>
            <w:r w:rsidRPr="00966C93">
              <w:rPr>
                <w:rFonts w:cstheme="minorHAnsi"/>
                <w:i/>
                <w:iCs/>
              </w:rPr>
              <w:t xml:space="preserve">I also engage with several teacher groups in person and on social media, including the Beyond Benign Social Justice Committee (science and sustainability focused) and the Teachers For Good Trouble (TFGT) national group. I was first introduced to Culturally Responsive Teaching through Beyond Benign when a Black male chemistry educator, Scott Carlson, introduced CRT resources distributed in his district. It was a great learning moment for me to be able to name the practices that were already happening in my classes. Through TFGT, I have attended conferences, PD sessions and book study discussion groups that helped me gain additional insight from other educators on how CRT manifests in their classes. Some powerful conferences include The Revolutionary Educator conference (created by Principal Amen </w:t>
            </w:r>
            <w:proofErr w:type="spellStart"/>
            <w:r w:rsidRPr="00966C93">
              <w:rPr>
                <w:rFonts w:cstheme="minorHAnsi"/>
                <w:i/>
                <w:iCs/>
              </w:rPr>
              <w:t>Rahh</w:t>
            </w:r>
            <w:proofErr w:type="spellEnd"/>
            <w:r w:rsidRPr="00966C93">
              <w:rPr>
                <w:rFonts w:cstheme="minorHAnsi"/>
                <w:i/>
                <w:iCs/>
              </w:rPr>
              <w:t>) and “Stay True to the Teacher in You” conference (created by Kwame Sarfo-Mensah), the latter of which I attended through the sponsorship of The Teacher Collaborative group.</w:t>
            </w:r>
          </w:p>
        </w:tc>
      </w:tr>
      <w:tr w:rsidR="00CE694F" w:rsidRPr="001C0343" w14:paraId="6E3FF29B" w14:textId="77777777" w:rsidTr="00966C93">
        <w:trPr>
          <w:trHeight w:val="1880"/>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55B2506E" w14:textId="0CDC06A9" w:rsidR="00CE694F" w:rsidRPr="001C0343" w:rsidRDefault="00C86D62" w:rsidP="001C0343">
            <w:pPr>
              <w:jc w:val="center"/>
              <w:rPr>
                <w:rFonts w:cstheme="minorHAnsi"/>
                <w:b/>
                <w:bCs/>
                <w:sz w:val="20"/>
                <w:szCs w:val="20"/>
              </w:rPr>
            </w:pPr>
            <w:r w:rsidRPr="00C86D62">
              <w:rPr>
                <w:rFonts w:cstheme="minorHAnsi"/>
                <w:b/>
                <w:bCs/>
                <w:sz w:val="20"/>
                <w:szCs w:val="20"/>
              </w:rPr>
              <w:t>What advice would you give to another educator who wants to develop their CRT skills?</w:t>
            </w:r>
          </w:p>
        </w:tc>
        <w:tc>
          <w:tcPr>
            <w:tcW w:w="8275" w:type="dxa"/>
            <w:tcBorders>
              <w:top w:val="dashSmallGap" w:sz="4" w:space="0" w:color="44546A" w:themeColor="text2"/>
              <w:bottom w:val="dashSmallGap" w:sz="4" w:space="0" w:color="44546A" w:themeColor="text2"/>
            </w:tcBorders>
            <w:vAlign w:val="center"/>
          </w:tcPr>
          <w:p w14:paraId="3508668C" w14:textId="77777777" w:rsidR="00966C93" w:rsidRDefault="00966C93" w:rsidP="00966C93">
            <w:pPr>
              <w:pStyle w:val="ListParagraph"/>
              <w:rPr>
                <w:rFonts w:cstheme="minorHAnsi"/>
                <w:i/>
                <w:iCs/>
              </w:rPr>
            </w:pPr>
          </w:p>
          <w:p w14:paraId="5A1326DF" w14:textId="104B54FF" w:rsidR="00966C93" w:rsidRPr="00966C93" w:rsidRDefault="00966C93" w:rsidP="00966C93">
            <w:pPr>
              <w:pStyle w:val="ListParagraph"/>
              <w:numPr>
                <w:ilvl w:val="0"/>
                <w:numId w:val="9"/>
              </w:numPr>
              <w:rPr>
                <w:rFonts w:cstheme="minorHAnsi"/>
                <w:i/>
                <w:iCs/>
              </w:rPr>
            </w:pPr>
            <w:r w:rsidRPr="00966C93">
              <w:rPr>
                <w:rFonts w:cstheme="minorHAnsi"/>
                <w:i/>
                <w:iCs/>
              </w:rPr>
              <w:t xml:space="preserve">Do your own research. Learn about your students’ backgrounds, identities, </w:t>
            </w:r>
            <w:proofErr w:type="gramStart"/>
            <w:r w:rsidRPr="00966C93">
              <w:rPr>
                <w:rFonts w:cstheme="minorHAnsi"/>
                <w:i/>
                <w:iCs/>
              </w:rPr>
              <w:t>strengths</w:t>
            </w:r>
            <w:proofErr w:type="gramEnd"/>
            <w:r w:rsidRPr="00966C93">
              <w:rPr>
                <w:rFonts w:cstheme="minorHAnsi"/>
                <w:i/>
                <w:iCs/>
              </w:rPr>
              <w:t xml:space="preserve"> and interests. </w:t>
            </w:r>
          </w:p>
          <w:p w14:paraId="2BC724AF" w14:textId="77777777" w:rsidR="00966C93" w:rsidRPr="00966C93" w:rsidRDefault="00966C93" w:rsidP="00966C93">
            <w:pPr>
              <w:pStyle w:val="ListParagraph"/>
              <w:numPr>
                <w:ilvl w:val="0"/>
                <w:numId w:val="9"/>
              </w:numPr>
              <w:rPr>
                <w:rFonts w:cstheme="minorHAnsi"/>
                <w:i/>
                <w:iCs/>
              </w:rPr>
            </w:pPr>
            <w:r w:rsidRPr="00966C93">
              <w:rPr>
                <w:rFonts w:cstheme="minorHAnsi"/>
                <w:i/>
                <w:iCs/>
              </w:rPr>
              <w:t>Implement CRT in small ways at first, such as in stand-alone lessons</w:t>
            </w:r>
          </w:p>
          <w:p w14:paraId="11D72817" w14:textId="77777777" w:rsidR="00966C93" w:rsidRPr="00966C93" w:rsidRDefault="00966C93" w:rsidP="00966C93">
            <w:pPr>
              <w:pStyle w:val="ListParagraph"/>
              <w:numPr>
                <w:ilvl w:val="0"/>
                <w:numId w:val="9"/>
              </w:numPr>
              <w:rPr>
                <w:rFonts w:cstheme="minorHAnsi"/>
                <w:i/>
                <w:iCs/>
              </w:rPr>
            </w:pPr>
            <w:r w:rsidRPr="00966C93">
              <w:rPr>
                <w:rFonts w:cstheme="minorHAnsi"/>
                <w:i/>
                <w:iCs/>
              </w:rPr>
              <w:t>For Projects Based Learning, screen unit for ways that CRT elements can be embedded</w:t>
            </w:r>
          </w:p>
          <w:p w14:paraId="0629BE05" w14:textId="77777777" w:rsidR="00966C93" w:rsidRPr="00966C93" w:rsidRDefault="00966C93" w:rsidP="00966C93">
            <w:pPr>
              <w:pStyle w:val="ListParagraph"/>
              <w:numPr>
                <w:ilvl w:val="0"/>
                <w:numId w:val="9"/>
              </w:numPr>
              <w:rPr>
                <w:rFonts w:cstheme="minorHAnsi"/>
                <w:i/>
                <w:iCs/>
              </w:rPr>
            </w:pPr>
            <w:r w:rsidRPr="00966C93">
              <w:rPr>
                <w:rFonts w:cstheme="minorHAnsi"/>
                <w:i/>
                <w:iCs/>
              </w:rPr>
              <w:t>Check in with others (have a squad or partner for accountability / celebration)</w:t>
            </w:r>
          </w:p>
          <w:p w14:paraId="0A6B7A1F" w14:textId="77777777" w:rsidR="00966C93" w:rsidRPr="00966C93" w:rsidRDefault="00966C93" w:rsidP="00966C93">
            <w:pPr>
              <w:pStyle w:val="ListParagraph"/>
              <w:numPr>
                <w:ilvl w:val="0"/>
                <w:numId w:val="9"/>
              </w:numPr>
              <w:rPr>
                <w:rFonts w:cstheme="minorHAnsi"/>
                <w:i/>
                <w:iCs/>
              </w:rPr>
            </w:pPr>
            <w:r w:rsidRPr="00966C93">
              <w:rPr>
                <w:rFonts w:cstheme="minorHAnsi"/>
                <w:i/>
                <w:iCs/>
              </w:rPr>
              <w:t>Connect with educators outside of your school</w:t>
            </w:r>
          </w:p>
          <w:p w14:paraId="20B30ECB" w14:textId="77777777" w:rsidR="00CE694F" w:rsidRDefault="00966C93" w:rsidP="00966C93">
            <w:pPr>
              <w:pStyle w:val="ListParagraph"/>
              <w:numPr>
                <w:ilvl w:val="0"/>
                <w:numId w:val="9"/>
              </w:numPr>
              <w:rPr>
                <w:rFonts w:cstheme="minorHAnsi"/>
                <w:i/>
                <w:iCs/>
              </w:rPr>
            </w:pPr>
            <w:r w:rsidRPr="00966C93">
              <w:rPr>
                <w:rFonts w:cstheme="minorHAnsi"/>
                <w:i/>
                <w:iCs/>
              </w:rPr>
              <w:t>Attend conferences/webinar events, and ask questions/network at events</w:t>
            </w:r>
          </w:p>
          <w:p w14:paraId="34C46ABF" w14:textId="6CAC151E" w:rsidR="00966C93" w:rsidRPr="00966C93" w:rsidRDefault="00966C93" w:rsidP="00966C93">
            <w:pPr>
              <w:pStyle w:val="ListParagraph"/>
              <w:rPr>
                <w:rFonts w:cstheme="minorHAnsi"/>
                <w:i/>
                <w:iCs/>
              </w:rPr>
            </w:pPr>
          </w:p>
        </w:tc>
      </w:tr>
      <w:tr w:rsidR="00966C93" w:rsidRPr="001C0343" w14:paraId="67C853FE" w14:textId="77777777" w:rsidTr="00C86D62">
        <w:trPr>
          <w:trHeight w:val="1880"/>
        </w:trPr>
        <w:tc>
          <w:tcPr>
            <w:tcW w:w="2515" w:type="dxa"/>
            <w:tcBorders>
              <w:top w:val="dashSmallGap" w:sz="4" w:space="0" w:color="44546A" w:themeColor="text2"/>
            </w:tcBorders>
            <w:shd w:val="clear" w:color="auto" w:fill="D5DCE4" w:themeFill="text2" w:themeFillTint="33"/>
            <w:vAlign w:val="center"/>
          </w:tcPr>
          <w:p w14:paraId="63F03A84" w14:textId="6D927E65" w:rsidR="00966C93" w:rsidRPr="00C86D62" w:rsidRDefault="00966C93" w:rsidP="001C0343">
            <w:pPr>
              <w:jc w:val="center"/>
              <w:rPr>
                <w:rFonts w:cstheme="minorHAnsi"/>
                <w:b/>
                <w:bCs/>
                <w:sz w:val="20"/>
                <w:szCs w:val="20"/>
              </w:rPr>
            </w:pPr>
            <w:r w:rsidRPr="00966C93">
              <w:rPr>
                <w:rFonts w:cstheme="minorHAnsi"/>
                <w:b/>
                <w:bCs/>
                <w:sz w:val="20"/>
                <w:szCs w:val="20"/>
              </w:rPr>
              <w:lastRenderedPageBreak/>
              <w:t xml:space="preserve">What are some of the most valuable resources </w:t>
            </w:r>
            <w:proofErr w:type="gramStart"/>
            <w:r w:rsidRPr="00966C93">
              <w:rPr>
                <w:rFonts w:cstheme="minorHAnsi"/>
                <w:b/>
                <w:bCs/>
                <w:sz w:val="20"/>
                <w:szCs w:val="20"/>
              </w:rPr>
              <w:t>you’ve</w:t>
            </w:r>
            <w:proofErr w:type="gramEnd"/>
            <w:r w:rsidRPr="00966C93">
              <w:rPr>
                <w:rFonts w:cstheme="minorHAnsi"/>
                <w:b/>
                <w:bCs/>
                <w:sz w:val="20"/>
                <w:szCs w:val="20"/>
              </w:rPr>
              <w:t xml:space="preserve"> come across to support your CRT learning journey?</w:t>
            </w:r>
          </w:p>
        </w:tc>
        <w:tc>
          <w:tcPr>
            <w:tcW w:w="8275" w:type="dxa"/>
            <w:tcBorders>
              <w:top w:val="dashSmallGap" w:sz="4" w:space="0" w:color="44546A" w:themeColor="text2"/>
            </w:tcBorders>
            <w:vAlign w:val="center"/>
          </w:tcPr>
          <w:p w14:paraId="518CF34F" w14:textId="77777777" w:rsidR="00966C93" w:rsidRPr="00966C93" w:rsidRDefault="00966C93" w:rsidP="00966C93">
            <w:pPr>
              <w:pStyle w:val="NormalWeb"/>
              <w:numPr>
                <w:ilvl w:val="0"/>
                <w:numId w:val="10"/>
              </w:numPr>
              <w:spacing w:before="0" w:beforeAutospacing="0" w:after="0" w:afterAutospacing="0"/>
              <w:textAlignment w:val="baseline"/>
              <w:rPr>
                <w:rFonts w:asciiTheme="minorHAnsi" w:hAnsiTheme="minorHAnsi"/>
                <w:color w:val="000000"/>
                <w:sz w:val="22"/>
                <w:szCs w:val="22"/>
              </w:rPr>
            </w:pPr>
            <w:r w:rsidRPr="00966C93">
              <w:rPr>
                <w:rFonts w:asciiTheme="minorHAnsi" w:hAnsiTheme="minorHAnsi"/>
                <w:color w:val="000000"/>
                <w:sz w:val="22"/>
                <w:szCs w:val="22"/>
              </w:rPr>
              <w:t>Culturally Responsive Teaching Observation Tool by The Teacher Collaborative, The Teachers’ Lounge, and MA DESE</w:t>
            </w:r>
          </w:p>
          <w:p w14:paraId="275EF30B" w14:textId="77777777" w:rsidR="00966C93" w:rsidRPr="00966C93" w:rsidRDefault="00972342" w:rsidP="00966C93">
            <w:pPr>
              <w:pStyle w:val="NormalWeb"/>
              <w:numPr>
                <w:ilvl w:val="0"/>
                <w:numId w:val="10"/>
              </w:numPr>
              <w:spacing w:before="0" w:beforeAutospacing="0" w:after="0" w:afterAutospacing="0"/>
              <w:textAlignment w:val="baseline"/>
              <w:rPr>
                <w:rFonts w:asciiTheme="minorHAnsi" w:hAnsiTheme="minorHAnsi"/>
                <w:color w:val="000000"/>
                <w:sz w:val="22"/>
                <w:szCs w:val="22"/>
              </w:rPr>
            </w:pPr>
            <w:hyperlink r:id="rId13" w:history="1">
              <w:r w:rsidR="00966C93" w:rsidRPr="00966C93">
                <w:rPr>
                  <w:rStyle w:val="Hyperlink"/>
                  <w:rFonts w:asciiTheme="minorHAnsi" w:hAnsiTheme="minorHAnsi"/>
                  <w:color w:val="1155CC"/>
                  <w:sz w:val="22"/>
                  <w:szCs w:val="22"/>
                </w:rPr>
                <w:t>Cultural Responsiveness Continuum</w:t>
              </w:r>
            </w:hyperlink>
          </w:p>
          <w:p w14:paraId="009EC292" w14:textId="77777777" w:rsidR="00966C93" w:rsidRPr="00966C93" w:rsidRDefault="00966C93" w:rsidP="00966C93">
            <w:pPr>
              <w:pStyle w:val="NormalWeb"/>
              <w:numPr>
                <w:ilvl w:val="0"/>
                <w:numId w:val="10"/>
              </w:numPr>
              <w:spacing w:before="0" w:beforeAutospacing="0" w:after="0" w:afterAutospacing="0"/>
              <w:textAlignment w:val="baseline"/>
              <w:rPr>
                <w:rFonts w:asciiTheme="minorHAnsi" w:hAnsiTheme="minorHAnsi"/>
                <w:color w:val="000000"/>
                <w:sz w:val="22"/>
                <w:szCs w:val="22"/>
              </w:rPr>
            </w:pPr>
            <w:r w:rsidRPr="00966C93">
              <w:rPr>
                <w:rFonts w:asciiTheme="minorHAnsi" w:hAnsiTheme="minorHAnsi"/>
                <w:color w:val="000000"/>
                <w:sz w:val="22"/>
                <w:szCs w:val="22"/>
              </w:rPr>
              <w:t xml:space="preserve">Culturally Responsive Teaching and the Brain by </w:t>
            </w:r>
            <w:proofErr w:type="spellStart"/>
            <w:r w:rsidRPr="00966C93">
              <w:rPr>
                <w:rFonts w:asciiTheme="minorHAnsi" w:hAnsiTheme="minorHAnsi"/>
                <w:color w:val="000000"/>
                <w:sz w:val="22"/>
                <w:szCs w:val="22"/>
              </w:rPr>
              <w:t>Zaretta</w:t>
            </w:r>
            <w:proofErr w:type="spellEnd"/>
            <w:r w:rsidRPr="00966C93">
              <w:rPr>
                <w:rFonts w:asciiTheme="minorHAnsi" w:hAnsiTheme="minorHAnsi"/>
                <w:color w:val="000000"/>
                <w:sz w:val="22"/>
                <w:szCs w:val="22"/>
              </w:rPr>
              <w:t xml:space="preserve"> Hammond</w:t>
            </w:r>
          </w:p>
          <w:p w14:paraId="659AF8C9" w14:textId="77777777" w:rsidR="00966C93" w:rsidRPr="00966C93" w:rsidRDefault="00966C93" w:rsidP="00966C93">
            <w:pPr>
              <w:pStyle w:val="NormalWeb"/>
              <w:numPr>
                <w:ilvl w:val="0"/>
                <w:numId w:val="10"/>
              </w:numPr>
              <w:spacing w:before="0" w:beforeAutospacing="0" w:after="0" w:afterAutospacing="0"/>
              <w:textAlignment w:val="baseline"/>
              <w:rPr>
                <w:rFonts w:asciiTheme="minorHAnsi" w:hAnsiTheme="minorHAnsi"/>
                <w:color w:val="000000"/>
                <w:sz w:val="22"/>
                <w:szCs w:val="22"/>
              </w:rPr>
            </w:pPr>
            <w:r w:rsidRPr="00966C93">
              <w:rPr>
                <w:rFonts w:asciiTheme="minorHAnsi" w:hAnsiTheme="minorHAnsi"/>
                <w:color w:val="000000"/>
                <w:sz w:val="22"/>
                <w:szCs w:val="22"/>
              </w:rPr>
              <w:t xml:space="preserve">Street Data by Shane </w:t>
            </w:r>
            <w:proofErr w:type="spellStart"/>
            <w:r w:rsidRPr="00966C93">
              <w:rPr>
                <w:rFonts w:asciiTheme="minorHAnsi" w:hAnsiTheme="minorHAnsi"/>
                <w:color w:val="000000"/>
                <w:sz w:val="22"/>
                <w:szCs w:val="22"/>
              </w:rPr>
              <w:t>Safir</w:t>
            </w:r>
            <w:proofErr w:type="spellEnd"/>
            <w:r w:rsidRPr="00966C93">
              <w:rPr>
                <w:rFonts w:asciiTheme="minorHAnsi" w:hAnsiTheme="minorHAnsi"/>
                <w:color w:val="000000"/>
                <w:sz w:val="22"/>
                <w:szCs w:val="22"/>
              </w:rPr>
              <w:t xml:space="preserve"> and Jamila Dugan</w:t>
            </w:r>
          </w:p>
          <w:p w14:paraId="05471522" w14:textId="77777777" w:rsidR="00966C93" w:rsidRPr="00966C93" w:rsidRDefault="00966C93" w:rsidP="00966C93">
            <w:pPr>
              <w:pStyle w:val="NormalWeb"/>
              <w:numPr>
                <w:ilvl w:val="0"/>
                <w:numId w:val="10"/>
              </w:numPr>
              <w:spacing w:before="0" w:beforeAutospacing="0" w:after="0" w:afterAutospacing="0"/>
              <w:textAlignment w:val="baseline"/>
              <w:rPr>
                <w:rFonts w:asciiTheme="minorHAnsi" w:hAnsiTheme="minorHAnsi"/>
                <w:color w:val="000000"/>
                <w:sz w:val="22"/>
                <w:szCs w:val="22"/>
              </w:rPr>
            </w:pPr>
            <w:r w:rsidRPr="00966C93">
              <w:rPr>
                <w:rFonts w:asciiTheme="minorHAnsi" w:hAnsiTheme="minorHAnsi"/>
                <w:color w:val="000000"/>
                <w:sz w:val="22"/>
                <w:szCs w:val="22"/>
              </w:rPr>
              <w:t>Coaching for Equity by Elena Aguilar</w:t>
            </w:r>
          </w:p>
          <w:p w14:paraId="13027DB0" w14:textId="77777777" w:rsidR="00966C93" w:rsidRPr="00966C93" w:rsidRDefault="00966C93" w:rsidP="00966C93">
            <w:pPr>
              <w:pStyle w:val="NormalWeb"/>
              <w:numPr>
                <w:ilvl w:val="0"/>
                <w:numId w:val="10"/>
              </w:numPr>
              <w:spacing w:before="0" w:beforeAutospacing="0" w:after="0" w:afterAutospacing="0"/>
              <w:textAlignment w:val="baseline"/>
              <w:rPr>
                <w:rFonts w:asciiTheme="minorHAnsi" w:hAnsiTheme="minorHAnsi"/>
                <w:color w:val="000000"/>
                <w:sz w:val="22"/>
                <w:szCs w:val="22"/>
              </w:rPr>
            </w:pPr>
            <w:r w:rsidRPr="00966C93">
              <w:rPr>
                <w:rFonts w:asciiTheme="minorHAnsi" w:hAnsiTheme="minorHAnsi"/>
                <w:color w:val="000000"/>
                <w:sz w:val="22"/>
                <w:szCs w:val="22"/>
              </w:rPr>
              <w:t xml:space="preserve">Revolutionary School Culture by Amen </w:t>
            </w:r>
            <w:proofErr w:type="spellStart"/>
            <w:r w:rsidRPr="00966C93">
              <w:rPr>
                <w:rFonts w:asciiTheme="minorHAnsi" w:hAnsiTheme="minorHAnsi"/>
                <w:color w:val="000000"/>
                <w:sz w:val="22"/>
                <w:szCs w:val="22"/>
              </w:rPr>
              <w:t>Rahh</w:t>
            </w:r>
            <w:proofErr w:type="spellEnd"/>
          </w:p>
          <w:p w14:paraId="619C9596" w14:textId="77777777" w:rsidR="00966C93" w:rsidRPr="00966C93" w:rsidRDefault="00966C93" w:rsidP="00966C93">
            <w:pPr>
              <w:pStyle w:val="NormalWeb"/>
              <w:numPr>
                <w:ilvl w:val="0"/>
                <w:numId w:val="10"/>
              </w:numPr>
              <w:spacing w:before="0" w:beforeAutospacing="0" w:after="0" w:afterAutospacing="0"/>
              <w:textAlignment w:val="baseline"/>
              <w:rPr>
                <w:rFonts w:asciiTheme="minorHAnsi" w:hAnsiTheme="minorHAnsi"/>
                <w:color w:val="000000"/>
                <w:sz w:val="22"/>
                <w:szCs w:val="22"/>
              </w:rPr>
            </w:pPr>
            <w:r w:rsidRPr="00966C93">
              <w:rPr>
                <w:rFonts w:asciiTheme="minorHAnsi" w:hAnsiTheme="minorHAnsi"/>
                <w:color w:val="000000"/>
                <w:sz w:val="22"/>
                <w:szCs w:val="22"/>
              </w:rPr>
              <w:t>Grading for Equity by Joe Feldman</w:t>
            </w:r>
          </w:p>
          <w:p w14:paraId="1201BD50" w14:textId="6ED7650E" w:rsidR="00966C93" w:rsidRPr="00966C93" w:rsidRDefault="00966C93" w:rsidP="00966C93">
            <w:pPr>
              <w:pStyle w:val="NormalWeb"/>
              <w:numPr>
                <w:ilvl w:val="0"/>
                <w:numId w:val="10"/>
              </w:numPr>
              <w:spacing w:before="0" w:beforeAutospacing="0" w:after="0" w:afterAutospacing="0"/>
              <w:textAlignment w:val="baseline"/>
              <w:rPr>
                <w:rFonts w:ascii="Source Sans Pro" w:hAnsi="Source Sans Pro"/>
                <w:b/>
                <w:bCs/>
                <w:color w:val="000000"/>
                <w:sz w:val="22"/>
                <w:szCs w:val="22"/>
              </w:rPr>
            </w:pPr>
            <w:r w:rsidRPr="00966C93">
              <w:rPr>
                <w:rFonts w:asciiTheme="minorHAnsi" w:hAnsiTheme="minorHAnsi"/>
                <w:color w:val="000000"/>
                <w:sz w:val="22"/>
                <w:szCs w:val="22"/>
              </w:rPr>
              <w:t>Culturally Responsive Standards-Based Teaching</w:t>
            </w:r>
          </w:p>
        </w:tc>
      </w:tr>
    </w:tbl>
    <w:p w14:paraId="40C9C050" w14:textId="16E39974" w:rsidR="00CE694F" w:rsidRPr="001C0343" w:rsidRDefault="00CE694F" w:rsidP="006F512B">
      <w:pPr>
        <w:spacing w:after="0"/>
        <w:rPr>
          <w:rFonts w:cstheme="minorHAnsi"/>
        </w:rPr>
      </w:pPr>
    </w:p>
    <w:sectPr w:rsidR="00CE694F" w:rsidRPr="001C0343" w:rsidSect="006F512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AA132" w14:textId="77777777" w:rsidR="00972342" w:rsidRDefault="00972342" w:rsidP="006F512B">
      <w:pPr>
        <w:spacing w:after="0" w:line="240" w:lineRule="auto"/>
      </w:pPr>
      <w:r>
        <w:separator/>
      </w:r>
    </w:p>
  </w:endnote>
  <w:endnote w:type="continuationSeparator" w:id="0">
    <w:p w14:paraId="3AFF0934" w14:textId="77777777" w:rsidR="00972342" w:rsidRDefault="00972342"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B5CD2" w14:textId="77777777" w:rsidR="00972342" w:rsidRDefault="00972342" w:rsidP="006F512B">
      <w:pPr>
        <w:spacing w:after="0" w:line="240" w:lineRule="auto"/>
      </w:pPr>
      <w:r>
        <w:separator/>
      </w:r>
    </w:p>
  </w:footnote>
  <w:footnote w:type="continuationSeparator" w:id="0">
    <w:p w14:paraId="7EF9C69C" w14:textId="77777777" w:rsidR="00972342" w:rsidRDefault="00972342"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038B9A46">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60B"/>
    <w:multiLevelType w:val="multilevel"/>
    <w:tmpl w:val="6F6E3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C0118"/>
    <w:multiLevelType w:val="multilevel"/>
    <w:tmpl w:val="392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F6023"/>
    <w:multiLevelType w:val="multilevel"/>
    <w:tmpl w:val="EA14C88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553FB"/>
    <w:multiLevelType w:val="multilevel"/>
    <w:tmpl w:val="26C4B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281B29"/>
    <w:multiLevelType w:val="multilevel"/>
    <w:tmpl w:val="553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82F1C"/>
    <w:multiLevelType w:val="multilevel"/>
    <w:tmpl w:val="1F9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81F42"/>
    <w:multiLevelType w:val="multilevel"/>
    <w:tmpl w:val="C592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364180"/>
    <w:multiLevelType w:val="multilevel"/>
    <w:tmpl w:val="26C4B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6"/>
  </w:num>
  <w:num w:numId="4">
    <w:abstractNumId w:val="0"/>
  </w:num>
  <w:num w:numId="5">
    <w:abstractNumId w:val="0"/>
  </w:num>
  <w:num w:numId="6">
    <w:abstractNumId w:val="5"/>
  </w:num>
  <w:num w:numId="7">
    <w:abstractNumId w:val="3"/>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042D87"/>
    <w:rsid w:val="00062B72"/>
    <w:rsid w:val="001C0343"/>
    <w:rsid w:val="00204D97"/>
    <w:rsid w:val="002F19B2"/>
    <w:rsid w:val="005875C5"/>
    <w:rsid w:val="00606664"/>
    <w:rsid w:val="006F512B"/>
    <w:rsid w:val="00726944"/>
    <w:rsid w:val="00966C93"/>
    <w:rsid w:val="00972342"/>
    <w:rsid w:val="00B865F7"/>
    <w:rsid w:val="00B93A1C"/>
    <w:rsid w:val="00BB4D88"/>
    <w:rsid w:val="00C86D62"/>
    <w:rsid w:val="00CE694F"/>
    <w:rsid w:val="00CF68AC"/>
    <w:rsid w:val="00EF0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 w:type="character" w:styleId="CommentReference">
    <w:name w:val="annotation reference"/>
    <w:basedOn w:val="DefaultParagraphFont"/>
    <w:uiPriority w:val="99"/>
    <w:semiHidden/>
    <w:unhideWhenUsed/>
    <w:rsid w:val="00CF68AC"/>
    <w:rPr>
      <w:sz w:val="16"/>
      <w:szCs w:val="16"/>
    </w:rPr>
  </w:style>
  <w:style w:type="paragraph" w:styleId="CommentText">
    <w:name w:val="annotation text"/>
    <w:basedOn w:val="Normal"/>
    <w:link w:val="CommentTextChar"/>
    <w:uiPriority w:val="99"/>
    <w:semiHidden/>
    <w:unhideWhenUsed/>
    <w:rsid w:val="00CF68AC"/>
    <w:pPr>
      <w:spacing w:line="240" w:lineRule="auto"/>
    </w:pPr>
    <w:rPr>
      <w:sz w:val="20"/>
      <w:szCs w:val="20"/>
    </w:rPr>
  </w:style>
  <w:style w:type="character" w:customStyle="1" w:styleId="CommentTextChar">
    <w:name w:val="Comment Text Char"/>
    <w:basedOn w:val="DefaultParagraphFont"/>
    <w:link w:val="CommentText"/>
    <w:uiPriority w:val="99"/>
    <w:semiHidden/>
    <w:rsid w:val="00CF68AC"/>
    <w:rPr>
      <w:sz w:val="20"/>
      <w:szCs w:val="20"/>
    </w:rPr>
  </w:style>
  <w:style w:type="paragraph" w:styleId="CommentSubject">
    <w:name w:val="annotation subject"/>
    <w:basedOn w:val="CommentText"/>
    <w:next w:val="CommentText"/>
    <w:link w:val="CommentSubjectChar"/>
    <w:uiPriority w:val="99"/>
    <w:semiHidden/>
    <w:unhideWhenUsed/>
    <w:rsid w:val="00CF68AC"/>
    <w:rPr>
      <w:b/>
      <w:bCs/>
    </w:rPr>
  </w:style>
  <w:style w:type="character" w:customStyle="1" w:styleId="CommentSubjectChar">
    <w:name w:val="Comment Subject Char"/>
    <w:basedOn w:val="CommentTextChar"/>
    <w:link w:val="CommentSubject"/>
    <w:uiPriority w:val="99"/>
    <w:semiHidden/>
    <w:rsid w:val="00CF68AC"/>
    <w:rPr>
      <w:b/>
      <w:bCs/>
      <w:sz w:val="20"/>
      <w:szCs w:val="20"/>
    </w:rPr>
  </w:style>
  <w:style w:type="paragraph" w:styleId="ListParagraph">
    <w:name w:val="List Paragraph"/>
    <w:basedOn w:val="Normal"/>
    <w:uiPriority w:val="34"/>
    <w:qFormat/>
    <w:rsid w:val="00966C93"/>
    <w:pPr>
      <w:ind w:left="720"/>
      <w:contextualSpacing/>
    </w:pPr>
  </w:style>
  <w:style w:type="paragraph" w:styleId="NormalWeb">
    <w:name w:val="Normal (Web)"/>
    <w:basedOn w:val="Normal"/>
    <w:uiPriority w:val="99"/>
    <w:unhideWhenUsed/>
    <w:rsid w:val="00966C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0896">
      <w:bodyDiv w:val="1"/>
      <w:marLeft w:val="0"/>
      <w:marRight w:val="0"/>
      <w:marTop w:val="0"/>
      <w:marBottom w:val="0"/>
      <w:divBdr>
        <w:top w:val="none" w:sz="0" w:space="0" w:color="auto"/>
        <w:left w:val="none" w:sz="0" w:space="0" w:color="auto"/>
        <w:bottom w:val="none" w:sz="0" w:space="0" w:color="auto"/>
        <w:right w:val="none" w:sz="0" w:space="0" w:color="auto"/>
      </w:divBdr>
    </w:div>
    <w:div w:id="109519445">
      <w:bodyDiv w:val="1"/>
      <w:marLeft w:val="0"/>
      <w:marRight w:val="0"/>
      <w:marTop w:val="0"/>
      <w:marBottom w:val="0"/>
      <w:divBdr>
        <w:top w:val="none" w:sz="0" w:space="0" w:color="auto"/>
        <w:left w:val="none" w:sz="0" w:space="0" w:color="auto"/>
        <w:bottom w:val="none" w:sz="0" w:space="0" w:color="auto"/>
        <w:right w:val="none" w:sz="0" w:space="0" w:color="auto"/>
      </w:divBdr>
    </w:div>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162474380">
      <w:bodyDiv w:val="1"/>
      <w:marLeft w:val="0"/>
      <w:marRight w:val="0"/>
      <w:marTop w:val="0"/>
      <w:marBottom w:val="0"/>
      <w:divBdr>
        <w:top w:val="none" w:sz="0" w:space="0" w:color="auto"/>
        <w:left w:val="none" w:sz="0" w:space="0" w:color="auto"/>
        <w:bottom w:val="none" w:sz="0" w:space="0" w:color="auto"/>
        <w:right w:val="none" w:sz="0" w:space="0" w:color="auto"/>
      </w:divBdr>
    </w:div>
    <w:div w:id="210699018">
      <w:bodyDiv w:val="1"/>
      <w:marLeft w:val="0"/>
      <w:marRight w:val="0"/>
      <w:marTop w:val="0"/>
      <w:marBottom w:val="0"/>
      <w:divBdr>
        <w:top w:val="none" w:sz="0" w:space="0" w:color="auto"/>
        <w:left w:val="none" w:sz="0" w:space="0" w:color="auto"/>
        <w:bottom w:val="none" w:sz="0" w:space="0" w:color="auto"/>
        <w:right w:val="none" w:sz="0" w:space="0" w:color="auto"/>
      </w:divBdr>
    </w:div>
    <w:div w:id="231428335">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719208515">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927350150">
      <w:bodyDiv w:val="1"/>
      <w:marLeft w:val="0"/>
      <w:marRight w:val="0"/>
      <w:marTop w:val="0"/>
      <w:marBottom w:val="0"/>
      <w:divBdr>
        <w:top w:val="none" w:sz="0" w:space="0" w:color="auto"/>
        <w:left w:val="none" w:sz="0" w:space="0" w:color="auto"/>
        <w:bottom w:val="none" w:sz="0" w:space="0" w:color="auto"/>
        <w:right w:val="none" w:sz="0" w:space="0" w:color="auto"/>
      </w:divBdr>
    </w:div>
    <w:div w:id="957370251">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406758435">
      <w:bodyDiv w:val="1"/>
      <w:marLeft w:val="0"/>
      <w:marRight w:val="0"/>
      <w:marTop w:val="0"/>
      <w:marBottom w:val="0"/>
      <w:divBdr>
        <w:top w:val="none" w:sz="0" w:space="0" w:color="auto"/>
        <w:left w:val="none" w:sz="0" w:space="0" w:color="auto"/>
        <w:bottom w:val="none" w:sz="0" w:space="0" w:color="auto"/>
        <w:right w:val="none" w:sz="0" w:space="0" w:color="auto"/>
      </w:divBdr>
    </w:div>
    <w:div w:id="1469318833">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 w:id="2066369331">
      <w:bodyDiv w:val="1"/>
      <w:marLeft w:val="0"/>
      <w:marRight w:val="0"/>
      <w:marTop w:val="0"/>
      <w:marBottom w:val="0"/>
      <w:divBdr>
        <w:top w:val="none" w:sz="0" w:space="0" w:color="auto"/>
        <w:left w:val="none" w:sz="0" w:space="0" w:color="auto"/>
        <w:bottom w:val="none" w:sz="0" w:space="0" w:color="auto"/>
        <w:right w:val="none" w:sz="0" w:space="0" w:color="auto"/>
      </w:divBdr>
    </w:div>
    <w:div w:id="20968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g9NCCs-bqXffoCDs3fHsa7CZKVXKcW2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3NC_p76Ogu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DESE-231-70994</_dlc_DocId>
    <_dlc_DocIdUrl xmlns="733efe1c-5bbe-4968-87dc-d400e65c879f">
      <Url>https://sharepoint.doemass.org/ese/webteam/cps/_layouts/DocIdRedir.aspx?ID=DESE-231-70994</Url>
      <Description>DESE-231-70994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2B1F93-6792-4447-BA5F-8E0CFA664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6422E-EFB0-48A5-890F-C84A21E0A36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72F299A-0DF6-4A41-A16E-7F975267AD3E}">
  <ds:schemaRefs>
    <ds:schemaRef ds:uri="http://schemas.microsoft.com/sharepoint/v3/contenttype/forms"/>
  </ds:schemaRefs>
</ds:datastoreItem>
</file>

<file path=customXml/itemProps4.xml><?xml version="1.0" encoding="utf-8"?>
<ds:datastoreItem xmlns:ds="http://schemas.openxmlformats.org/officeDocument/2006/customXml" ds:itemID="{865C8CD5-3CAA-478A-ACE1-3BBE26ED1D1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CRT Video Description - Raksmey Derival</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Raksmey Derival</dc:title>
  <dc:subject/>
  <dc:creator>DESE</dc:creator>
  <cp:keywords/>
  <dc:description/>
  <cp:lastModifiedBy>Zou, Dong (EOE)</cp:lastModifiedBy>
  <cp:revision>5</cp:revision>
  <dcterms:created xsi:type="dcterms:W3CDTF">2021-05-21T17:44:00Z</dcterms:created>
  <dcterms:modified xsi:type="dcterms:W3CDTF">2021-05-25T15:22:00Z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