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610"/>
      </w:tblGrid>
      <w:tr w:rsidR="00A30E2F" w14:paraId="0E763580" w14:textId="1316FAA3" w:rsidTr="005B7092">
        <w:tc>
          <w:tcPr>
            <w:tcW w:w="9180" w:type="dxa"/>
            <w:tcBorders>
              <w:bottom w:val="single" w:sz="48" w:space="0" w:color="D9E2F3" w:themeColor="accent1" w:themeTint="33"/>
            </w:tcBorders>
            <w:shd w:val="clear" w:color="auto" w:fill="4472C4" w:themeFill="accent1"/>
          </w:tcPr>
          <w:p w14:paraId="6F388412" w14:textId="62B4A4C5" w:rsidR="00A30E2F" w:rsidRPr="005B7092" w:rsidRDefault="00A30E2F" w:rsidP="00A30E2F">
            <w:pPr>
              <w:spacing w:after="60"/>
              <w:rPr>
                <w:rFonts w:ascii="Quire Sans Pro Light" w:hAnsi="Quire Sans Pro Light" w:cs="Quire Sans"/>
                <w:color w:val="FFFFFF" w:themeColor="background1"/>
                <w:sz w:val="24"/>
                <w:szCs w:val="24"/>
              </w:rPr>
            </w:pPr>
            <w:r w:rsidRPr="005B7092">
              <w:rPr>
                <w:rFonts w:ascii="Quire Sans Pro Light" w:hAnsi="Quire Sans Pro Light" w:cs="Quire Sans"/>
                <w:color w:val="FFFFFF" w:themeColor="background1"/>
                <w:sz w:val="24"/>
                <w:szCs w:val="24"/>
              </w:rPr>
              <w:t>QUICK REFERENCE GUIDE</w:t>
            </w:r>
          </w:p>
          <w:p w14:paraId="4F9B28BA" w14:textId="58F081E2" w:rsidR="00A30E2F" w:rsidRPr="00A30E2F" w:rsidRDefault="00A30E2F" w:rsidP="003A63D5">
            <w:pPr>
              <w:tabs>
                <w:tab w:val="right" w:pos="8964"/>
              </w:tabs>
              <w:rPr>
                <w:rFonts w:ascii="Aharoni" w:hAnsi="Aharoni" w:cs="Aharoni"/>
                <w:color w:val="FFFFFF" w:themeColor="background1"/>
              </w:rPr>
            </w:pPr>
            <w:r w:rsidRPr="005B7092">
              <w:rPr>
                <w:rFonts w:ascii="Aharoni" w:hAnsi="Aharoni" w:cs="Aharoni" w:hint="cs"/>
                <w:color w:val="FFFFFF" w:themeColor="background1"/>
                <w:sz w:val="36"/>
                <w:szCs w:val="36"/>
              </w:rPr>
              <w:t xml:space="preserve">Engaging Families </w:t>
            </w:r>
            <w:r w:rsidR="00B50082">
              <w:rPr>
                <w:rFonts w:ascii="Aharoni" w:hAnsi="Aharoni" w:cs="Aharoni"/>
                <w:color w:val="FFFFFF" w:themeColor="background1"/>
                <w:sz w:val="36"/>
                <w:szCs w:val="36"/>
              </w:rPr>
              <w:t>through</w:t>
            </w:r>
            <w:r w:rsidRPr="005B7092">
              <w:rPr>
                <w:rFonts w:ascii="Aharoni" w:hAnsi="Aharoni" w:cs="Aharoni" w:hint="cs"/>
                <w:color w:val="FFFFFF" w:themeColor="background1"/>
                <w:sz w:val="36"/>
                <w:szCs w:val="36"/>
              </w:rPr>
              <w:t xml:space="preserve"> Educator Evaluation</w:t>
            </w:r>
            <w:r w:rsidR="003A63D5">
              <w:rPr>
                <w:rFonts w:ascii="Aharoni" w:hAnsi="Aharoni" w:cs="Aharoni"/>
                <w:color w:val="FFFFFF" w:themeColor="background1"/>
                <w:sz w:val="36"/>
                <w:szCs w:val="36"/>
              </w:rPr>
              <w:tab/>
            </w:r>
          </w:p>
        </w:tc>
        <w:tc>
          <w:tcPr>
            <w:tcW w:w="1610" w:type="dxa"/>
            <w:tcBorders>
              <w:bottom w:val="single" w:sz="48" w:space="0" w:color="D9E2F3" w:themeColor="accent1" w:themeTint="33"/>
            </w:tcBorders>
            <w:shd w:val="clear" w:color="auto" w:fill="4472C4" w:themeFill="accent1"/>
          </w:tcPr>
          <w:p w14:paraId="739A0532" w14:textId="0DF73B54" w:rsidR="00A30E2F" w:rsidRPr="00A30E2F" w:rsidRDefault="00A30E2F" w:rsidP="00A30E2F">
            <w:pPr>
              <w:jc w:val="right"/>
              <w:rPr>
                <w:rFonts w:ascii="Aharoni" w:hAnsi="Aharoni" w:cs="Aharoni"/>
                <w:color w:val="FFFFFF" w:themeColor="background1"/>
              </w:rPr>
            </w:pPr>
          </w:p>
        </w:tc>
      </w:tr>
    </w:tbl>
    <w:p w14:paraId="7DB9AE6C" w14:textId="47220AC8" w:rsidR="009B69BE" w:rsidRPr="00E25BC6" w:rsidRDefault="0057769A" w:rsidP="00E25BC6">
      <w:pPr>
        <w:spacing w:after="0"/>
        <w:rPr>
          <w:b/>
          <w:bCs/>
        </w:rPr>
      </w:pPr>
      <w:r>
        <w:rPr>
          <w:rFonts w:ascii="Quire Sans Pro Light" w:hAnsi="Quire Sans Pro Light"/>
          <w:noProof/>
        </w:rPr>
        <w:drawing>
          <wp:anchor distT="0" distB="0" distL="114300" distR="114300" simplePos="0" relativeHeight="251658752" behindDoc="0" locked="0" layoutInCell="1" allowOverlap="1" wp14:anchorId="018B222B" wp14:editId="0C081E7D">
            <wp:simplePos x="0" y="0"/>
            <wp:positionH relativeFrom="column">
              <wp:posOffset>5514975</wp:posOffset>
            </wp:positionH>
            <wp:positionV relativeFrom="paragraph">
              <wp:posOffset>-878840</wp:posOffset>
            </wp:positionV>
            <wp:extent cx="1305608" cy="352425"/>
            <wp:effectExtent l="0" t="0" r="8890" b="0"/>
            <wp:wrapNone/>
            <wp:docPr id="7" name="Picture 7" descr="Educator Evaluation Implementation Resou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ducator Evaluation Implementation Resour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5608" cy="352425"/>
                    </a:xfrm>
                    <a:prstGeom prst="rect">
                      <a:avLst/>
                    </a:prstGeom>
                  </pic:spPr>
                </pic:pic>
              </a:graphicData>
            </a:graphic>
            <wp14:sizeRelH relativeFrom="margin">
              <wp14:pctWidth>0</wp14:pctWidth>
            </wp14:sizeRelH>
            <wp14:sizeRelV relativeFrom="margin">
              <wp14:pctHeight>0</wp14:pctHeight>
            </wp14:sizeRelV>
          </wp:anchor>
        </w:drawing>
      </w:r>
      <w:r w:rsidR="00B50082">
        <w:rPr>
          <w:rFonts w:ascii="Quire Sans Pro Light" w:hAnsi="Quire Sans Pro Light"/>
          <w:b/>
          <w:bCs/>
        </w:rPr>
        <w:t xml:space="preserve">Family </w:t>
      </w:r>
      <w:r w:rsidR="003F2721">
        <w:rPr>
          <w:rFonts w:ascii="Quire Sans Pro Light" w:hAnsi="Quire Sans Pro Light"/>
          <w:b/>
          <w:bCs/>
        </w:rPr>
        <w:t>input</w:t>
      </w:r>
      <w:r w:rsidR="00B50082">
        <w:rPr>
          <w:rFonts w:ascii="Quire Sans Pro Light" w:hAnsi="Quire Sans Pro Light"/>
          <w:b/>
          <w:bCs/>
        </w:rPr>
        <w:t xml:space="preserve"> can support educators’ continued growth and development toward</w:t>
      </w:r>
      <w:r w:rsidR="0014692B">
        <w:rPr>
          <w:rFonts w:ascii="Quire Sans Pro Light" w:hAnsi="Quire Sans Pro Light"/>
          <w:b/>
          <w:bCs/>
        </w:rPr>
        <w:t xml:space="preserve"> culturally</w:t>
      </w:r>
      <w:r w:rsidR="001E0EB9" w:rsidRPr="0014692B">
        <w:rPr>
          <w:rFonts w:ascii="Quire Sans Pro Light" w:hAnsi="Quire Sans Pro Light"/>
          <w:b/>
          <w:bCs/>
        </w:rPr>
        <w:t xml:space="preserve"> responsive, equitable </w:t>
      </w:r>
      <w:r w:rsidR="0014692B">
        <w:rPr>
          <w:rFonts w:ascii="Quire Sans Pro Light" w:hAnsi="Quire Sans Pro Light"/>
          <w:b/>
          <w:bCs/>
        </w:rPr>
        <w:t>teaching and leading</w:t>
      </w:r>
      <w:r w:rsidR="001E0EB9" w:rsidRPr="0014692B">
        <w:rPr>
          <w:rFonts w:ascii="Quire Sans Pro Light" w:hAnsi="Quire Sans Pro Light"/>
          <w:b/>
          <w:bCs/>
        </w:rPr>
        <w:t xml:space="preserve">. </w:t>
      </w:r>
      <w:r w:rsidR="001E0EB9" w:rsidRPr="0014692B">
        <w:rPr>
          <w:rFonts w:ascii="Quire Sans Pro Light" w:hAnsi="Quire Sans Pro Light"/>
        </w:rPr>
        <w:t xml:space="preserve">Families </w:t>
      </w:r>
      <w:r w:rsidR="0014692B">
        <w:rPr>
          <w:rFonts w:ascii="Quire Sans Pro Light" w:hAnsi="Quire Sans Pro Light"/>
        </w:rPr>
        <w:t>are their children’s first and best advocates,</w:t>
      </w:r>
      <w:r w:rsidR="0014692B" w:rsidRPr="0014692B">
        <w:rPr>
          <w:rFonts w:ascii="Quire Sans Pro Light" w:hAnsi="Quire Sans Pro Light"/>
        </w:rPr>
        <w:t xml:space="preserve"> </w:t>
      </w:r>
      <w:r w:rsidR="0014692B">
        <w:rPr>
          <w:rFonts w:ascii="Quire Sans Pro Light" w:hAnsi="Quire Sans Pro Light"/>
        </w:rPr>
        <w:t>positioning them</w:t>
      </w:r>
      <w:r w:rsidR="0014692B" w:rsidRPr="0014692B">
        <w:rPr>
          <w:rFonts w:ascii="Quire Sans Pro Light" w:hAnsi="Quire Sans Pro Light"/>
        </w:rPr>
        <w:t xml:space="preserve"> to help educators understand what </w:t>
      </w:r>
      <w:r w:rsidR="0014692B">
        <w:rPr>
          <w:rFonts w:ascii="Quire Sans Pro Light" w:hAnsi="Quire Sans Pro Light"/>
        </w:rPr>
        <w:t>it means to be a great teacher for their students</w:t>
      </w:r>
      <w:r w:rsidR="0014692B" w:rsidRPr="0014692B">
        <w:rPr>
          <w:rFonts w:ascii="Quire Sans Pro Light" w:hAnsi="Quire Sans Pro Light"/>
        </w:rPr>
        <w:t xml:space="preserve"> - especially when there are cultural differences between educators and the </w:t>
      </w:r>
      <w:r w:rsidR="00F35526">
        <w:rPr>
          <w:rFonts w:ascii="Quire Sans Pro Light" w:hAnsi="Quire Sans Pro Light"/>
        </w:rPr>
        <w:t>students and families</w:t>
      </w:r>
      <w:r w:rsidR="0014692B" w:rsidRPr="0014692B">
        <w:rPr>
          <w:rFonts w:ascii="Quire Sans Pro Light" w:hAnsi="Quire Sans Pro Light"/>
        </w:rPr>
        <w:t xml:space="preserve"> they serve. </w:t>
      </w:r>
      <w:r w:rsidR="001E0EB9" w:rsidRPr="0014692B">
        <w:rPr>
          <w:rFonts w:ascii="Quire Sans Pro Light" w:hAnsi="Quire Sans Pro Light"/>
        </w:rPr>
        <w:t>While not required as part of the current Model System</w:t>
      </w:r>
      <w:r w:rsidR="006B7D4A">
        <w:rPr>
          <w:rFonts w:ascii="Quire Sans Pro Light" w:hAnsi="Quire Sans Pro Light"/>
        </w:rPr>
        <w:t xml:space="preserve"> for educator evaluation in Massachusetts</w:t>
      </w:r>
      <w:r w:rsidR="001E0EB9" w:rsidRPr="0014692B">
        <w:rPr>
          <w:rFonts w:ascii="Quire Sans Pro Light" w:hAnsi="Quire Sans Pro Light"/>
        </w:rPr>
        <w:t>, family voice can</w:t>
      </w:r>
      <w:r w:rsidR="00902EFA">
        <w:rPr>
          <w:rFonts w:ascii="Quire Sans Pro Light" w:hAnsi="Quire Sans Pro Light"/>
        </w:rPr>
        <w:t xml:space="preserve"> help to</w:t>
      </w:r>
      <w:r w:rsidR="001E0EB9" w:rsidRPr="0014692B">
        <w:rPr>
          <w:rFonts w:ascii="Quire Sans Pro Light" w:hAnsi="Quire Sans Pro Light"/>
        </w:rPr>
        <w:t xml:space="preserve"> ensure that “evaluations of effective teaching are meaningful in their local context.”</w:t>
      </w:r>
      <w:r w:rsidR="0014692B" w:rsidRPr="0014692B">
        <w:rPr>
          <w:rStyle w:val="FootnoteReference"/>
          <w:rFonts w:ascii="Quire Sans Pro Light" w:hAnsi="Quire Sans Pro Light"/>
        </w:rPr>
        <w:footnoteReference w:id="1"/>
      </w:r>
      <w:r w:rsidR="001E0EB9" w:rsidRPr="0014692B">
        <w:rPr>
          <w:rFonts w:ascii="Quire Sans Pro Light" w:hAnsi="Quire Sans Pro Light"/>
        </w:rPr>
        <w:t xml:space="preserve">  </w:t>
      </w:r>
      <w:r w:rsidR="0014692B" w:rsidRPr="0014692B">
        <w:rPr>
          <w:rFonts w:ascii="Quire Sans Pro Light" w:hAnsi="Quire Sans Pro Light"/>
        </w:rPr>
        <w:t>This QRG provides guidance</w:t>
      </w:r>
      <w:r w:rsidR="00B50082">
        <w:rPr>
          <w:rFonts w:ascii="Quire Sans Pro Light" w:hAnsi="Quire Sans Pro Light"/>
        </w:rPr>
        <w:t xml:space="preserve"> to educators and evaluators</w:t>
      </w:r>
      <w:r w:rsidR="0014692B" w:rsidRPr="0014692B">
        <w:rPr>
          <w:rFonts w:ascii="Quire Sans Pro Light" w:hAnsi="Quire Sans Pro Light"/>
        </w:rPr>
        <w:t xml:space="preserve"> on </w:t>
      </w:r>
      <w:r w:rsidR="005955BB">
        <w:rPr>
          <w:rFonts w:ascii="Quire Sans Pro Light" w:hAnsi="Quire Sans Pro Light"/>
        </w:rPr>
        <w:t xml:space="preserve">1) general principles of family engagement </w:t>
      </w:r>
      <w:r w:rsidR="00902EFA">
        <w:rPr>
          <w:rFonts w:ascii="Quire Sans Pro Light" w:hAnsi="Quire Sans Pro Light"/>
        </w:rPr>
        <w:t>with</w:t>
      </w:r>
      <w:r w:rsidR="005955BB">
        <w:rPr>
          <w:rFonts w:ascii="Quire Sans Pro Light" w:hAnsi="Quire Sans Pro Light"/>
        </w:rPr>
        <w:t xml:space="preserve">in the educator evaluation process and 2) integrating family voice into the </w:t>
      </w:r>
      <w:hyperlink r:id="rId12" w:anchor="view-list" w:history="1">
        <w:r w:rsidR="005955BB">
          <w:rPr>
            <w:rStyle w:val="Hyperlink"/>
            <w:rFonts w:ascii="Quire Sans Pro Light" w:hAnsi="Quire Sans Pro Light"/>
          </w:rPr>
          <w:t>Five-Step Educator Evaluation Cycle</w:t>
        </w:r>
      </w:hyperlink>
      <w:r w:rsidR="0014692B" w:rsidRPr="0014692B">
        <w:rPr>
          <w:rFonts w:ascii="Quire Sans Pro Light" w:hAnsi="Quire Sans Pro Light"/>
        </w:rPr>
        <w:t xml:space="preserve">. </w:t>
      </w:r>
    </w:p>
    <w:tbl>
      <w:tblPr>
        <w:tblStyle w:val="TableGrid"/>
        <w:tblW w:w="0" w:type="auto"/>
        <w:tblLook w:val="04A0" w:firstRow="1" w:lastRow="0" w:firstColumn="1" w:lastColumn="0" w:noHBand="0" w:noVBand="1"/>
      </w:tblPr>
      <w:tblGrid>
        <w:gridCol w:w="2003"/>
        <w:gridCol w:w="1737"/>
        <w:gridCol w:w="887"/>
        <w:gridCol w:w="1673"/>
        <w:gridCol w:w="964"/>
        <w:gridCol w:w="3519"/>
        <w:gridCol w:w="17"/>
      </w:tblGrid>
      <w:tr w:rsidR="00BC282E" w14:paraId="54AAAD73" w14:textId="77777777" w:rsidTr="007F4AA8">
        <w:trPr>
          <w:gridAfter w:val="1"/>
          <w:wAfter w:w="17" w:type="dxa"/>
          <w:trHeight w:val="504"/>
        </w:trPr>
        <w:tc>
          <w:tcPr>
            <w:tcW w:w="10783" w:type="dxa"/>
            <w:gridSpan w:val="6"/>
            <w:tcBorders>
              <w:top w:val="nil"/>
              <w:left w:val="nil"/>
              <w:bottom w:val="nil"/>
              <w:right w:val="nil"/>
            </w:tcBorders>
            <w:shd w:val="clear" w:color="auto" w:fill="4472C4" w:themeFill="accent1"/>
            <w:vAlign w:val="center"/>
          </w:tcPr>
          <w:p w14:paraId="6402A617" w14:textId="4527D803" w:rsidR="00BC282E" w:rsidRDefault="00BC282E" w:rsidP="00BC282E">
            <w:pPr>
              <w:spacing w:before="60"/>
              <w:rPr>
                <w:rFonts w:ascii="Aharoni" w:hAnsi="Aharoni" w:cs="Aharoni"/>
              </w:rPr>
            </w:pPr>
            <w:r w:rsidRPr="005955BB">
              <w:rPr>
                <w:rFonts w:ascii="Aharoni" w:hAnsi="Aharoni" w:cs="Aharoni"/>
                <w:color w:val="FFFFFF" w:themeColor="background1"/>
                <w:sz w:val="24"/>
                <w:szCs w:val="24"/>
              </w:rPr>
              <w:t>PRINCIPLES OF FAMILY ENGAGEMENT IN THE EDUCATOR EVALUATION PROCESS</w:t>
            </w:r>
          </w:p>
        </w:tc>
      </w:tr>
      <w:tr w:rsidR="00613886" w14:paraId="2359C859" w14:textId="77777777" w:rsidTr="007F4AA8">
        <w:trPr>
          <w:gridAfter w:val="1"/>
          <w:wAfter w:w="17" w:type="dxa"/>
          <w:trHeight w:val="2448"/>
        </w:trPr>
        <w:tc>
          <w:tcPr>
            <w:tcW w:w="3740" w:type="dxa"/>
            <w:gridSpan w:val="2"/>
            <w:tcBorders>
              <w:top w:val="nil"/>
              <w:left w:val="nil"/>
              <w:bottom w:val="nil"/>
              <w:right w:val="nil"/>
            </w:tcBorders>
            <w:shd w:val="clear" w:color="auto" w:fill="D9E2F3" w:themeFill="accent1" w:themeFillTint="33"/>
          </w:tcPr>
          <w:p w14:paraId="4633FF7F" w14:textId="3601F0E7" w:rsidR="0031311C" w:rsidRPr="00613886" w:rsidRDefault="0031311C" w:rsidP="00613886">
            <w:pPr>
              <w:spacing w:before="60"/>
              <w:rPr>
                <w:rFonts w:ascii="Quire Sans Pro Light" w:hAnsi="Quire Sans Pro Light" w:cs="Aharoni"/>
                <w:b/>
                <w:bCs/>
              </w:rPr>
            </w:pPr>
            <w:r>
              <w:rPr>
                <w:rFonts w:ascii="Aharoni" w:hAnsi="Aharoni" w:cs="Aharoni"/>
              </w:rPr>
              <w:t xml:space="preserve">Above all, prioritize relationships. </w:t>
            </w:r>
            <w:r w:rsidRPr="0031311C">
              <w:rPr>
                <w:rFonts w:ascii="Quire Sans Pro Light" w:hAnsi="Quire Sans Pro Light" w:cs="Aharoni"/>
                <w:sz w:val="20"/>
                <w:szCs w:val="20"/>
              </w:rPr>
              <w:t>Know your families and caregivers as people first, and show up authentically and consistently to build a mutual partnership.</w:t>
            </w:r>
          </w:p>
        </w:tc>
        <w:tc>
          <w:tcPr>
            <w:tcW w:w="3524" w:type="dxa"/>
            <w:gridSpan w:val="3"/>
            <w:tcBorders>
              <w:top w:val="nil"/>
              <w:left w:val="nil"/>
              <w:bottom w:val="nil"/>
              <w:right w:val="nil"/>
            </w:tcBorders>
          </w:tcPr>
          <w:p w14:paraId="53DD7EAE" w14:textId="28003D01" w:rsidR="00613886" w:rsidRPr="005B7092" w:rsidRDefault="001B44CA" w:rsidP="0031311C">
            <w:pPr>
              <w:spacing w:before="60"/>
              <w:rPr>
                <w:rFonts w:ascii="Quire Sans Pro Light" w:hAnsi="Quire Sans Pro Light" w:cs="Aharoni"/>
                <w:sz w:val="20"/>
                <w:szCs w:val="20"/>
              </w:rPr>
            </w:pPr>
            <w:r>
              <w:rPr>
                <w:rFonts w:ascii="Aharoni" w:hAnsi="Aharoni" w:cs="Aharoni"/>
              </w:rPr>
              <w:t>Communicate the purpose and value of family input in educator evaluation.</w:t>
            </w:r>
            <w:r w:rsidRPr="00613886">
              <w:rPr>
                <w:rFonts w:ascii="Aharoni" w:hAnsi="Aharoni" w:cs="Aharoni"/>
              </w:rPr>
              <w:t xml:space="preserve"> </w:t>
            </w:r>
            <w:r w:rsidRPr="00613886">
              <w:rPr>
                <w:rFonts w:ascii="Quire Sans Pro Light" w:hAnsi="Quire Sans Pro Light" w:cs="Aharoni"/>
                <w:sz w:val="18"/>
                <w:szCs w:val="18"/>
              </w:rPr>
              <w:t xml:space="preserve"> </w:t>
            </w:r>
            <w:r>
              <w:rPr>
                <w:rFonts w:ascii="Quire Sans Pro Light" w:hAnsi="Quire Sans Pro Light" w:cs="Aharoni"/>
                <w:sz w:val="20"/>
                <w:szCs w:val="20"/>
              </w:rPr>
              <w:t xml:space="preserve">Families may not be aware of the existence of educator evaluation, or know much about how the process works. </w:t>
            </w:r>
            <w:r w:rsidR="00F35526">
              <w:rPr>
                <w:rFonts w:ascii="Quire Sans Pro Light" w:hAnsi="Quire Sans Pro Light" w:cs="Aharoni"/>
                <w:sz w:val="20"/>
                <w:szCs w:val="20"/>
              </w:rPr>
              <w:t>C</w:t>
            </w:r>
            <w:r>
              <w:rPr>
                <w:rFonts w:ascii="Quire Sans Pro Light" w:hAnsi="Quire Sans Pro Light" w:cs="Aharoni"/>
                <w:sz w:val="20"/>
                <w:szCs w:val="20"/>
              </w:rPr>
              <w:t xml:space="preserve">ommunicate why </w:t>
            </w:r>
            <w:proofErr w:type="gramStart"/>
            <w:r>
              <w:rPr>
                <w:rFonts w:ascii="Quire Sans Pro Light" w:hAnsi="Quire Sans Pro Light" w:cs="Aharoni"/>
                <w:sz w:val="20"/>
                <w:szCs w:val="20"/>
              </w:rPr>
              <w:t>you’re</w:t>
            </w:r>
            <w:proofErr w:type="gramEnd"/>
            <w:r>
              <w:rPr>
                <w:rFonts w:ascii="Quire Sans Pro Light" w:hAnsi="Quire Sans Pro Light" w:cs="Aharoni"/>
                <w:sz w:val="20"/>
                <w:szCs w:val="20"/>
              </w:rPr>
              <w:t xml:space="preserve"> asking for their input</w:t>
            </w:r>
            <w:r w:rsidR="00F35526">
              <w:rPr>
                <w:rFonts w:ascii="Quire Sans Pro Light" w:hAnsi="Quire Sans Pro Light" w:cs="Aharoni"/>
                <w:sz w:val="20"/>
                <w:szCs w:val="20"/>
              </w:rPr>
              <w:t>, keeping families’ accessibility needs in mind.</w:t>
            </w:r>
          </w:p>
        </w:tc>
        <w:tc>
          <w:tcPr>
            <w:tcW w:w="3519" w:type="dxa"/>
            <w:tcBorders>
              <w:top w:val="nil"/>
              <w:left w:val="nil"/>
              <w:bottom w:val="nil"/>
              <w:right w:val="nil"/>
            </w:tcBorders>
            <w:shd w:val="clear" w:color="auto" w:fill="D9E2F3" w:themeFill="accent1" w:themeFillTint="33"/>
          </w:tcPr>
          <w:p w14:paraId="7351C75A" w14:textId="54269617" w:rsidR="00613886" w:rsidRDefault="004B692F" w:rsidP="0031311C">
            <w:pPr>
              <w:spacing w:before="60"/>
            </w:pPr>
            <w:r>
              <w:rPr>
                <w:rFonts w:ascii="Aharoni" w:hAnsi="Aharoni" w:cs="Aharoni"/>
              </w:rPr>
              <w:t>Provide families with accessible and varied options for providing input.</w:t>
            </w:r>
            <w:r w:rsidRPr="00613886">
              <w:rPr>
                <w:rFonts w:ascii="Aharoni" w:hAnsi="Aharoni" w:cs="Aharoni"/>
              </w:rPr>
              <w:t xml:space="preserve"> </w:t>
            </w:r>
            <w:r w:rsidRPr="00613886">
              <w:rPr>
                <w:rFonts w:ascii="Quire Sans Pro Light" w:hAnsi="Quire Sans Pro Light" w:cs="Aharoni"/>
                <w:sz w:val="18"/>
                <w:szCs w:val="18"/>
              </w:rPr>
              <w:t xml:space="preserve"> </w:t>
            </w:r>
            <w:r w:rsidRPr="0031311C">
              <w:rPr>
                <w:rFonts w:ascii="Quire Sans Pro Light" w:hAnsi="Quire Sans Pro Light" w:cs="Aharoni"/>
                <w:sz w:val="20"/>
                <w:szCs w:val="20"/>
              </w:rPr>
              <w:t>Consider soliciting feedback or ideas through written surveys</w:t>
            </w:r>
            <w:r w:rsidR="00F35526">
              <w:rPr>
                <w:rFonts w:ascii="Quire Sans Pro Light" w:hAnsi="Quire Sans Pro Light" w:cs="Aharoni"/>
                <w:sz w:val="20"/>
                <w:szCs w:val="20"/>
              </w:rPr>
              <w:t xml:space="preserve"> in families’ primary languages</w:t>
            </w:r>
            <w:r w:rsidRPr="0031311C">
              <w:rPr>
                <w:rFonts w:ascii="Quire Sans Pro Light" w:hAnsi="Quire Sans Pro Light" w:cs="Aharoni"/>
                <w:sz w:val="20"/>
                <w:szCs w:val="20"/>
              </w:rPr>
              <w:t xml:space="preserve">, family conferences, informal conversations, </w:t>
            </w:r>
            <w:proofErr w:type="gramStart"/>
            <w:r w:rsidRPr="0031311C">
              <w:rPr>
                <w:rFonts w:ascii="Quire Sans Pro Light" w:hAnsi="Quire Sans Pro Light" w:cs="Aharoni"/>
                <w:sz w:val="20"/>
                <w:szCs w:val="20"/>
              </w:rPr>
              <w:t>voice</w:t>
            </w:r>
            <w:proofErr w:type="gramEnd"/>
            <w:r w:rsidRPr="0031311C">
              <w:rPr>
                <w:rFonts w:ascii="Quire Sans Pro Light" w:hAnsi="Quire Sans Pro Light" w:cs="Aharoni"/>
                <w:sz w:val="20"/>
                <w:szCs w:val="20"/>
              </w:rPr>
              <w:t xml:space="preserve"> or video recordings, and/or listening sessions. Ensure interpretation and translation services are available for families that speak languages other than English. </w:t>
            </w:r>
          </w:p>
        </w:tc>
      </w:tr>
      <w:tr w:rsidR="00613886" w14:paraId="205E9BC9" w14:textId="77777777" w:rsidTr="007F4AA8">
        <w:trPr>
          <w:gridAfter w:val="1"/>
          <w:wAfter w:w="17" w:type="dxa"/>
          <w:trHeight w:val="3132"/>
        </w:trPr>
        <w:tc>
          <w:tcPr>
            <w:tcW w:w="3740" w:type="dxa"/>
            <w:gridSpan w:val="2"/>
            <w:tcBorders>
              <w:top w:val="nil"/>
              <w:left w:val="nil"/>
              <w:bottom w:val="nil"/>
              <w:right w:val="nil"/>
            </w:tcBorders>
            <w:shd w:val="clear" w:color="auto" w:fill="FFFFFF" w:themeFill="background1"/>
          </w:tcPr>
          <w:p w14:paraId="03A155BF" w14:textId="3B20D3C5" w:rsidR="00613886" w:rsidRPr="005B7092" w:rsidRDefault="0031311C" w:rsidP="001B44CA">
            <w:pPr>
              <w:spacing w:before="60"/>
              <w:rPr>
                <w:rFonts w:ascii="Quire Sans Pro Light" w:hAnsi="Quire Sans Pro Light" w:cs="Aharoni"/>
              </w:rPr>
            </w:pPr>
            <w:r>
              <w:rPr>
                <w:rFonts w:ascii="Aharoni" w:hAnsi="Aharoni" w:cs="Aharoni"/>
              </w:rPr>
              <w:t>Interrogate your own biases and assumptions</w:t>
            </w:r>
            <w:r w:rsidRPr="00613886">
              <w:rPr>
                <w:rFonts w:ascii="Aharoni" w:hAnsi="Aharoni" w:cs="Aharoni"/>
              </w:rPr>
              <w:t xml:space="preserve">. </w:t>
            </w:r>
            <w:r w:rsidRPr="00613886">
              <w:rPr>
                <w:rFonts w:ascii="Quire Sans Pro Light" w:hAnsi="Quire Sans Pro Light" w:cs="Aharoni"/>
                <w:sz w:val="18"/>
                <w:szCs w:val="18"/>
              </w:rPr>
              <w:t xml:space="preserve"> </w:t>
            </w:r>
            <w:r w:rsidR="007D3784" w:rsidRPr="007D3784">
              <w:rPr>
                <w:rFonts w:ascii="Quire Sans Pro Light" w:hAnsi="Quire Sans Pro Light" w:cs="Aharoni"/>
                <w:sz w:val="20"/>
                <w:szCs w:val="20"/>
              </w:rPr>
              <w:t>Consider a family member’s time constraints, emotional or mental capacity, documentation status, and past traumatic experiences with schooling and the education system.</w:t>
            </w:r>
            <w:r w:rsidRPr="007D3784">
              <w:rPr>
                <w:rFonts w:ascii="Quire Sans Pro Light" w:hAnsi="Quire Sans Pro Light" w:cs="Aharoni"/>
                <w:sz w:val="20"/>
                <w:szCs w:val="20"/>
              </w:rPr>
              <w:t xml:space="preserve"> </w:t>
            </w:r>
            <w:r w:rsidR="007D3784" w:rsidRPr="007D3784">
              <w:rPr>
                <w:rFonts w:ascii="Quire Sans Pro Light" w:hAnsi="Quire Sans Pro Light" w:cs="Aharoni"/>
                <w:sz w:val="20"/>
                <w:szCs w:val="20"/>
              </w:rPr>
              <w:t>There may be many reasons why family members are not responsive</w:t>
            </w:r>
            <w:r w:rsidR="004B692F">
              <w:rPr>
                <w:rFonts w:ascii="Quire Sans Pro Light" w:hAnsi="Quire Sans Pro Light" w:cs="Aharoni"/>
                <w:sz w:val="20"/>
                <w:szCs w:val="20"/>
              </w:rPr>
              <w:t xml:space="preserve"> to traditional family engagement structures</w:t>
            </w:r>
            <w:r w:rsidR="007D3784" w:rsidRPr="007D3784">
              <w:rPr>
                <w:rFonts w:ascii="Quire Sans Pro Light" w:hAnsi="Quire Sans Pro Light" w:cs="Aharoni"/>
                <w:sz w:val="20"/>
                <w:szCs w:val="20"/>
              </w:rPr>
              <w:t xml:space="preserve">, or why they may provide criticism. Your own emotional intelligence is key to connecting with </w:t>
            </w:r>
            <w:r w:rsidR="007D3784">
              <w:rPr>
                <w:rFonts w:ascii="Quire Sans Pro Light" w:hAnsi="Quire Sans Pro Light" w:cs="Aharoni"/>
                <w:sz w:val="20"/>
                <w:szCs w:val="20"/>
              </w:rPr>
              <w:t xml:space="preserve">families </w:t>
            </w:r>
            <w:r w:rsidR="007D3784" w:rsidRPr="007D3784">
              <w:rPr>
                <w:rFonts w:ascii="Quire Sans Pro Light" w:hAnsi="Quire Sans Pro Light" w:cs="Aharoni"/>
                <w:sz w:val="20"/>
                <w:szCs w:val="20"/>
              </w:rPr>
              <w:t xml:space="preserve">and integrating </w:t>
            </w:r>
            <w:r w:rsidR="007D3784">
              <w:rPr>
                <w:rFonts w:ascii="Quire Sans Pro Light" w:hAnsi="Quire Sans Pro Light" w:cs="Aharoni"/>
                <w:sz w:val="20"/>
                <w:szCs w:val="20"/>
              </w:rPr>
              <w:t xml:space="preserve">their input in a meaningful way. </w:t>
            </w:r>
          </w:p>
        </w:tc>
        <w:tc>
          <w:tcPr>
            <w:tcW w:w="3524" w:type="dxa"/>
            <w:gridSpan w:val="3"/>
            <w:tcBorders>
              <w:top w:val="nil"/>
              <w:left w:val="nil"/>
              <w:bottom w:val="nil"/>
              <w:right w:val="nil"/>
            </w:tcBorders>
            <w:shd w:val="clear" w:color="auto" w:fill="DEEAF6" w:themeFill="accent5" w:themeFillTint="33"/>
          </w:tcPr>
          <w:p w14:paraId="5F63318A" w14:textId="47EAFD05" w:rsidR="00613886" w:rsidRDefault="004B692F" w:rsidP="001B44CA">
            <w:pPr>
              <w:spacing w:before="60"/>
            </w:pPr>
            <w:r>
              <w:rPr>
                <w:rFonts w:ascii="Aharoni" w:hAnsi="Aharoni" w:cs="Aharoni"/>
              </w:rPr>
              <w:t xml:space="preserve">Compensate and appreciate family members for their leadership. </w:t>
            </w:r>
            <w:r>
              <w:rPr>
                <w:rFonts w:ascii="Quire Sans Pro Light" w:hAnsi="Quire Sans Pro Light" w:cs="Aharoni"/>
                <w:sz w:val="18"/>
                <w:szCs w:val="18"/>
              </w:rPr>
              <w:t xml:space="preserve"> </w:t>
            </w:r>
            <w:r w:rsidRPr="0031311C">
              <w:rPr>
                <w:rFonts w:ascii="Quire Sans Pro Light" w:hAnsi="Quire Sans Pro Light" w:cs="Aharoni"/>
                <w:sz w:val="20"/>
                <w:szCs w:val="20"/>
              </w:rPr>
              <w:t>Families can help you solicit feedback from other families in their community. If family members help your school design a family survey, for example, or organize listening sessions, compensate them for their time and contributions</w:t>
            </w:r>
            <w:r>
              <w:rPr>
                <w:rFonts w:ascii="Quire Sans Pro Light" w:hAnsi="Quire Sans Pro Light" w:cs="Aharoni"/>
                <w:sz w:val="20"/>
                <w:szCs w:val="20"/>
              </w:rPr>
              <w:t xml:space="preserve">. In addition to monetary compensation, consider appreciating families by providing </w:t>
            </w:r>
            <w:proofErr w:type="gramStart"/>
            <w:r>
              <w:rPr>
                <w:rFonts w:ascii="Quire Sans Pro Light" w:hAnsi="Quire Sans Pro Light" w:cs="Aharoni"/>
                <w:sz w:val="20"/>
                <w:szCs w:val="20"/>
              </w:rPr>
              <w:t>child care</w:t>
            </w:r>
            <w:proofErr w:type="gramEnd"/>
            <w:r>
              <w:rPr>
                <w:rFonts w:ascii="Quire Sans Pro Light" w:hAnsi="Quire Sans Pro Light" w:cs="Aharoni"/>
                <w:sz w:val="20"/>
                <w:szCs w:val="20"/>
              </w:rPr>
              <w:t xml:space="preserve"> during meetings, or publicly crediting them for their contributions. </w:t>
            </w:r>
          </w:p>
        </w:tc>
        <w:tc>
          <w:tcPr>
            <w:tcW w:w="3519" w:type="dxa"/>
            <w:tcBorders>
              <w:top w:val="nil"/>
              <w:left w:val="nil"/>
              <w:bottom w:val="nil"/>
              <w:right w:val="nil"/>
            </w:tcBorders>
            <w:shd w:val="clear" w:color="auto" w:fill="FFFFFF" w:themeFill="background1"/>
          </w:tcPr>
          <w:p w14:paraId="7B705AF6" w14:textId="7531C6FD" w:rsidR="00613886" w:rsidRPr="005955BB" w:rsidRDefault="007D3784" w:rsidP="005955BB">
            <w:pPr>
              <w:spacing w:before="60" w:after="160" w:line="259" w:lineRule="auto"/>
              <w:rPr>
                <w:rFonts w:ascii="Quire Sans Pro Light" w:hAnsi="Quire Sans Pro Light" w:cs="Aharoni"/>
                <w:sz w:val="20"/>
                <w:szCs w:val="20"/>
              </w:rPr>
            </w:pPr>
            <w:r w:rsidRPr="007D3784">
              <w:rPr>
                <w:rFonts w:ascii="Aharoni" w:hAnsi="Aharoni" w:cs="Aharoni"/>
              </w:rPr>
              <w:t xml:space="preserve">Use data to ensure you are hearing from a representative group of families from your school’s population. </w:t>
            </w:r>
            <w:r w:rsidRPr="007D3784">
              <w:rPr>
                <w:rFonts w:ascii="Quire Sans Pro Light" w:hAnsi="Quire Sans Pro Light" w:cs="Aharoni"/>
                <w:sz w:val="18"/>
                <w:szCs w:val="18"/>
              </w:rPr>
              <w:t xml:space="preserve"> </w:t>
            </w:r>
            <w:r w:rsidRPr="007D3784">
              <w:rPr>
                <w:rFonts w:ascii="Quire Sans Pro Light" w:hAnsi="Quire Sans Pro Light" w:cs="Aharoni"/>
                <w:sz w:val="20"/>
                <w:szCs w:val="20"/>
              </w:rPr>
              <w:t xml:space="preserve">Analyze family engagement data (e.g., survey completion, event attendance) across lines of student and family race, ethnicity, ability, and primary language. Consider elevating family voices from historically marginalized populations beyond their representation in the entire student population. </w:t>
            </w:r>
          </w:p>
        </w:tc>
      </w:tr>
      <w:tr w:rsidR="005955BB" w14:paraId="276A7AE9" w14:textId="77777777" w:rsidTr="007F4AA8">
        <w:trPr>
          <w:gridAfter w:val="1"/>
          <w:wAfter w:w="17" w:type="dxa"/>
          <w:trHeight w:val="305"/>
        </w:trPr>
        <w:tc>
          <w:tcPr>
            <w:tcW w:w="4627" w:type="dxa"/>
            <w:gridSpan w:val="3"/>
            <w:tcBorders>
              <w:top w:val="nil"/>
              <w:left w:val="nil"/>
              <w:bottom w:val="single" w:sz="4" w:space="0" w:color="auto"/>
              <w:right w:val="nil"/>
            </w:tcBorders>
            <w:shd w:val="clear" w:color="auto" w:fill="FFFFFF" w:themeFill="background1"/>
            <w:vAlign w:val="center"/>
          </w:tcPr>
          <w:p w14:paraId="7D55073E" w14:textId="77777777" w:rsidR="005955BB" w:rsidRPr="005955BB" w:rsidRDefault="005955BB" w:rsidP="0000253D">
            <w:pPr>
              <w:jc w:val="center"/>
              <w:rPr>
                <w:rFonts w:ascii="Quire Sans Pro Light" w:hAnsi="Quire Sans Pro Light"/>
                <w:i/>
                <w:iCs/>
                <w:sz w:val="20"/>
                <w:szCs w:val="20"/>
              </w:rPr>
            </w:pPr>
          </w:p>
        </w:tc>
        <w:tc>
          <w:tcPr>
            <w:tcW w:w="6156" w:type="dxa"/>
            <w:gridSpan w:val="3"/>
            <w:tcBorders>
              <w:top w:val="nil"/>
              <w:left w:val="nil"/>
              <w:bottom w:val="single" w:sz="4" w:space="0" w:color="auto"/>
              <w:right w:val="nil"/>
            </w:tcBorders>
            <w:shd w:val="clear" w:color="auto" w:fill="FFFFFF" w:themeFill="background1"/>
          </w:tcPr>
          <w:p w14:paraId="4203D0B5" w14:textId="77777777" w:rsidR="005955BB" w:rsidRPr="005955BB" w:rsidRDefault="005955BB" w:rsidP="0000253D"/>
        </w:tc>
      </w:tr>
      <w:tr w:rsidR="005955BB" w14:paraId="5804A67E" w14:textId="77777777" w:rsidTr="007F4AA8">
        <w:trPr>
          <w:gridAfter w:val="1"/>
          <w:wAfter w:w="17" w:type="dxa"/>
          <w:trHeight w:val="3500"/>
        </w:trPr>
        <w:tc>
          <w:tcPr>
            <w:tcW w:w="4627"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470DBD10" w14:textId="77777777" w:rsidR="005955BB" w:rsidRPr="005955BB" w:rsidRDefault="005955BB" w:rsidP="005955BB">
            <w:pPr>
              <w:spacing w:before="60"/>
              <w:jc w:val="center"/>
              <w:rPr>
                <w:rFonts w:ascii="Aharoni" w:hAnsi="Aharoni" w:cs="Aharoni"/>
                <w:sz w:val="24"/>
                <w:szCs w:val="24"/>
              </w:rPr>
            </w:pPr>
            <w:r w:rsidRPr="005955BB">
              <w:rPr>
                <w:rFonts w:ascii="Aharoni" w:hAnsi="Aharoni" w:cs="Aharoni" w:hint="cs"/>
                <w:sz w:val="24"/>
                <w:szCs w:val="24"/>
              </w:rPr>
              <w:t>ASHLEY DAVIS</w:t>
            </w:r>
          </w:p>
          <w:p w14:paraId="751AD9D0" w14:textId="77777777" w:rsidR="005955BB" w:rsidRPr="005955BB" w:rsidRDefault="005955BB" w:rsidP="005955BB">
            <w:pPr>
              <w:spacing w:before="60"/>
              <w:jc w:val="center"/>
              <w:rPr>
                <w:rFonts w:ascii="Quire Sans Pro Light" w:hAnsi="Quire Sans Pro Light" w:cs="Aharoni"/>
                <w:sz w:val="18"/>
                <w:szCs w:val="18"/>
              </w:rPr>
            </w:pPr>
            <w:r w:rsidRPr="005955BB">
              <w:rPr>
                <w:rFonts w:ascii="Quire Sans Pro Light" w:hAnsi="Quire Sans Pro Light" w:cs="Aharoni"/>
                <w:sz w:val="18"/>
                <w:szCs w:val="18"/>
              </w:rPr>
              <w:t>Principal, Pauline A. Shaw Elementary School</w:t>
            </w:r>
          </w:p>
          <w:p w14:paraId="2222F9F3" w14:textId="77777777" w:rsidR="005955BB" w:rsidRPr="005955BB" w:rsidRDefault="005955BB" w:rsidP="005955BB">
            <w:pPr>
              <w:spacing w:before="60"/>
              <w:jc w:val="center"/>
              <w:rPr>
                <w:rFonts w:ascii="Quire Sans Pro Light" w:hAnsi="Quire Sans Pro Light" w:cs="Aharoni"/>
                <w:sz w:val="18"/>
                <w:szCs w:val="18"/>
              </w:rPr>
            </w:pPr>
            <w:r w:rsidRPr="005955BB">
              <w:rPr>
                <w:rFonts w:ascii="Quire Sans Pro Light" w:hAnsi="Quire Sans Pro Light" w:cs="Aharoni"/>
                <w:sz w:val="18"/>
                <w:szCs w:val="18"/>
              </w:rPr>
              <w:t>Boston Public Schools</w:t>
            </w:r>
          </w:p>
          <w:p w14:paraId="32DB9CA5" w14:textId="77777777" w:rsidR="005955BB" w:rsidRPr="005955BB" w:rsidRDefault="005955BB" w:rsidP="005955BB">
            <w:pPr>
              <w:spacing w:before="60"/>
              <w:jc w:val="center"/>
              <w:rPr>
                <w:rFonts w:ascii="Quire Sans Pro Light" w:hAnsi="Quire Sans Pro Light" w:cs="Aharoni"/>
                <w:sz w:val="18"/>
                <w:szCs w:val="18"/>
              </w:rPr>
            </w:pPr>
          </w:p>
          <w:p w14:paraId="2E1536B7" w14:textId="77777777" w:rsidR="005955BB" w:rsidRPr="005955BB" w:rsidRDefault="005955BB" w:rsidP="0023412E">
            <w:pPr>
              <w:jc w:val="center"/>
              <w:rPr>
                <w:rFonts w:ascii="Quire Sans Pro Light" w:hAnsi="Quire Sans Pro Light" w:cs="Aharoni"/>
                <w:sz w:val="18"/>
                <w:szCs w:val="18"/>
              </w:rPr>
            </w:pPr>
            <w:r w:rsidRPr="005955BB">
              <w:rPr>
                <w:rFonts w:ascii="Quire Sans Pro Light" w:hAnsi="Quire Sans Pro Light" w:cs="Aharoni"/>
                <w:sz w:val="18"/>
                <w:szCs w:val="18"/>
              </w:rPr>
              <w:t>DESE Principal Advisory Cabinet Member (2020-2021)</w:t>
            </w:r>
          </w:p>
          <w:p w14:paraId="7EE0DCF9" w14:textId="77777777" w:rsidR="005955BB" w:rsidRPr="005955BB" w:rsidRDefault="005955BB" w:rsidP="005955BB">
            <w:pPr>
              <w:jc w:val="center"/>
              <w:rPr>
                <w:rFonts w:ascii="Quire Sans Pro Light" w:hAnsi="Quire Sans Pro Light" w:cs="Aharoni"/>
              </w:rPr>
            </w:pPr>
          </w:p>
          <w:p w14:paraId="1885AD80" w14:textId="138A3C23" w:rsidR="005955BB" w:rsidRPr="005955BB" w:rsidRDefault="005955BB" w:rsidP="005955BB">
            <w:pPr>
              <w:jc w:val="center"/>
              <w:rPr>
                <w:rFonts w:ascii="Quire Sans Pro Light" w:hAnsi="Quire Sans Pro Light"/>
                <w:i/>
                <w:iCs/>
                <w:sz w:val="20"/>
                <w:szCs w:val="20"/>
              </w:rPr>
            </w:pPr>
            <w:r w:rsidRPr="005955BB">
              <w:rPr>
                <w:rFonts w:ascii="Quire Sans Pro Light" w:hAnsi="Quire Sans Pro Light" w:cs="Aharoni"/>
                <w:i/>
                <w:iCs/>
                <w:sz w:val="24"/>
                <w:szCs w:val="24"/>
              </w:rPr>
              <w:t xml:space="preserve">Hear how Ashley and her team work to </w:t>
            </w:r>
            <w:r>
              <w:rPr>
                <w:rFonts w:ascii="Quire Sans Pro Light" w:hAnsi="Quire Sans Pro Light" w:cs="Aharoni"/>
                <w:i/>
                <w:iCs/>
                <w:sz w:val="24"/>
                <w:szCs w:val="24"/>
              </w:rPr>
              <w:t>center these principles of family engagement in their work:</w:t>
            </w:r>
          </w:p>
        </w:tc>
        <w:tc>
          <w:tcPr>
            <w:tcW w:w="6156" w:type="dxa"/>
            <w:gridSpan w:val="3"/>
            <w:tcBorders>
              <w:top w:val="single" w:sz="4" w:space="0" w:color="auto"/>
              <w:left w:val="nil"/>
              <w:bottom w:val="single" w:sz="4" w:space="0" w:color="auto"/>
              <w:right w:val="single" w:sz="4" w:space="0" w:color="auto"/>
            </w:tcBorders>
            <w:shd w:val="clear" w:color="auto" w:fill="FFFFFF" w:themeFill="background1"/>
          </w:tcPr>
          <w:p w14:paraId="30A57EF7" w14:textId="6DC2BF80" w:rsidR="005955BB" w:rsidRPr="005955BB" w:rsidRDefault="004B692F" w:rsidP="005955BB">
            <w:r>
              <w:rPr>
                <w:noProof/>
              </w:rPr>
              <w:drawing>
                <wp:anchor distT="0" distB="0" distL="114300" distR="114300" simplePos="0" relativeHeight="251658240" behindDoc="0" locked="0" layoutInCell="1" allowOverlap="1" wp14:anchorId="63398437" wp14:editId="3B3E84C1">
                  <wp:simplePos x="3384550" y="6819900"/>
                  <wp:positionH relativeFrom="margin">
                    <wp:align>center</wp:align>
                  </wp:positionH>
                  <wp:positionV relativeFrom="margin">
                    <wp:align>top</wp:align>
                  </wp:positionV>
                  <wp:extent cx="2929466" cy="2197100"/>
                  <wp:effectExtent l="0" t="0" r="4445" b="0"/>
                  <wp:wrapSquare wrapText="bothSides"/>
                  <wp:docPr id="1" name="Video 1" descr="Ashley Davis: Equitable Family Engagement Practic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Ashley Davis: Equitable Family Engagement Practices">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5YykGIv0u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29466" cy="2197100"/>
                          </a:xfrm>
                          <a:prstGeom prst="rect">
                            <a:avLst/>
                          </a:prstGeom>
                        </pic:spPr>
                      </pic:pic>
                    </a:graphicData>
                  </a:graphic>
                </wp:anchor>
              </w:drawing>
            </w:r>
          </w:p>
        </w:tc>
      </w:tr>
      <w:tr w:rsidR="005955BB" w:rsidRPr="00BC282E" w14:paraId="4BD14132"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0800" w:type="dxa"/>
            <w:gridSpan w:val="7"/>
            <w:shd w:val="clear" w:color="auto" w:fill="4472C4" w:themeFill="accent1"/>
            <w:vAlign w:val="center"/>
          </w:tcPr>
          <w:p w14:paraId="40E5D2B5" w14:textId="5EFD994A" w:rsidR="005955BB" w:rsidRPr="005955BB" w:rsidRDefault="007E295F" w:rsidP="005955BB">
            <w:pPr>
              <w:rPr>
                <w:rFonts w:ascii="Quire Sans Pro Light" w:hAnsi="Quire Sans Pro Light"/>
                <w:b/>
                <w:bCs/>
                <w:sz w:val="24"/>
                <w:szCs w:val="24"/>
              </w:rPr>
            </w:pPr>
            <w:r>
              <w:rPr>
                <w:rFonts w:ascii="Aharoni" w:hAnsi="Aharoni" w:cs="Aharoni"/>
                <w:color w:val="FFFFFF" w:themeColor="background1"/>
                <w:sz w:val="24"/>
                <w:szCs w:val="24"/>
              </w:rPr>
              <w:t>I</w:t>
            </w:r>
            <w:r w:rsidR="005955BB" w:rsidRPr="005955BB">
              <w:rPr>
                <w:rFonts w:ascii="Aharoni" w:hAnsi="Aharoni" w:cs="Aharoni"/>
                <w:color w:val="FFFFFF" w:themeColor="background1"/>
                <w:sz w:val="24"/>
                <w:szCs w:val="24"/>
              </w:rPr>
              <w:t>NTEGRATING FAMILY VOICE INTO THE FIVE-STEP EDUCATOR EVALUATION CYCLE</w:t>
            </w:r>
          </w:p>
        </w:tc>
      </w:tr>
      <w:tr w:rsidR="00363100" w:rsidRPr="00BC282E" w14:paraId="03FD8570"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003" w:type="dxa"/>
            <w:shd w:val="clear" w:color="auto" w:fill="D5DCE4" w:themeFill="text2" w:themeFillTint="33"/>
          </w:tcPr>
          <w:p w14:paraId="54AF2A00" w14:textId="69500EBA" w:rsidR="00BC282E" w:rsidRPr="00BC282E" w:rsidRDefault="00BC282E" w:rsidP="006B0715">
            <w:pPr>
              <w:jc w:val="center"/>
              <w:rPr>
                <w:rFonts w:ascii="Quire Sans Pro Light" w:hAnsi="Quire Sans Pro Light"/>
                <w:b/>
                <w:bCs/>
                <w:sz w:val="20"/>
                <w:szCs w:val="20"/>
              </w:rPr>
            </w:pPr>
          </w:p>
        </w:tc>
        <w:tc>
          <w:tcPr>
            <w:tcW w:w="4297" w:type="dxa"/>
            <w:gridSpan w:val="3"/>
            <w:tcBorders>
              <w:right w:val="dashSmallGap" w:sz="4" w:space="0" w:color="44546A" w:themeColor="text2"/>
            </w:tcBorders>
            <w:shd w:val="clear" w:color="auto" w:fill="D5DCE4" w:themeFill="text2" w:themeFillTint="33"/>
            <w:vAlign w:val="center"/>
          </w:tcPr>
          <w:p w14:paraId="5EEB1AA3" w14:textId="0647226C" w:rsidR="00BC282E" w:rsidRPr="005955BB" w:rsidRDefault="00F46627" w:rsidP="00363100">
            <w:pPr>
              <w:jc w:val="center"/>
              <w:rPr>
                <w:rFonts w:ascii="Aharoni" w:hAnsi="Aharoni" w:cs="Aharoni"/>
                <w:b/>
                <w:bCs/>
                <w:sz w:val="24"/>
                <w:szCs w:val="24"/>
              </w:rPr>
            </w:pPr>
            <w:r>
              <w:rPr>
                <w:rFonts w:ascii="Aharoni" w:hAnsi="Aharoni" w:cs="Aharoni"/>
                <w:b/>
                <w:bCs/>
                <w:sz w:val="24"/>
                <w:szCs w:val="24"/>
              </w:rPr>
              <w:t xml:space="preserve">Tips </w:t>
            </w:r>
            <w:r w:rsidR="00363100">
              <w:rPr>
                <w:rFonts w:ascii="Aharoni" w:hAnsi="Aharoni" w:cs="Aharoni"/>
                <w:b/>
                <w:bCs/>
                <w:sz w:val="24"/>
                <w:szCs w:val="24"/>
              </w:rPr>
              <w:t xml:space="preserve">for </w:t>
            </w:r>
            <w:r w:rsidR="00BC282E" w:rsidRPr="005955BB">
              <w:rPr>
                <w:rFonts w:ascii="Aharoni" w:hAnsi="Aharoni" w:cs="Aharoni" w:hint="cs"/>
                <w:b/>
                <w:bCs/>
                <w:sz w:val="24"/>
                <w:szCs w:val="24"/>
              </w:rPr>
              <w:t>Evaluators</w:t>
            </w:r>
          </w:p>
        </w:tc>
        <w:tc>
          <w:tcPr>
            <w:tcW w:w="4500" w:type="dxa"/>
            <w:gridSpan w:val="3"/>
            <w:tcBorders>
              <w:left w:val="dashSmallGap" w:sz="4" w:space="0" w:color="44546A" w:themeColor="text2"/>
            </w:tcBorders>
            <w:shd w:val="clear" w:color="auto" w:fill="D5DCE4" w:themeFill="text2" w:themeFillTint="33"/>
            <w:vAlign w:val="center"/>
          </w:tcPr>
          <w:p w14:paraId="7C69DAD8" w14:textId="47C1800F" w:rsidR="00BC282E" w:rsidRPr="005955BB" w:rsidRDefault="00F46627" w:rsidP="00363100">
            <w:pPr>
              <w:jc w:val="center"/>
              <w:rPr>
                <w:rFonts w:ascii="Aharoni" w:hAnsi="Aharoni" w:cs="Aharoni"/>
                <w:b/>
                <w:bCs/>
                <w:sz w:val="24"/>
                <w:szCs w:val="24"/>
              </w:rPr>
            </w:pPr>
            <w:r>
              <w:rPr>
                <w:rFonts w:ascii="Aharoni" w:hAnsi="Aharoni" w:cs="Aharoni"/>
                <w:b/>
                <w:bCs/>
                <w:sz w:val="24"/>
                <w:szCs w:val="24"/>
              </w:rPr>
              <w:t xml:space="preserve">Tips </w:t>
            </w:r>
            <w:r w:rsidR="00363100">
              <w:rPr>
                <w:rFonts w:ascii="Aharoni" w:hAnsi="Aharoni" w:cs="Aharoni"/>
                <w:b/>
                <w:bCs/>
                <w:sz w:val="24"/>
                <w:szCs w:val="24"/>
              </w:rPr>
              <w:t xml:space="preserve">for </w:t>
            </w:r>
            <w:r w:rsidR="00BC282E" w:rsidRPr="005955BB">
              <w:rPr>
                <w:rFonts w:ascii="Aharoni" w:hAnsi="Aharoni" w:cs="Aharoni" w:hint="cs"/>
                <w:b/>
                <w:bCs/>
                <w:sz w:val="24"/>
                <w:szCs w:val="24"/>
              </w:rPr>
              <w:t>Educators</w:t>
            </w:r>
          </w:p>
        </w:tc>
      </w:tr>
      <w:tr w:rsidR="00BC282E" w:rsidRPr="00BC282E" w14:paraId="78BB94C7"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2003" w:type="dxa"/>
            <w:vAlign w:val="center"/>
          </w:tcPr>
          <w:p w14:paraId="66319F0C" w14:textId="3D059B50" w:rsidR="00363100" w:rsidRPr="00363100" w:rsidRDefault="00363100" w:rsidP="00363100">
            <w:pPr>
              <w:spacing w:line="259" w:lineRule="auto"/>
              <w:jc w:val="center"/>
              <w:rPr>
                <w:rFonts w:ascii="Quire Sans Pro Light" w:hAnsi="Quire Sans Pro Light" w:cs="Aharoni"/>
                <w:spacing w:val="30"/>
                <w:sz w:val="20"/>
                <w:szCs w:val="20"/>
              </w:rPr>
            </w:pPr>
            <w:r>
              <w:rPr>
                <w:rFonts w:ascii="Quire Sans Pro Light" w:hAnsi="Quire Sans Pro Light" w:cs="Aharoni"/>
                <w:spacing w:val="30"/>
                <w:sz w:val="20"/>
                <w:szCs w:val="20"/>
              </w:rPr>
              <w:t>ONE</w:t>
            </w:r>
          </w:p>
          <w:p w14:paraId="2FF4BBA2" w14:textId="57C2C5F8" w:rsidR="00BC282E" w:rsidRPr="00BC282E" w:rsidRDefault="00BC282E" w:rsidP="004B692F">
            <w:pPr>
              <w:jc w:val="center"/>
              <w:rPr>
                <w:rFonts w:ascii="Aharoni" w:hAnsi="Aharoni" w:cs="Aharoni"/>
                <w:b/>
                <w:bCs/>
                <w:sz w:val="24"/>
                <w:szCs w:val="24"/>
              </w:rPr>
            </w:pPr>
            <w:r w:rsidRPr="00BC282E">
              <w:rPr>
                <w:rFonts w:ascii="Aharoni" w:hAnsi="Aharoni" w:cs="Aharoni" w:hint="cs"/>
                <w:b/>
                <w:bCs/>
                <w:sz w:val="24"/>
                <w:szCs w:val="24"/>
              </w:rPr>
              <w:t>Self-Assessment</w:t>
            </w:r>
          </w:p>
        </w:tc>
        <w:tc>
          <w:tcPr>
            <w:tcW w:w="4297" w:type="dxa"/>
            <w:gridSpan w:val="3"/>
            <w:tcBorders>
              <w:right w:val="dashSmallGap" w:sz="4" w:space="0" w:color="44546A" w:themeColor="text2"/>
            </w:tcBorders>
            <w:vAlign w:val="center"/>
          </w:tcPr>
          <w:p w14:paraId="5ACEF431" w14:textId="699FEF4B" w:rsidR="00BC282E" w:rsidRPr="00BC282E" w:rsidRDefault="00BC282E" w:rsidP="00363100">
            <w:pPr>
              <w:pStyle w:val="ListParagraph"/>
              <w:numPr>
                <w:ilvl w:val="0"/>
                <w:numId w:val="12"/>
              </w:numPr>
              <w:rPr>
                <w:rFonts w:ascii="Quire Sans Pro Light" w:hAnsi="Quire Sans Pro Light"/>
                <w:b/>
                <w:bCs/>
                <w:sz w:val="20"/>
                <w:szCs w:val="20"/>
              </w:rPr>
            </w:pPr>
            <w:r w:rsidRPr="00BC282E">
              <w:rPr>
                <w:rFonts w:ascii="Quire Sans Pro Light" w:hAnsi="Quire Sans Pro Light"/>
                <w:b/>
                <w:bCs/>
                <w:sz w:val="20"/>
                <w:szCs w:val="20"/>
              </w:rPr>
              <w:t xml:space="preserve">Encourage educators to </w:t>
            </w:r>
            <w:r w:rsidR="00F46627">
              <w:rPr>
                <w:rFonts w:ascii="Quire Sans Pro Light" w:hAnsi="Quire Sans Pro Light"/>
                <w:b/>
                <w:bCs/>
                <w:sz w:val="20"/>
                <w:szCs w:val="20"/>
              </w:rPr>
              <w:t>consider</w:t>
            </w:r>
            <w:r w:rsidR="00F46627" w:rsidRPr="00BC282E">
              <w:rPr>
                <w:rFonts w:ascii="Quire Sans Pro Light" w:hAnsi="Quire Sans Pro Light"/>
                <w:b/>
                <w:bCs/>
                <w:sz w:val="20"/>
                <w:szCs w:val="20"/>
              </w:rPr>
              <w:t xml:space="preserve"> </w:t>
            </w:r>
            <w:r w:rsidRPr="00BC282E">
              <w:rPr>
                <w:rFonts w:ascii="Quire Sans Pro Light" w:hAnsi="Quire Sans Pro Light"/>
                <w:b/>
                <w:bCs/>
                <w:sz w:val="20"/>
                <w:szCs w:val="20"/>
              </w:rPr>
              <w:t xml:space="preserve">family input </w:t>
            </w:r>
            <w:r w:rsidRPr="00BC282E">
              <w:rPr>
                <w:rFonts w:ascii="Quire Sans Pro Light" w:hAnsi="Quire Sans Pro Light"/>
                <w:sz w:val="20"/>
                <w:szCs w:val="20"/>
              </w:rPr>
              <w:t>as they think through their strengths and areas of growth.</w:t>
            </w:r>
          </w:p>
          <w:p w14:paraId="507ADA6F" w14:textId="56E8BE1C" w:rsidR="00BC282E" w:rsidRPr="00BC282E" w:rsidRDefault="00F46627" w:rsidP="00363100">
            <w:pPr>
              <w:pStyle w:val="ListParagraph"/>
              <w:numPr>
                <w:ilvl w:val="0"/>
                <w:numId w:val="12"/>
              </w:numPr>
              <w:rPr>
                <w:rFonts w:ascii="Quire Sans Pro Light" w:hAnsi="Quire Sans Pro Light"/>
                <w:sz w:val="20"/>
                <w:szCs w:val="20"/>
              </w:rPr>
            </w:pPr>
            <w:r>
              <w:rPr>
                <w:rFonts w:ascii="Quire Sans Pro Light" w:hAnsi="Quire Sans Pro Light"/>
                <w:sz w:val="20"/>
                <w:szCs w:val="20"/>
              </w:rPr>
              <w:t>I</w:t>
            </w:r>
            <w:r w:rsidR="00BC282E" w:rsidRPr="00BC282E">
              <w:rPr>
                <w:rFonts w:ascii="Quire Sans Pro Light" w:hAnsi="Quire Sans Pro Light"/>
                <w:sz w:val="20"/>
                <w:szCs w:val="20"/>
              </w:rPr>
              <w:t xml:space="preserve">f this is the first time your school is </w:t>
            </w:r>
            <w:r>
              <w:rPr>
                <w:rFonts w:ascii="Quire Sans Pro Light" w:hAnsi="Quire Sans Pro Light"/>
                <w:sz w:val="20"/>
                <w:szCs w:val="20"/>
              </w:rPr>
              <w:t xml:space="preserve">intentionally </w:t>
            </w:r>
            <w:r w:rsidR="00BC282E" w:rsidRPr="00BC282E">
              <w:rPr>
                <w:rFonts w:ascii="Quire Sans Pro Light" w:hAnsi="Quire Sans Pro Light"/>
                <w:sz w:val="20"/>
                <w:szCs w:val="20"/>
              </w:rPr>
              <w:t xml:space="preserve">integrating family voice into the </w:t>
            </w:r>
            <w:r>
              <w:rPr>
                <w:rFonts w:ascii="Quire Sans Pro Light" w:hAnsi="Quire Sans Pro Light"/>
                <w:sz w:val="20"/>
                <w:szCs w:val="20"/>
              </w:rPr>
              <w:t>self</w:t>
            </w:r>
            <w:r w:rsidR="00902EFA">
              <w:rPr>
                <w:rFonts w:ascii="Quire Sans Pro Light" w:hAnsi="Quire Sans Pro Light"/>
                <w:sz w:val="20"/>
                <w:szCs w:val="20"/>
              </w:rPr>
              <w:t>-</w:t>
            </w:r>
            <w:r>
              <w:rPr>
                <w:rFonts w:ascii="Quire Sans Pro Light" w:hAnsi="Quire Sans Pro Light"/>
                <w:sz w:val="20"/>
                <w:szCs w:val="20"/>
              </w:rPr>
              <w:t>assessment</w:t>
            </w:r>
            <w:r w:rsidR="00BC282E" w:rsidRPr="00BC282E">
              <w:rPr>
                <w:rFonts w:ascii="Quire Sans Pro Light" w:hAnsi="Quire Sans Pro Light"/>
                <w:sz w:val="20"/>
                <w:szCs w:val="20"/>
              </w:rPr>
              <w:t xml:space="preserve"> process, </w:t>
            </w:r>
            <w:r w:rsidR="00BC282E" w:rsidRPr="00BC282E">
              <w:rPr>
                <w:rFonts w:ascii="Quire Sans Pro Light" w:hAnsi="Quire Sans Pro Light"/>
                <w:b/>
                <w:bCs/>
                <w:sz w:val="20"/>
                <w:szCs w:val="20"/>
              </w:rPr>
              <w:t>share the purpose of family input</w:t>
            </w:r>
            <w:r w:rsidR="00F35526">
              <w:rPr>
                <w:rFonts w:ascii="Quire Sans Pro Light" w:hAnsi="Quire Sans Pro Light"/>
                <w:b/>
                <w:bCs/>
                <w:sz w:val="20"/>
                <w:szCs w:val="20"/>
              </w:rPr>
              <w:t xml:space="preserve"> with educators</w:t>
            </w:r>
            <w:r w:rsidR="00BC282E" w:rsidRPr="00BC282E">
              <w:rPr>
                <w:rFonts w:ascii="Quire Sans Pro Light" w:hAnsi="Quire Sans Pro Light"/>
                <w:b/>
                <w:bCs/>
                <w:sz w:val="20"/>
                <w:szCs w:val="20"/>
              </w:rPr>
              <w:t xml:space="preserve">, and emphasize that it is intended to support </w:t>
            </w:r>
            <w:r w:rsidR="00F35526">
              <w:rPr>
                <w:rFonts w:ascii="Quire Sans Pro Light" w:hAnsi="Quire Sans Pro Light"/>
                <w:b/>
                <w:bCs/>
                <w:sz w:val="20"/>
                <w:szCs w:val="20"/>
              </w:rPr>
              <w:t xml:space="preserve">their </w:t>
            </w:r>
            <w:r w:rsidR="00BC282E" w:rsidRPr="00BC282E">
              <w:rPr>
                <w:rFonts w:ascii="Quire Sans Pro Light" w:hAnsi="Quire Sans Pro Light"/>
                <w:b/>
                <w:bCs/>
                <w:sz w:val="20"/>
                <w:szCs w:val="20"/>
              </w:rPr>
              <w:t>growth</w:t>
            </w:r>
            <w:r w:rsidR="00F35526">
              <w:rPr>
                <w:rFonts w:ascii="Quire Sans Pro Light" w:hAnsi="Quire Sans Pro Light"/>
                <w:sz w:val="20"/>
                <w:szCs w:val="20"/>
              </w:rPr>
              <w:t>.</w:t>
            </w:r>
            <w:r w:rsidR="00BC282E" w:rsidRPr="00BC282E">
              <w:rPr>
                <w:rFonts w:ascii="Quire Sans Pro Light" w:hAnsi="Quire Sans Pro Light"/>
                <w:b/>
                <w:bCs/>
                <w:sz w:val="20"/>
                <w:szCs w:val="20"/>
              </w:rPr>
              <w:t xml:space="preserve"> </w:t>
            </w:r>
            <w:r>
              <w:rPr>
                <w:rFonts w:ascii="Quire Sans Pro Light" w:hAnsi="Quire Sans Pro Light"/>
                <w:sz w:val="20"/>
                <w:szCs w:val="20"/>
              </w:rPr>
              <w:t>L</w:t>
            </w:r>
            <w:r w:rsidR="00BC282E" w:rsidRPr="00BC282E">
              <w:rPr>
                <w:rFonts w:ascii="Quire Sans Pro Light" w:hAnsi="Quire Sans Pro Light"/>
                <w:sz w:val="20"/>
                <w:szCs w:val="20"/>
              </w:rPr>
              <w:t xml:space="preserve">isten to </w:t>
            </w:r>
            <w:r>
              <w:rPr>
                <w:rFonts w:ascii="Quire Sans Pro Light" w:hAnsi="Quire Sans Pro Light"/>
                <w:sz w:val="20"/>
                <w:szCs w:val="20"/>
              </w:rPr>
              <w:t>any</w:t>
            </w:r>
            <w:r w:rsidRPr="00BC282E">
              <w:rPr>
                <w:rFonts w:ascii="Quire Sans Pro Light" w:hAnsi="Quire Sans Pro Light"/>
                <w:sz w:val="20"/>
                <w:szCs w:val="20"/>
              </w:rPr>
              <w:t xml:space="preserve"> </w:t>
            </w:r>
            <w:r w:rsidR="00BC282E" w:rsidRPr="00BC282E">
              <w:rPr>
                <w:rFonts w:ascii="Quire Sans Pro Light" w:hAnsi="Quire Sans Pro Light"/>
                <w:sz w:val="20"/>
                <w:szCs w:val="20"/>
              </w:rPr>
              <w:t>concerns</w:t>
            </w:r>
            <w:r>
              <w:rPr>
                <w:rFonts w:ascii="Quire Sans Pro Light" w:hAnsi="Quire Sans Pro Light"/>
                <w:sz w:val="20"/>
                <w:szCs w:val="20"/>
              </w:rPr>
              <w:t>,</w:t>
            </w:r>
            <w:r w:rsidR="00BC282E" w:rsidRPr="00BC282E">
              <w:rPr>
                <w:rFonts w:ascii="Quire Sans Pro Light" w:hAnsi="Quire Sans Pro Light"/>
                <w:sz w:val="20"/>
                <w:szCs w:val="20"/>
              </w:rPr>
              <w:t xml:space="preserve"> and coach </w:t>
            </w:r>
            <w:r w:rsidR="00B50082">
              <w:rPr>
                <w:rFonts w:ascii="Quire Sans Pro Light" w:hAnsi="Quire Sans Pro Light"/>
                <w:sz w:val="20"/>
                <w:szCs w:val="20"/>
              </w:rPr>
              <w:t>educators</w:t>
            </w:r>
            <w:r w:rsidR="00BC282E" w:rsidRPr="00BC282E">
              <w:rPr>
                <w:rFonts w:ascii="Quire Sans Pro Light" w:hAnsi="Quire Sans Pro Light"/>
                <w:sz w:val="20"/>
                <w:szCs w:val="20"/>
              </w:rPr>
              <w:t xml:space="preserve"> through equitable family engagement approaches.</w:t>
            </w:r>
          </w:p>
        </w:tc>
        <w:tc>
          <w:tcPr>
            <w:tcW w:w="4500" w:type="dxa"/>
            <w:gridSpan w:val="3"/>
            <w:tcBorders>
              <w:left w:val="dashSmallGap" w:sz="4" w:space="0" w:color="44546A" w:themeColor="text2"/>
            </w:tcBorders>
            <w:vAlign w:val="center"/>
          </w:tcPr>
          <w:p w14:paraId="4BFB43E6" w14:textId="6367C134" w:rsidR="00F35526" w:rsidRPr="00F35526" w:rsidRDefault="00F35526" w:rsidP="00363100">
            <w:pPr>
              <w:pStyle w:val="ListParagraph"/>
              <w:numPr>
                <w:ilvl w:val="0"/>
                <w:numId w:val="4"/>
              </w:numPr>
              <w:ind w:left="360"/>
              <w:rPr>
                <w:rFonts w:ascii="Quire Sans Pro Light" w:hAnsi="Quire Sans Pro Light"/>
                <w:b/>
                <w:bCs/>
                <w:sz w:val="20"/>
                <w:szCs w:val="20"/>
              </w:rPr>
            </w:pPr>
            <w:r>
              <w:rPr>
                <w:rFonts w:ascii="Quire Sans Pro Light" w:hAnsi="Quire Sans Pro Light"/>
                <w:sz w:val="20"/>
                <w:szCs w:val="20"/>
              </w:rPr>
              <w:t xml:space="preserve">Above all, consider how you are building a </w:t>
            </w:r>
            <w:r w:rsidRPr="00F35526">
              <w:rPr>
                <w:rFonts w:ascii="Quire Sans Pro Light" w:hAnsi="Quire Sans Pro Light"/>
                <w:b/>
                <w:bCs/>
                <w:sz w:val="20"/>
                <w:szCs w:val="20"/>
              </w:rPr>
              <w:t xml:space="preserve">respectful, </w:t>
            </w:r>
            <w:proofErr w:type="gramStart"/>
            <w:r w:rsidRPr="00F35526">
              <w:rPr>
                <w:rFonts w:ascii="Quire Sans Pro Light" w:hAnsi="Quire Sans Pro Light"/>
                <w:b/>
                <w:bCs/>
                <w:sz w:val="20"/>
                <w:szCs w:val="20"/>
              </w:rPr>
              <w:t>welcoming</w:t>
            </w:r>
            <w:proofErr w:type="gramEnd"/>
            <w:r w:rsidRPr="00F35526">
              <w:rPr>
                <w:rFonts w:ascii="Quire Sans Pro Light" w:hAnsi="Quire Sans Pro Light"/>
                <w:b/>
                <w:bCs/>
                <w:sz w:val="20"/>
                <w:szCs w:val="20"/>
              </w:rPr>
              <w:t xml:space="preserve"> and inclusive atmosphere</w:t>
            </w:r>
            <w:r>
              <w:rPr>
                <w:rFonts w:ascii="Quire Sans Pro Light" w:hAnsi="Quire Sans Pro Light"/>
                <w:sz w:val="20"/>
                <w:szCs w:val="20"/>
              </w:rPr>
              <w:t xml:space="preserve"> for all families.</w:t>
            </w:r>
          </w:p>
          <w:p w14:paraId="141ABDFA" w14:textId="39D2184E" w:rsidR="00BC282E" w:rsidRPr="00BC282E" w:rsidRDefault="00BC282E" w:rsidP="00363100">
            <w:pPr>
              <w:pStyle w:val="ListParagraph"/>
              <w:numPr>
                <w:ilvl w:val="0"/>
                <w:numId w:val="4"/>
              </w:numPr>
              <w:ind w:left="360"/>
              <w:rPr>
                <w:rFonts w:ascii="Quire Sans Pro Light" w:hAnsi="Quire Sans Pro Light"/>
                <w:b/>
                <w:bCs/>
                <w:sz w:val="20"/>
                <w:szCs w:val="20"/>
              </w:rPr>
            </w:pPr>
            <w:r w:rsidRPr="00BC282E">
              <w:rPr>
                <w:rFonts w:ascii="Quire Sans Pro Light" w:hAnsi="Quire Sans Pro Light"/>
                <w:sz w:val="20"/>
                <w:szCs w:val="20"/>
              </w:rPr>
              <w:t xml:space="preserve">When possible, </w:t>
            </w:r>
            <w:r w:rsidR="00F46627">
              <w:rPr>
                <w:rFonts w:ascii="Quire Sans Pro Light" w:hAnsi="Quire Sans Pro Light"/>
                <w:b/>
                <w:bCs/>
                <w:sz w:val="20"/>
                <w:szCs w:val="20"/>
              </w:rPr>
              <w:t>consider</w:t>
            </w:r>
            <w:r w:rsidR="00F46627" w:rsidRPr="00BC282E">
              <w:rPr>
                <w:rFonts w:ascii="Quire Sans Pro Light" w:hAnsi="Quire Sans Pro Light"/>
                <w:b/>
                <w:bCs/>
                <w:sz w:val="20"/>
                <w:szCs w:val="20"/>
              </w:rPr>
              <w:t xml:space="preserve"> </w:t>
            </w:r>
            <w:r w:rsidRPr="00BC282E">
              <w:rPr>
                <w:rFonts w:ascii="Quire Sans Pro Light" w:hAnsi="Quire Sans Pro Light"/>
                <w:b/>
                <w:bCs/>
                <w:sz w:val="20"/>
                <w:szCs w:val="20"/>
              </w:rPr>
              <w:t>family feedback from previous years</w:t>
            </w:r>
            <w:r w:rsidRPr="00BC282E">
              <w:rPr>
                <w:rFonts w:ascii="Quire Sans Pro Light" w:hAnsi="Quire Sans Pro Light"/>
                <w:sz w:val="20"/>
                <w:szCs w:val="20"/>
              </w:rPr>
              <w:t xml:space="preserve">. What did families appreciate about your practice? What did they </w:t>
            </w:r>
            <w:r w:rsidR="00F46627">
              <w:rPr>
                <w:rFonts w:ascii="Quire Sans Pro Light" w:hAnsi="Quire Sans Pro Light"/>
                <w:sz w:val="20"/>
                <w:szCs w:val="20"/>
              </w:rPr>
              <w:t>signal as</w:t>
            </w:r>
            <w:r w:rsidRPr="00BC282E">
              <w:rPr>
                <w:rFonts w:ascii="Quire Sans Pro Light" w:hAnsi="Quire Sans Pro Light"/>
                <w:sz w:val="20"/>
                <w:szCs w:val="20"/>
              </w:rPr>
              <w:t xml:space="preserve"> areas of growth?</w:t>
            </w:r>
          </w:p>
          <w:p w14:paraId="60F6D7A4" w14:textId="22E2F205" w:rsidR="00BC282E" w:rsidRPr="00BC282E" w:rsidRDefault="00F46627" w:rsidP="00363100">
            <w:pPr>
              <w:pStyle w:val="ListParagraph"/>
              <w:numPr>
                <w:ilvl w:val="0"/>
                <w:numId w:val="4"/>
              </w:numPr>
              <w:ind w:left="360"/>
              <w:rPr>
                <w:rFonts w:ascii="Quire Sans Pro Light" w:hAnsi="Quire Sans Pro Light"/>
                <w:b/>
                <w:bCs/>
                <w:sz w:val="20"/>
                <w:szCs w:val="20"/>
              </w:rPr>
            </w:pPr>
            <w:r w:rsidRPr="00B50082">
              <w:rPr>
                <w:rFonts w:ascii="Quire Sans Pro Light" w:hAnsi="Quire Sans Pro Light"/>
                <w:b/>
                <w:bCs/>
                <w:sz w:val="20"/>
                <w:szCs w:val="20"/>
              </w:rPr>
              <w:t>A</w:t>
            </w:r>
            <w:r w:rsidR="00BC282E" w:rsidRPr="00BC282E">
              <w:rPr>
                <w:rFonts w:ascii="Quire Sans Pro Light" w:hAnsi="Quire Sans Pro Light"/>
                <w:b/>
                <w:bCs/>
                <w:sz w:val="20"/>
                <w:szCs w:val="20"/>
              </w:rPr>
              <w:t xml:space="preserve">sk families about their priorities and needs for their child’s education this year. </w:t>
            </w:r>
            <w:r w:rsidR="00BC282E" w:rsidRPr="00BC282E">
              <w:rPr>
                <w:rFonts w:ascii="Quire Sans Pro Light" w:hAnsi="Quire Sans Pro Light"/>
                <w:sz w:val="20"/>
                <w:szCs w:val="20"/>
              </w:rPr>
              <w:t>Reflect on your past successes and challenges relative to the goals they share.</w:t>
            </w:r>
          </w:p>
        </w:tc>
      </w:tr>
      <w:tr w:rsidR="00BC282E" w:rsidRPr="00BC282E" w14:paraId="6C1743D4"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2003" w:type="dxa"/>
            <w:shd w:val="clear" w:color="auto" w:fill="D9E2F3" w:themeFill="accent1" w:themeFillTint="33"/>
            <w:vAlign w:val="center"/>
          </w:tcPr>
          <w:p w14:paraId="3C1A9A81" w14:textId="1E344DA0" w:rsidR="00363100" w:rsidRPr="00363100" w:rsidRDefault="00363100" w:rsidP="00363100">
            <w:pPr>
              <w:jc w:val="center"/>
              <w:rPr>
                <w:rFonts w:ascii="Quire Sans Pro Light" w:hAnsi="Quire Sans Pro Light" w:cs="Aharoni"/>
                <w:spacing w:val="30"/>
                <w:sz w:val="20"/>
                <w:szCs w:val="20"/>
              </w:rPr>
            </w:pPr>
            <w:r w:rsidRPr="00363100">
              <w:rPr>
                <w:rFonts w:ascii="Quire Sans Pro Light" w:hAnsi="Quire Sans Pro Light" w:cs="Aharoni"/>
                <w:spacing w:val="30"/>
                <w:sz w:val="20"/>
                <w:szCs w:val="20"/>
              </w:rPr>
              <w:t>T</w:t>
            </w:r>
            <w:r>
              <w:rPr>
                <w:rFonts w:ascii="Quire Sans Pro Light" w:hAnsi="Quire Sans Pro Light" w:cs="Aharoni"/>
                <w:spacing w:val="30"/>
                <w:sz w:val="20"/>
                <w:szCs w:val="20"/>
              </w:rPr>
              <w:t>WO</w:t>
            </w:r>
          </w:p>
          <w:p w14:paraId="4F478D34" w14:textId="6989B07B" w:rsidR="00BC282E" w:rsidRPr="00BC282E" w:rsidRDefault="0076507E" w:rsidP="00363100">
            <w:pPr>
              <w:jc w:val="center"/>
              <w:rPr>
                <w:rFonts w:ascii="Aharoni" w:hAnsi="Aharoni" w:cs="Aharoni"/>
                <w:b/>
                <w:bCs/>
                <w:sz w:val="24"/>
                <w:szCs w:val="24"/>
              </w:rPr>
            </w:pPr>
            <w:r>
              <w:rPr>
                <w:rFonts w:ascii="Aharoni" w:hAnsi="Aharoni" w:cs="Aharoni"/>
                <w:b/>
                <w:bCs/>
                <w:sz w:val="24"/>
                <w:szCs w:val="24"/>
              </w:rPr>
              <w:t xml:space="preserve">Analysis, </w:t>
            </w:r>
            <w:r w:rsidR="00BC282E" w:rsidRPr="00BC282E">
              <w:rPr>
                <w:rFonts w:ascii="Aharoni" w:hAnsi="Aharoni" w:cs="Aharoni" w:hint="cs"/>
                <w:b/>
                <w:bCs/>
                <w:sz w:val="24"/>
                <w:szCs w:val="24"/>
              </w:rPr>
              <w:t>Goal Setting</w:t>
            </w:r>
            <w:r>
              <w:rPr>
                <w:rFonts w:ascii="Aharoni" w:hAnsi="Aharoni" w:cs="Aharoni"/>
                <w:b/>
                <w:bCs/>
                <w:sz w:val="24"/>
                <w:szCs w:val="24"/>
              </w:rPr>
              <w:t>, and Plan Development</w:t>
            </w:r>
          </w:p>
        </w:tc>
        <w:tc>
          <w:tcPr>
            <w:tcW w:w="4297" w:type="dxa"/>
            <w:gridSpan w:val="3"/>
            <w:tcBorders>
              <w:right w:val="dashSmallGap" w:sz="4" w:space="0" w:color="44546A" w:themeColor="text2"/>
            </w:tcBorders>
            <w:shd w:val="clear" w:color="auto" w:fill="D9E2F3" w:themeFill="accent1" w:themeFillTint="33"/>
            <w:vAlign w:val="center"/>
          </w:tcPr>
          <w:p w14:paraId="0700E7EC" w14:textId="4EE32676" w:rsidR="00BC282E" w:rsidRPr="00BC282E" w:rsidRDefault="00BC282E" w:rsidP="00363100">
            <w:pPr>
              <w:pStyle w:val="ListParagraph"/>
              <w:numPr>
                <w:ilvl w:val="0"/>
                <w:numId w:val="1"/>
              </w:numPr>
              <w:ind w:left="360"/>
              <w:rPr>
                <w:rFonts w:ascii="Quire Sans Pro Light" w:hAnsi="Quire Sans Pro Light"/>
                <w:sz w:val="20"/>
                <w:szCs w:val="20"/>
              </w:rPr>
            </w:pPr>
            <w:r w:rsidRPr="00BC282E">
              <w:rPr>
                <w:rFonts w:ascii="Quire Sans Pro Light" w:hAnsi="Quire Sans Pro Light"/>
                <w:sz w:val="20"/>
                <w:szCs w:val="20"/>
              </w:rPr>
              <w:t>Engage families and cultural brokers</w:t>
            </w:r>
            <w:r w:rsidRPr="00BC282E">
              <w:rPr>
                <w:rStyle w:val="FootnoteReference"/>
                <w:rFonts w:ascii="Quire Sans Pro Light" w:hAnsi="Quire Sans Pro Light"/>
                <w:sz w:val="20"/>
                <w:szCs w:val="20"/>
              </w:rPr>
              <w:footnoteReference w:id="2"/>
            </w:r>
            <w:r w:rsidRPr="00BC282E">
              <w:rPr>
                <w:rFonts w:ascii="Quire Sans Pro Light" w:hAnsi="Quire Sans Pro Light"/>
                <w:sz w:val="20"/>
                <w:szCs w:val="20"/>
              </w:rPr>
              <w:t xml:space="preserve"> to learn about </w:t>
            </w:r>
            <w:r w:rsidRPr="00BC282E">
              <w:rPr>
                <w:rFonts w:ascii="Quire Sans Pro Light" w:hAnsi="Quire Sans Pro Light"/>
                <w:b/>
                <w:bCs/>
                <w:sz w:val="20"/>
                <w:szCs w:val="20"/>
              </w:rPr>
              <w:t>what an effective teacher does from their perspective</w:t>
            </w:r>
            <w:r w:rsidRPr="00BC282E">
              <w:rPr>
                <w:rFonts w:ascii="Quire Sans Pro Light" w:hAnsi="Quire Sans Pro Light"/>
                <w:sz w:val="20"/>
                <w:szCs w:val="20"/>
              </w:rPr>
              <w:t xml:space="preserve">, and center </w:t>
            </w:r>
            <w:r w:rsidR="00F46627">
              <w:rPr>
                <w:rFonts w:ascii="Quire Sans Pro Light" w:hAnsi="Quire Sans Pro Light"/>
                <w:sz w:val="20"/>
                <w:szCs w:val="20"/>
              </w:rPr>
              <w:t xml:space="preserve">their input in </w:t>
            </w:r>
            <w:r w:rsidRPr="00BC282E">
              <w:rPr>
                <w:rFonts w:ascii="Quire Sans Pro Light" w:hAnsi="Quire Sans Pro Light"/>
                <w:sz w:val="20"/>
                <w:szCs w:val="20"/>
              </w:rPr>
              <w:t>your evaluation processes. For example, consider asking: What focus areas should our team of educators focus on? What is most important to you and your famil</w:t>
            </w:r>
            <w:r w:rsidR="00F46627">
              <w:rPr>
                <w:rFonts w:ascii="Quire Sans Pro Light" w:hAnsi="Quire Sans Pro Light"/>
                <w:sz w:val="20"/>
                <w:szCs w:val="20"/>
              </w:rPr>
              <w:t>y when it comes to teaching and learning</w:t>
            </w:r>
            <w:r w:rsidRPr="00BC282E">
              <w:rPr>
                <w:rFonts w:ascii="Quire Sans Pro Light" w:hAnsi="Quire Sans Pro Light"/>
                <w:sz w:val="20"/>
                <w:szCs w:val="20"/>
              </w:rPr>
              <w:t>?</w:t>
            </w:r>
          </w:p>
        </w:tc>
        <w:tc>
          <w:tcPr>
            <w:tcW w:w="4500" w:type="dxa"/>
            <w:gridSpan w:val="3"/>
            <w:tcBorders>
              <w:left w:val="dashSmallGap" w:sz="4" w:space="0" w:color="44546A" w:themeColor="text2"/>
            </w:tcBorders>
            <w:shd w:val="clear" w:color="auto" w:fill="D9E2F3" w:themeFill="accent1" w:themeFillTint="33"/>
            <w:vAlign w:val="center"/>
          </w:tcPr>
          <w:p w14:paraId="48CE0F04" w14:textId="24FFA2C3" w:rsidR="00BC282E" w:rsidRPr="00BC282E" w:rsidRDefault="00671D34" w:rsidP="00363100">
            <w:pPr>
              <w:pStyle w:val="ListParagraph"/>
              <w:numPr>
                <w:ilvl w:val="0"/>
                <w:numId w:val="1"/>
              </w:numPr>
              <w:ind w:left="360"/>
              <w:rPr>
                <w:rFonts w:ascii="Quire Sans Pro Light" w:hAnsi="Quire Sans Pro Light"/>
                <w:b/>
                <w:bCs/>
                <w:sz w:val="20"/>
                <w:szCs w:val="20"/>
              </w:rPr>
            </w:pPr>
            <w:r w:rsidRPr="00B50082">
              <w:rPr>
                <w:rFonts w:ascii="Quire Sans Pro Light" w:hAnsi="Quire Sans Pro Light"/>
                <w:b/>
                <w:bCs/>
                <w:sz w:val="20"/>
                <w:szCs w:val="20"/>
              </w:rPr>
              <w:t>C</w:t>
            </w:r>
            <w:r w:rsidR="00BC282E" w:rsidRPr="00BC282E">
              <w:rPr>
                <w:rFonts w:ascii="Quire Sans Pro Light" w:hAnsi="Quire Sans Pro Light"/>
                <w:b/>
                <w:bCs/>
                <w:sz w:val="20"/>
                <w:szCs w:val="20"/>
              </w:rPr>
              <w:t>enter famil</w:t>
            </w:r>
            <w:r>
              <w:rPr>
                <w:rFonts w:ascii="Quire Sans Pro Light" w:hAnsi="Quire Sans Pro Light"/>
                <w:b/>
                <w:bCs/>
                <w:sz w:val="20"/>
                <w:szCs w:val="20"/>
              </w:rPr>
              <w:t>y input</w:t>
            </w:r>
            <w:r w:rsidR="00BC282E" w:rsidRPr="00BC282E">
              <w:rPr>
                <w:rFonts w:ascii="Quire Sans Pro Light" w:hAnsi="Quire Sans Pro Light"/>
                <w:b/>
                <w:bCs/>
                <w:sz w:val="20"/>
                <w:szCs w:val="20"/>
              </w:rPr>
              <w:t xml:space="preserve"> around priorities for their child’s education this year </w:t>
            </w:r>
            <w:r w:rsidR="00BC282E" w:rsidRPr="00BC282E">
              <w:rPr>
                <w:rFonts w:ascii="Quire Sans Pro Light" w:hAnsi="Quire Sans Pro Light"/>
                <w:sz w:val="20"/>
                <w:szCs w:val="20"/>
              </w:rPr>
              <w:t xml:space="preserve">when developing </w:t>
            </w:r>
            <w:r w:rsidR="00902EFA">
              <w:rPr>
                <w:rFonts w:ascii="Quire Sans Pro Light" w:hAnsi="Quire Sans Pro Light"/>
                <w:sz w:val="20"/>
                <w:szCs w:val="20"/>
              </w:rPr>
              <w:t>goals</w:t>
            </w:r>
            <w:r w:rsidR="00BC282E" w:rsidRPr="00BC282E">
              <w:rPr>
                <w:rFonts w:ascii="Quire Sans Pro Light" w:hAnsi="Quire Sans Pro Light"/>
                <w:sz w:val="20"/>
                <w:szCs w:val="20"/>
              </w:rPr>
              <w:t xml:space="preserve">. </w:t>
            </w:r>
          </w:p>
          <w:p w14:paraId="2422F4D5" w14:textId="50F97D78" w:rsidR="00BC282E" w:rsidRPr="00BC282E" w:rsidRDefault="00671D34" w:rsidP="00363100">
            <w:pPr>
              <w:pStyle w:val="ListParagraph"/>
              <w:numPr>
                <w:ilvl w:val="0"/>
                <w:numId w:val="1"/>
              </w:numPr>
              <w:ind w:left="360"/>
              <w:rPr>
                <w:rFonts w:ascii="Quire Sans Pro Light" w:hAnsi="Quire Sans Pro Light"/>
                <w:b/>
                <w:bCs/>
                <w:sz w:val="20"/>
                <w:szCs w:val="20"/>
              </w:rPr>
            </w:pPr>
            <w:r>
              <w:rPr>
                <w:rFonts w:ascii="Quire Sans Pro Light" w:hAnsi="Quire Sans Pro Light"/>
                <w:b/>
                <w:bCs/>
                <w:sz w:val="20"/>
                <w:szCs w:val="20"/>
              </w:rPr>
              <w:t>S</w:t>
            </w:r>
            <w:r w:rsidR="00BC282E" w:rsidRPr="00BC282E">
              <w:rPr>
                <w:rFonts w:ascii="Quire Sans Pro Light" w:hAnsi="Quire Sans Pro Light"/>
                <w:b/>
                <w:bCs/>
                <w:sz w:val="20"/>
                <w:szCs w:val="20"/>
              </w:rPr>
              <w:t>har</w:t>
            </w:r>
            <w:r>
              <w:rPr>
                <w:rFonts w:ascii="Quire Sans Pro Light" w:hAnsi="Quire Sans Pro Light"/>
                <w:b/>
                <w:bCs/>
                <w:sz w:val="20"/>
                <w:szCs w:val="20"/>
              </w:rPr>
              <w:t>e</w:t>
            </w:r>
            <w:r w:rsidR="00BC282E" w:rsidRPr="00BC282E">
              <w:rPr>
                <w:rFonts w:ascii="Quire Sans Pro Light" w:hAnsi="Quire Sans Pro Light"/>
                <w:b/>
                <w:bCs/>
                <w:sz w:val="20"/>
                <w:szCs w:val="20"/>
              </w:rPr>
              <w:t xml:space="preserve"> your goals </w:t>
            </w:r>
            <w:r w:rsidR="00BC282E" w:rsidRPr="00B50082">
              <w:rPr>
                <w:rFonts w:ascii="Quire Sans Pro Light" w:hAnsi="Quire Sans Pro Light"/>
                <w:sz w:val="20"/>
                <w:szCs w:val="20"/>
              </w:rPr>
              <w:t>with families</w:t>
            </w:r>
            <w:r w:rsidRPr="00B50082">
              <w:rPr>
                <w:rFonts w:ascii="Quire Sans Pro Light" w:hAnsi="Quire Sans Pro Light"/>
                <w:sz w:val="20"/>
                <w:szCs w:val="20"/>
              </w:rPr>
              <w:t xml:space="preserve"> and students</w:t>
            </w:r>
            <w:r w:rsidR="00BC282E" w:rsidRPr="00BC282E">
              <w:rPr>
                <w:rFonts w:ascii="Quire Sans Pro Light" w:hAnsi="Quire Sans Pro Light"/>
                <w:b/>
                <w:bCs/>
                <w:sz w:val="20"/>
                <w:szCs w:val="20"/>
              </w:rPr>
              <w:t xml:space="preserve">. </w:t>
            </w:r>
          </w:p>
        </w:tc>
      </w:tr>
      <w:tr w:rsidR="00363100" w:rsidRPr="00BC282E" w14:paraId="040403AF"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2003" w:type="dxa"/>
            <w:shd w:val="clear" w:color="auto" w:fill="B4C6E7" w:themeFill="accent1" w:themeFillTint="66"/>
            <w:vAlign w:val="center"/>
          </w:tcPr>
          <w:p w14:paraId="5391FB8C" w14:textId="663BBE6B" w:rsidR="00BC282E" w:rsidRPr="00363100" w:rsidRDefault="00363100" w:rsidP="00363100">
            <w:pPr>
              <w:jc w:val="center"/>
              <w:rPr>
                <w:rFonts w:ascii="Quire Sans Pro Light" w:hAnsi="Quire Sans Pro Light" w:cs="Aharoni"/>
                <w:spacing w:val="30"/>
                <w:sz w:val="20"/>
                <w:szCs w:val="20"/>
              </w:rPr>
            </w:pPr>
            <w:r w:rsidRPr="00363100">
              <w:rPr>
                <w:rFonts w:ascii="Quire Sans Pro Light" w:hAnsi="Quire Sans Pro Light" w:cs="Aharoni"/>
                <w:spacing w:val="30"/>
                <w:sz w:val="20"/>
                <w:szCs w:val="20"/>
              </w:rPr>
              <w:t>THREE</w:t>
            </w:r>
          </w:p>
          <w:p w14:paraId="226C1A7B" w14:textId="77777777" w:rsidR="00BC282E" w:rsidRPr="00BC282E" w:rsidRDefault="00BC282E" w:rsidP="00363100">
            <w:pPr>
              <w:jc w:val="center"/>
              <w:rPr>
                <w:rFonts w:ascii="Aharoni" w:hAnsi="Aharoni" w:cs="Aharoni"/>
                <w:b/>
                <w:bCs/>
                <w:sz w:val="24"/>
                <w:szCs w:val="24"/>
              </w:rPr>
            </w:pPr>
            <w:r w:rsidRPr="00BC282E">
              <w:rPr>
                <w:rFonts w:ascii="Aharoni" w:hAnsi="Aharoni" w:cs="Aharoni" w:hint="cs"/>
                <w:b/>
                <w:bCs/>
                <w:sz w:val="24"/>
                <w:szCs w:val="24"/>
              </w:rPr>
              <w:t>Implementation</w:t>
            </w:r>
          </w:p>
          <w:p w14:paraId="28409463" w14:textId="77777777" w:rsidR="00BC282E" w:rsidRPr="00363100" w:rsidRDefault="00BC282E" w:rsidP="00363100">
            <w:pPr>
              <w:jc w:val="center"/>
              <w:rPr>
                <w:rFonts w:ascii="Quire Sans Pro Light" w:hAnsi="Quire Sans Pro Light" w:cs="Aharoni"/>
                <w:b/>
                <w:bCs/>
                <w:i/>
                <w:iCs/>
                <w:sz w:val="24"/>
                <w:szCs w:val="24"/>
              </w:rPr>
            </w:pPr>
            <w:r w:rsidRPr="00363100">
              <w:rPr>
                <w:rFonts w:ascii="Quire Sans Pro Light" w:hAnsi="Quire Sans Pro Light" w:cs="Aharoni"/>
                <w:b/>
                <w:bCs/>
                <w:i/>
                <w:iCs/>
              </w:rPr>
              <w:t>Evidence Collection</w:t>
            </w:r>
          </w:p>
        </w:tc>
        <w:tc>
          <w:tcPr>
            <w:tcW w:w="4297" w:type="dxa"/>
            <w:gridSpan w:val="3"/>
            <w:tcBorders>
              <w:right w:val="dashSmallGap" w:sz="4" w:space="0" w:color="44546A" w:themeColor="text2"/>
            </w:tcBorders>
            <w:shd w:val="clear" w:color="auto" w:fill="B4C6E7" w:themeFill="accent1" w:themeFillTint="66"/>
            <w:vAlign w:val="center"/>
          </w:tcPr>
          <w:p w14:paraId="50895A2D" w14:textId="77777777" w:rsidR="00BC282E" w:rsidRPr="00BC282E" w:rsidRDefault="00BC282E" w:rsidP="00363100">
            <w:pPr>
              <w:pStyle w:val="ListParagraph"/>
              <w:numPr>
                <w:ilvl w:val="0"/>
                <w:numId w:val="1"/>
              </w:numPr>
              <w:ind w:left="360"/>
              <w:rPr>
                <w:rFonts w:ascii="Quire Sans Pro Light" w:hAnsi="Quire Sans Pro Light"/>
                <w:b/>
                <w:bCs/>
                <w:sz w:val="20"/>
                <w:szCs w:val="20"/>
              </w:rPr>
            </w:pPr>
            <w:r w:rsidRPr="00BC282E">
              <w:rPr>
                <w:rFonts w:ascii="Quire Sans Pro Light" w:hAnsi="Quire Sans Pro Light"/>
                <w:sz w:val="20"/>
                <w:szCs w:val="20"/>
              </w:rPr>
              <w:t>If possible, provide opportunities for families and cultural brokers to</w:t>
            </w:r>
            <w:r w:rsidRPr="00BC282E">
              <w:rPr>
                <w:rFonts w:ascii="Quire Sans Pro Light" w:hAnsi="Quire Sans Pro Light"/>
                <w:b/>
                <w:bCs/>
                <w:sz w:val="20"/>
                <w:szCs w:val="20"/>
              </w:rPr>
              <w:t xml:space="preserve"> build out and lead mechanisms for gathering family feedback </w:t>
            </w:r>
            <w:r w:rsidRPr="00BC282E">
              <w:rPr>
                <w:rFonts w:ascii="Quire Sans Pro Light" w:hAnsi="Quire Sans Pro Light"/>
                <w:sz w:val="20"/>
                <w:szCs w:val="20"/>
              </w:rPr>
              <w:t>on teaching and leading practices</w:t>
            </w:r>
            <w:r w:rsidRPr="00BC282E">
              <w:rPr>
                <w:rFonts w:ascii="Quire Sans Pro Light" w:hAnsi="Quire Sans Pro Light"/>
                <w:b/>
                <w:bCs/>
                <w:sz w:val="20"/>
                <w:szCs w:val="20"/>
              </w:rPr>
              <w:t xml:space="preserve"> </w:t>
            </w:r>
            <w:r w:rsidRPr="00BC282E">
              <w:rPr>
                <w:rFonts w:ascii="Quire Sans Pro Light" w:hAnsi="Quire Sans Pro Light"/>
                <w:sz w:val="20"/>
                <w:szCs w:val="20"/>
              </w:rPr>
              <w:t>(e.g., surveys, listening sessions, questions to ask in conversation).</w:t>
            </w:r>
          </w:p>
          <w:p w14:paraId="2A08521F" w14:textId="77777777" w:rsidR="004B692F" w:rsidRPr="00F35526" w:rsidRDefault="00BC282E" w:rsidP="004B692F">
            <w:pPr>
              <w:pStyle w:val="ListParagraph"/>
              <w:numPr>
                <w:ilvl w:val="0"/>
                <w:numId w:val="1"/>
              </w:numPr>
              <w:ind w:left="360"/>
              <w:rPr>
                <w:rFonts w:ascii="Quire Sans Pro Light" w:hAnsi="Quire Sans Pro Light"/>
                <w:b/>
                <w:bCs/>
                <w:sz w:val="20"/>
                <w:szCs w:val="20"/>
              </w:rPr>
            </w:pPr>
            <w:r w:rsidRPr="00BC282E">
              <w:rPr>
                <w:rFonts w:ascii="Quire Sans Pro Light" w:hAnsi="Quire Sans Pro Light"/>
                <w:b/>
                <w:bCs/>
                <w:sz w:val="20"/>
                <w:szCs w:val="20"/>
              </w:rPr>
              <w:t xml:space="preserve">Let educators know that you welcome anecdotal evidence from families </w:t>
            </w:r>
            <w:r w:rsidRPr="00BC282E">
              <w:rPr>
                <w:rFonts w:ascii="Quire Sans Pro Light" w:hAnsi="Quire Sans Pro Light"/>
                <w:sz w:val="20"/>
                <w:szCs w:val="20"/>
              </w:rPr>
              <w:t xml:space="preserve">(e.g., text messages, quotes from conversations) in the evidence collection process. </w:t>
            </w:r>
          </w:p>
          <w:p w14:paraId="405563BD" w14:textId="2E275D24" w:rsidR="004B692F" w:rsidRPr="004B692F" w:rsidRDefault="004B692F" w:rsidP="004B692F">
            <w:pPr>
              <w:pStyle w:val="ListParagraph"/>
              <w:numPr>
                <w:ilvl w:val="0"/>
                <w:numId w:val="1"/>
              </w:numPr>
              <w:ind w:left="360"/>
              <w:rPr>
                <w:rFonts w:ascii="Quire Sans Pro Light" w:hAnsi="Quire Sans Pro Light"/>
                <w:b/>
                <w:bCs/>
                <w:sz w:val="20"/>
                <w:szCs w:val="20"/>
              </w:rPr>
            </w:pPr>
            <w:r>
              <w:rPr>
                <w:rFonts w:ascii="Quire Sans Pro Light" w:hAnsi="Quire Sans Pro Light"/>
                <w:sz w:val="20"/>
                <w:szCs w:val="20"/>
              </w:rPr>
              <w:t xml:space="preserve">When necessary, </w:t>
            </w:r>
            <w:r>
              <w:rPr>
                <w:rFonts w:ascii="Quire Sans Pro Light" w:hAnsi="Quire Sans Pro Light"/>
                <w:b/>
                <w:bCs/>
                <w:sz w:val="20"/>
                <w:szCs w:val="20"/>
              </w:rPr>
              <w:t>coach educators</w:t>
            </w:r>
            <w:r>
              <w:rPr>
                <w:rFonts w:ascii="Quire Sans Pro Light" w:hAnsi="Quire Sans Pro Light"/>
                <w:sz w:val="20"/>
                <w:szCs w:val="20"/>
              </w:rPr>
              <w:t xml:space="preserve"> to </w:t>
            </w:r>
            <w:r w:rsidR="00725E4C">
              <w:rPr>
                <w:rFonts w:ascii="Quire Sans Pro Light" w:hAnsi="Quire Sans Pro Light"/>
                <w:sz w:val="20"/>
                <w:szCs w:val="20"/>
              </w:rPr>
              <w:t>engage with families in supportive, reciprocal partnership</w:t>
            </w:r>
            <w:r w:rsidR="00F35526">
              <w:rPr>
                <w:rFonts w:ascii="Quire Sans Pro Light" w:hAnsi="Quire Sans Pro Light"/>
                <w:sz w:val="20"/>
                <w:szCs w:val="20"/>
              </w:rPr>
              <w:t>s</w:t>
            </w:r>
            <w:r w:rsidR="00725E4C">
              <w:rPr>
                <w:rFonts w:ascii="Quire Sans Pro Light" w:hAnsi="Quire Sans Pro Light"/>
                <w:sz w:val="20"/>
                <w:szCs w:val="20"/>
              </w:rPr>
              <w:t xml:space="preserve">. </w:t>
            </w:r>
          </w:p>
        </w:tc>
        <w:tc>
          <w:tcPr>
            <w:tcW w:w="4500" w:type="dxa"/>
            <w:gridSpan w:val="3"/>
            <w:tcBorders>
              <w:left w:val="dashSmallGap" w:sz="4" w:space="0" w:color="44546A" w:themeColor="text2"/>
            </w:tcBorders>
            <w:shd w:val="clear" w:color="auto" w:fill="B4C6E7" w:themeFill="accent1" w:themeFillTint="66"/>
            <w:vAlign w:val="center"/>
          </w:tcPr>
          <w:p w14:paraId="26E01903" w14:textId="11F40F77" w:rsidR="00BC282E" w:rsidRPr="00BC282E" w:rsidRDefault="004B692F" w:rsidP="00363100">
            <w:pPr>
              <w:pStyle w:val="ListParagraph"/>
              <w:numPr>
                <w:ilvl w:val="0"/>
                <w:numId w:val="1"/>
              </w:numPr>
              <w:ind w:left="360"/>
              <w:rPr>
                <w:rFonts w:ascii="Quire Sans Pro Light" w:hAnsi="Quire Sans Pro Light"/>
                <w:b/>
                <w:bCs/>
                <w:sz w:val="20"/>
                <w:szCs w:val="20"/>
              </w:rPr>
            </w:pPr>
            <w:r>
              <w:rPr>
                <w:rFonts w:ascii="Quire Sans Pro Light" w:hAnsi="Quire Sans Pro Light"/>
                <w:b/>
                <w:bCs/>
                <w:sz w:val="20"/>
                <w:szCs w:val="20"/>
              </w:rPr>
              <w:t xml:space="preserve">Collect </w:t>
            </w:r>
            <w:r w:rsidR="00BC282E" w:rsidRPr="00BC282E">
              <w:rPr>
                <w:rFonts w:ascii="Quire Sans Pro Light" w:hAnsi="Quire Sans Pro Light"/>
                <w:b/>
                <w:bCs/>
                <w:sz w:val="20"/>
                <w:szCs w:val="20"/>
              </w:rPr>
              <w:t xml:space="preserve">anecdotal evidence </w:t>
            </w:r>
            <w:r w:rsidR="00BC282E" w:rsidRPr="00BC282E">
              <w:rPr>
                <w:rFonts w:ascii="Quire Sans Pro Light" w:hAnsi="Quire Sans Pro Light"/>
                <w:sz w:val="20"/>
                <w:szCs w:val="20"/>
              </w:rPr>
              <w:t>from families related to your goals (e.g., text messages, quotes from conversations).</w:t>
            </w:r>
          </w:p>
          <w:p w14:paraId="7E2C4946" w14:textId="10AE8369" w:rsidR="00BC282E" w:rsidRPr="00BC282E" w:rsidRDefault="00BC282E" w:rsidP="00363100">
            <w:pPr>
              <w:pStyle w:val="ListParagraph"/>
              <w:numPr>
                <w:ilvl w:val="0"/>
                <w:numId w:val="1"/>
              </w:numPr>
              <w:ind w:left="360"/>
              <w:rPr>
                <w:rFonts w:ascii="Quire Sans Pro Light" w:hAnsi="Quire Sans Pro Light"/>
                <w:b/>
                <w:bCs/>
                <w:sz w:val="20"/>
                <w:szCs w:val="20"/>
              </w:rPr>
            </w:pPr>
            <w:r w:rsidRPr="00BC282E">
              <w:rPr>
                <w:rFonts w:ascii="Quire Sans Pro Light" w:hAnsi="Quire Sans Pro Light"/>
                <w:sz w:val="20"/>
                <w:szCs w:val="20"/>
              </w:rPr>
              <w:t>Throughout the year, create intentional space to gather reflective information from families.</w:t>
            </w:r>
            <w:r w:rsidRPr="00BC282E">
              <w:rPr>
                <w:rFonts w:ascii="Quire Sans Pro Light" w:hAnsi="Quire Sans Pro Light"/>
                <w:b/>
                <w:bCs/>
                <w:sz w:val="20"/>
                <w:szCs w:val="20"/>
              </w:rPr>
              <w:t xml:space="preserve"> </w:t>
            </w:r>
            <w:r w:rsidR="00F35526">
              <w:rPr>
                <w:rFonts w:ascii="Quire Sans Pro Light" w:hAnsi="Quire Sans Pro Light"/>
                <w:b/>
                <w:bCs/>
                <w:sz w:val="20"/>
                <w:szCs w:val="20"/>
              </w:rPr>
              <w:t>In families’ primary language, a</w:t>
            </w:r>
            <w:r w:rsidRPr="00BC282E">
              <w:rPr>
                <w:rFonts w:ascii="Quire Sans Pro Light" w:hAnsi="Quire Sans Pro Light"/>
                <w:b/>
                <w:bCs/>
                <w:sz w:val="20"/>
                <w:szCs w:val="20"/>
              </w:rPr>
              <w:t>sk</w:t>
            </w:r>
            <w:r w:rsidR="00F35526">
              <w:rPr>
                <w:rFonts w:ascii="Quire Sans Pro Light" w:hAnsi="Quire Sans Pro Light"/>
                <w:b/>
                <w:bCs/>
                <w:sz w:val="20"/>
                <w:szCs w:val="20"/>
              </w:rPr>
              <w:t>:</w:t>
            </w:r>
            <w:r w:rsidRPr="00BC282E">
              <w:rPr>
                <w:rFonts w:ascii="Quire Sans Pro Light" w:hAnsi="Quire Sans Pro Light"/>
                <w:b/>
                <w:bCs/>
                <w:sz w:val="20"/>
                <w:szCs w:val="20"/>
              </w:rPr>
              <w:t xml:space="preserve"> “</w:t>
            </w:r>
            <w:r w:rsidR="00BB519D">
              <w:rPr>
                <w:rFonts w:ascii="Quire Sans Pro Light" w:hAnsi="Quire Sans Pro Light"/>
                <w:b/>
                <w:bCs/>
                <w:sz w:val="20"/>
                <w:szCs w:val="20"/>
              </w:rPr>
              <w:t xml:space="preserve">From your perspective, </w:t>
            </w:r>
            <w:r w:rsidR="00B50082">
              <w:rPr>
                <w:rFonts w:ascii="Quire Sans Pro Light" w:hAnsi="Quire Sans Pro Light"/>
                <w:b/>
                <w:bCs/>
                <w:sz w:val="20"/>
                <w:szCs w:val="20"/>
              </w:rPr>
              <w:t>h</w:t>
            </w:r>
            <w:r w:rsidRPr="00BC282E">
              <w:rPr>
                <w:rFonts w:ascii="Quire Sans Pro Light" w:hAnsi="Quire Sans Pro Light"/>
                <w:b/>
                <w:bCs/>
                <w:sz w:val="20"/>
                <w:szCs w:val="20"/>
              </w:rPr>
              <w:t>ow are you experiencing your child’s education with me?”</w:t>
            </w:r>
            <w:r w:rsidR="003F2721">
              <w:rPr>
                <w:rStyle w:val="FootnoteReference"/>
                <w:rFonts w:ascii="Quire Sans Pro Light" w:hAnsi="Quire Sans Pro Light"/>
                <w:b/>
                <w:bCs/>
                <w:sz w:val="20"/>
                <w:szCs w:val="20"/>
              </w:rPr>
              <w:footnoteReference w:id="3"/>
            </w:r>
            <w:r w:rsidR="00902EFA">
              <w:rPr>
                <w:rFonts w:ascii="Quire Sans Pro Light" w:hAnsi="Quire Sans Pro Light"/>
                <w:b/>
                <w:bCs/>
                <w:sz w:val="20"/>
                <w:szCs w:val="20"/>
              </w:rPr>
              <w:t xml:space="preserve"> </w:t>
            </w:r>
            <w:r w:rsidRPr="00BC282E">
              <w:rPr>
                <w:rFonts w:ascii="Quire Sans Pro Light" w:hAnsi="Quire Sans Pro Light"/>
                <w:sz w:val="20"/>
                <w:szCs w:val="20"/>
              </w:rPr>
              <w:t xml:space="preserve">By creating open space, you can hear families’ feedback and map this evidence onto your goals and performance on standards. </w:t>
            </w:r>
            <w:r w:rsidR="00F35526">
              <w:rPr>
                <w:rFonts w:ascii="Quire Sans Pro Light" w:hAnsi="Quire Sans Pro Light"/>
                <w:sz w:val="20"/>
                <w:szCs w:val="20"/>
              </w:rPr>
              <w:t xml:space="preserve">Keep in mind, however, that not all families may be comfortable with this type of question – relationships are key to </w:t>
            </w:r>
            <w:r w:rsidR="007F4AA8">
              <w:rPr>
                <w:rFonts w:ascii="Quire Sans Pro Light" w:hAnsi="Quire Sans Pro Light"/>
                <w:sz w:val="20"/>
                <w:szCs w:val="20"/>
              </w:rPr>
              <w:t>gathering this information in the most responsive way.</w:t>
            </w:r>
          </w:p>
        </w:tc>
      </w:tr>
      <w:tr w:rsidR="00BC282E" w:rsidRPr="00BC282E" w14:paraId="6F55DD30" w14:textId="77777777" w:rsidTr="007F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2"/>
        </w:trPr>
        <w:tc>
          <w:tcPr>
            <w:tcW w:w="2003" w:type="dxa"/>
            <w:shd w:val="clear" w:color="auto" w:fill="8EAADB" w:themeFill="accent1" w:themeFillTint="99"/>
            <w:vAlign w:val="center"/>
          </w:tcPr>
          <w:p w14:paraId="7525AFF7" w14:textId="526DB7C3" w:rsidR="00363100" w:rsidRPr="00363100" w:rsidRDefault="00363100" w:rsidP="00363100">
            <w:pPr>
              <w:spacing w:line="259" w:lineRule="auto"/>
              <w:jc w:val="center"/>
              <w:rPr>
                <w:rFonts w:ascii="Quire Sans Pro Light" w:hAnsi="Quire Sans Pro Light" w:cs="Aharoni"/>
                <w:spacing w:val="30"/>
                <w:sz w:val="20"/>
                <w:szCs w:val="20"/>
              </w:rPr>
            </w:pPr>
            <w:r>
              <w:rPr>
                <w:rFonts w:ascii="Quire Sans Pro Light" w:hAnsi="Quire Sans Pro Light" w:cs="Aharoni"/>
                <w:spacing w:val="30"/>
                <w:sz w:val="20"/>
                <w:szCs w:val="20"/>
              </w:rPr>
              <w:t>FOUR &amp; FIVE</w:t>
            </w:r>
          </w:p>
          <w:p w14:paraId="1BA6E269" w14:textId="3052F5E3" w:rsidR="00BC282E" w:rsidRPr="00BC282E" w:rsidRDefault="00BC282E" w:rsidP="00363100">
            <w:pPr>
              <w:jc w:val="center"/>
              <w:rPr>
                <w:rFonts w:ascii="Aharoni" w:hAnsi="Aharoni" w:cs="Aharoni"/>
                <w:b/>
                <w:bCs/>
                <w:sz w:val="24"/>
                <w:szCs w:val="24"/>
              </w:rPr>
            </w:pPr>
            <w:r w:rsidRPr="00BC282E">
              <w:rPr>
                <w:rFonts w:ascii="Aharoni" w:hAnsi="Aharoni" w:cs="Aharoni" w:hint="cs"/>
                <w:b/>
                <w:bCs/>
                <w:sz w:val="24"/>
                <w:szCs w:val="24"/>
              </w:rPr>
              <w:t>Formati</w:t>
            </w:r>
            <w:r w:rsidR="0076507E">
              <w:rPr>
                <w:rFonts w:ascii="Aharoni" w:hAnsi="Aharoni" w:cs="Aharoni"/>
                <w:b/>
                <w:bCs/>
                <w:sz w:val="24"/>
                <w:szCs w:val="24"/>
              </w:rPr>
              <w:t>ve</w:t>
            </w:r>
            <w:r w:rsidRPr="00BC282E">
              <w:rPr>
                <w:rFonts w:ascii="Aharoni" w:hAnsi="Aharoni" w:cs="Aharoni" w:hint="cs"/>
                <w:b/>
                <w:bCs/>
                <w:sz w:val="24"/>
                <w:szCs w:val="24"/>
              </w:rPr>
              <w:t xml:space="preserve"> </w:t>
            </w:r>
            <w:r w:rsidR="00363100">
              <w:rPr>
                <w:rFonts w:ascii="Aharoni" w:hAnsi="Aharoni" w:cs="Aharoni"/>
                <w:b/>
                <w:bCs/>
                <w:sz w:val="24"/>
                <w:szCs w:val="24"/>
              </w:rPr>
              <w:t>&amp;</w:t>
            </w:r>
            <w:r w:rsidRPr="00BC282E">
              <w:rPr>
                <w:rFonts w:ascii="Aharoni" w:hAnsi="Aharoni" w:cs="Aharoni" w:hint="cs"/>
                <w:b/>
                <w:bCs/>
                <w:sz w:val="24"/>
                <w:szCs w:val="24"/>
              </w:rPr>
              <w:t xml:space="preserve"> Summative Evaluation</w:t>
            </w:r>
          </w:p>
        </w:tc>
        <w:tc>
          <w:tcPr>
            <w:tcW w:w="8797" w:type="dxa"/>
            <w:gridSpan w:val="6"/>
            <w:shd w:val="clear" w:color="auto" w:fill="8EAADB" w:themeFill="accent1" w:themeFillTint="99"/>
            <w:vAlign w:val="center"/>
          </w:tcPr>
          <w:p w14:paraId="6C48A57E" w14:textId="77777777" w:rsidR="00BC282E" w:rsidRPr="00BC282E" w:rsidRDefault="00BC282E" w:rsidP="00363100">
            <w:pPr>
              <w:pStyle w:val="ListParagraph"/>
              <w:numPr>
                <w:ilvl w:val="0"/>
                <w:numId w:val="2"/>
              </w:numPr>
              <w:ind w:left="360"/>
              <w:rPr>
                <w:rFonts w:ascii="Quire Sans Pro Light" w:hAnsi="Quire Sans Pro Light"/>
                <w:b/>
                <w:bCs/>
                <w:sz w:val="20"/>
                <w:szCs w:val="20"/>
              </w:rPr>
            </w:pPr>
            <w:r w:rsidRPr="00BC282E">
              <w:rPr>
                <w:rFonts w:ascii="Quire Sans Pro Light" w:hAnsi="Quire Sans Pro Light"/>
                <w:sz w:val="20"/>
                <w:szCs w:val="20"/>
              </w:rPr>
              <w:t xml:space="preserve">Family feedback is valuable within and beyond Standard III (Family Engagement). </w:t>
            </w:r>
            <w:r w:rsidRPr="00BC282E">
              <w:rPr>
                <w:rFonts w:ascii="Quire Sans Pro Light" w:hAnsi="Quire Sans Pro Light"/>
                <w:b/>
                <w:bCs/>
                <w:sz w:val="20"/>
                <w:szCs w:val="20"/>
              </w:rPr>
              <w:t>Weave evidence of practice from families</w:t>
            </w:r>
            <w:r w:rsidRPr="00BC282E">
              <w:rPr>
                <w:rFonts w:ascii="Quire Sans Pro Light" w:hAnsi="Quire Sans Pro Light"/>
                <w:sz w:val="20"/>
                <w:szCs w:val="20"/>
              </w:rPr>
              <w:t xml:space="preserve"> into evaluation of progress towards goals and other standards.</w:t>
            </w:r>
          </w:p>
          <w:p w14:paraId="3A01BA53" w14:textId="65D7662A" w:rsidR="00BC282E" w:rsidRPr="00BC282E" w:rsidRDefault="00BC53DE" w:rsidP="00363100">
            <w:pPr>
              <w:pStyle w:val="ListParagraph"/>
              <w:numPr>
                <w:ilvl w:val="0"/>
                <w:numId w:val="2"/>
              </w:numPr>
              <w:ind w:left="360"/>
              <w:rPr>
                <w:rFonts w:ascii="Quire Sans Pro Light" w:hAnsi="Quire Sans Pro Light"/>
                <w:b/>
                <w:bCs/>
                <w:sz w:val="20"/>
                <w:szCs w:val="20"/>
              </w:rPr>
            </w:pPr>
            <w:r>
              <w:rPr>
                <w:rFonts w:ascii="Quire Sans Pro Light" w:hAnsi="Quire Sans Pro Light"/>
                <w:sz w:val="20"/>
                <w:szCs w:val="20"/>
              </w:rPr>
              <w:t xml:space="preserve">At this stage in your </w:t>
            </w:r>
            <w:r w:rsidR="00BC282E" w:rsidRPr="00BC282E">
              <w:rPr>
                <w:rFonts w:ascii="Quire Sans Pro Light" w:hAnsi="Quire Sans Pro Light"/>
                <w:sz w:val="20"/>
                <w:szCs w:val="20"/>
              </w:rPr>
              <w:t xml:space="preserve">evaluation process, </w:t>
            </w:r>
            <w:r w:rsidR="00BC282E" w:rsidRPr="00BC282E">
              <w:rPr>
                <w:rFonts w:ascii="Quire Sans Pro Light" w:hAnsi="Quire Sans Pro Light"/>
                <w:b/>
                <w:bCs/>
                <w:sz w:val="20"/>
                <w:szCs w:val="20"/>
              </w:rPr>
              <w:t>reflect:</w:t>
            </w:r>
            <w:r w:rsidR="00BC282E" w:rsidRPr="00BC282E">
              <w:rPr>
                <w:rFonts w:ascii="Quire Sans Pro Light" w:hAnsi="Quire Sans Pro Light"/>
                <w:sz w:val="20"/>
                <w:szCs w:val="20"/>
              </w:rPr>
              <w:t xml:space="preserve"> Where is family voice reflected in </w:t>
            </w:r>
            <w:r>
              <w:rPr>
                <w:rFonts w:ascii="Quire Sans Pro Light" w:hAnsi="Quire Sans Pro Light"/>
                <w:sz w:val="20"/>
                <w:szCs w:val="20"/>
              </w:rPr>
              <w:t>your practice</w:t>
            </w:r>
            <w:r w:rsidR="00BC282E" w:rsidRPr="00BC282E">
              <w:rPr>
                <w:rFonts w:ascii="Quire Sans Pro Light" w:hAnsi="Quire Sans Pro Light"/>
                <w:sz w:val="20"/>
                <w:szCs w:val="20"/>
              </w:rPr>
              <w:t xml:space="preserve">? Is it representative of </w:t>
            </w:r>
            <w:r>
              <w:rPr>
                <w:rFonts w:ascii="Quire Sans Pro Light" w:hAnsi="Quire Sans Pro Light"/>
                <w:sz w:val="20"/>
                <w:szCs w:val="20"/>
              </w:rPr>
              <w:t>your</w:t>
            </w:r>
            <w:r w:rsidR="00BC282E" w:rsidRPr="00BC282E">
              <w:rPr>
                <w:rFonts w:ascii="Quire Sans Pro Light" w:hAnsi="Quire Sans Pro Light"/>
                <w:sz w:val="20"/>
                <w:szCs w:val="20"/>
              </w:rPr>
              <w:t xml:space="preserve"> students across lines of identity?</w:t>
            </w:r>
          </w:p>
        </w:tc>
      </w:tr>
    </w:tbl>
    <w:p w14:paraId="02668529" w14:textId="77777777" w:rsidR="00BC282E" w:rsidRDefault="00BC282E" w:rsidP="00363100">
      <w:pPr>
        <w:spacing w:after="0"/>
        <w:rPr>
          <w:b/>
          <w:bCs/>
        </w:rPr>
      </w:pPr>
    </w:p>
    <w:p w14:paraId="01F1A97F" w14:textId="1361C594" w:rsidR="005955BB" w:rsidRPr="005955BB" w:rsidRDefault="005955BB" w:rsidP="007F4AA8">
      <w:pPr>
        <w:spacing w:after="40"/>
        <w:rPr>
          <w:rFonts w:ascii="Aharoni" w:hAnsi="Aharoni" w:cs="Aharoni"/>
          <w:sz w:val="24"/>
          <w:szCs w:val="24"/>
        </w:rPr>
      </w:pPr>
      <w:r w:rsidRPr="005955BB">
        <w:rPr>
          <w:rFonts w:ascii="Aharoni" w:hAnsi="Aharoni" w:cs="Aharoni"/>
          <w:sz w:val="24"/>
          <w:szCs w:val="24"/>
        </w:rPr>
        <w:t>ADDITIONAL RESOURCES</w:t>
      </w:r>
    </w:p>
    <w:p w14:paraId="08721E69" w14:textId="142A4C44" w:rsidR="00F35526" w:rsidRPr="007F4AA8" w:rsidRDefault="00D61787" w:rsidP="007F4AA8">
      <w:pPr>
        <w:pStyle w:val="ListParagraph"/>
        <w:numPr>
          <w:ilvl w:val="0"/>
          <w:numId w:val="13"/>
        </w:numPr>
        <w:spacing w:after="40"/>
        <w:contextualSpacing w:val="0"/>
        <w:rPr>
          <w:rFonts w:ascii="Quire Sans Pro Light" w:hAnsi="Quire Sans Pro Light"/>
          <w:sz w:val="20"/>
          <w:szCs w:val="20"/>
        </w:rPr>
      </w:pPr>
      <w:hyperlink r:id="rId15" w:history="1">
        <w:r w:rsidR="00F35526" w:rsidRPr="007F4AA8">
          <w:rPr>
            <w:rStyle w:val="Hyperlink"/>
            <w:rFonts w:ascii="Quire Sans Pro Light" w:hAnsi="Quire Sans Pro Light"/>
            <w:sz w:val="20"/>
            <w:szCs w:val="20"/>
          </w:rPr>
          <w:t>Family, School and Community Partnership Fundamentals Self-Assessment</w:t>
        </w:r>
      </w:hyperlink>
      <w:r w:rsidR="00F35526" w:rsidRPr="007F4AA8">
        <w:rPr>
          <w:rFonts w:ascii="Quire Sans Pro Light" w:hAnsi="Quire Sans Pro Light"/>
          <w:sz w:val="20"/>
          <w:szCs w:val="20"/>
        </w:rPr>
        <w:t xml:space="preserve"> | </w:t>
      </w:r>
      <w:r w:rsidR="00F35526" w:rsidRPr="007F4AA8">
        <w:rPr>
          <w:rFonts w:ascii="Quire Sans Pro Light" w:hAnsi="Quire Sans Pro Light"/>
          <w:i/>
          <w:iCs/>
          <w:sz w:val="20"/>
          <w:szCs w:val="20"/>
        </w:rPr>
        <w:t xml:space="preserve">DESE </w:t>
      </w:r>
    </w:p>
    <w:p w14:paraId="1D9A4D37" w14:textId="37711652" w:rsidR="006D00C4" w:rsidRPr="007F4AA8" w:rsidRDefault="009B69BE" w:rsidP="007F4AA8">
      <w:pPr>
        <w:pStyle w:val="ListParagraph"/>
        <w:numPr>
          <w:ilvl w:val="0"/>
          <w:numId w:val="13"/>
        </w:numPr>
        <w:spacing w:after="40"/>
        <w:contextualSpacing w:val="0"/>
        <w:rPr>
          <w:rFonts w:ascii="Quire Sans Pro Light" w:hAnsi="Quire Sans Pro Light"/>
          <w:sz w:val="20"/>
          <w:szCs w:val="20"/>
        </w:rPr>
      </w:pPr>
      <w:r w:rsidRPr="007F4AA8">
        <w:rPr>
          <w:rFonts w:ascii="Quire Sans Pro Light" w:hAnsi="Quire Sans Pro Light"/>
          <w:sz w:val="20"/>
          <w:szCs w:val="20"/>
        </w:rPr>
        <w:t>Sample Family Feedback</w:t>
      </w:r>
      <w:r w:rsidR="00BC282E" w:rsidRPr="007F4AA8">
        <w:rPr>
          <w:rFonts w:ascii="Quire Sans Pro Light" w:hAnsi="Quire Sans Pro Light"/>
          <w:sz w:val="20"/>
          <w:szCs w:val="20"/>
        </w:rPr>
        <w:t xml:space="preserve"> Surveys</w:t>
      </w:r>
    </w:p>
    <w:p w14:paraId="6724F9D7" w14:textId="25A8A584" w:rsidR="006D00C4" w:rsidRPr="007F4AA8" w:rsidRDefault="00D61787" w:rsidP="007F4AA8">
      <w:pPr>
        <w:pStyle w:val="ListParagraph"/>
        <w:numPr>
          <w:ilvl w:val="1"/>
          <w:numId w:val="5"/>
        </w:numPr>
        <w:spacing w:after="40"/>
        <w:contextualSpacing w:val="0"/>
        <w:rPr>
          <w:rFonts w:ascii="Quire Sans Pro Light" w:hAnsi="Quire Sans Pro Light"/>
          <w:sz w:val="20"/>
          <w:szCs w:val="20"/>
        </w:rPr>
      </w:pPr>
      <w:hyperlink r:id="rId16" w:history="1">
        <w:r w:rsidR="00BC282E" w:rsidRPr="007F4AA8">
          <w:rPr>
            <w:rStyle w:val="Hyperlink"/>
            <w:rFonts w:ascii="Quire Sans Pro Light" w:hAnsi="Quire Sans Pro Light"/>
            <w:sz w:val="20"/>
            <w:szCs w:val="20"/>
          </w:rPr>
          <w:t>Missouri Department of Elementary and Secondary Education</w:t>
        </w:r>
      </w:hyperlink>
    </w:p>
    <w:p w14:paraId="6DEBD427" w14:textId="69EC7E74" w:rsidR="009B69BE" w:rsidRPr="007F4AA8" w:rsidRDefault="00D61787" w:rsidP="007F4AA8">
      <w:pPr>
        <w:pStyle w:val="ListParagraph"/>
        <w:numPr>
          <w:ilvl w:val="1"/>
          <w:numId w:val="5"/>
        </w:numPr>
        <w:spacing w:after="40"/>
        <w:contextualSpacing w:val="0"/>
        <w:rPr>
          <w:rFonts w:ascii="Quire Sans Pro Light" w:hAnsi="Quire Sans Pro Light"/>
          <w:sz w:val="20"/>
          <w:szCs w:val="20"/>
        </w:rPr>
      </w:pPr>
      <w:hyperlink r:id="rId17" w:history="1">
        <w:r w:rsidR="00BC282E" w:rsidRPr="007F4AA8">
          <w:rPr>
            <w:rStyle w:val="Hyperlink"/>
            <w:rFonts w:ascii="Quire Sans Pro Light" w:hAnsi="Quire Sans Pro Light"/>
            <w:sz w:val="20"/>
            <w:szCs w:val="20"/>
          </w:rPr>
          <w:t>Connecticut Department of Education &amp; Panorama Education</w:t>
        </w:r>
      </w:hyperlink>
      <w:r w:rsidR="00BC282E" w:rsidRPr="007F4AA8">
        <w:rPr>
          <w:rFonts w:ascii="Quire Sans Pro Light" w:hAnsi="Quire Sans Pro Light"/>
          <w:sz w:val="20"/>
          <w:szCs w:val="20"/>
        </w:rPr>
        <w:t xml:space="preserve"> </w:t>
      </w:r>
    </w:p>
    <w:bookmarkStart w:id="0" w:name="_Hlk71608159"/>
    <w:p w14:paraId="31AA5AEA" w14:textId="4137468F" w:rsidR="009B69BE" w:rsidRPr="007F4AA8" w:rsidRDefault="00CA62A7" w:rsidP="007F4AA8">
      <w:pPr>
        <w:pStyle w:val="ListParagraph"/>
        <w:numPr>
          <w:ilvl w:val="0"/>
          <w:numId w:val="5"/>
        </w:numPr>
        <w:spacing w:after="40"/>
        <w:contextualSpacing w:val="0"/>
        <w:rPr>
          <w:rFonts w:ascii="Quire Sans Pro Light" w:hAnsi="Quire Sans Pro Light"/>
          <w:sz w:val="20"/>
          <w:szCs w:val="20"/>
        </w:rPr>
      </w:pPr>
      <w:r w:rsidRPr="007F4AA8">
        <w:fldChar w:fldCharType="begin"/>
      </w:r>
      <w:r w:rsidRPr="007F4AA8">
        <w:rPr>
          <w:sz w:val="20"/>
          <w:szCs w:val="20"/>
        </w:rPr>
        <w:instrText xml:space="preserve"> HYPERLINK "https://www.pta.org/center-for-family-engagement/listening-sessions" </w:instrText>
      </w:r>
      <w:r w:rsidRPr="007F4AA8">
        <w:fldChar w:fldCharType="separate"/>
      </w:r>
      <w:r w:rsidR="006D00C4" w:rsidRPr="007F4AA8">
        <w:rPr>
          <w:rStyle w:val="Hyperlink"/>
          <w:rFonts w:ascii="Quire Sans Pro Light" w:hAnsi="Quire Sans Pro Light"/>
          <w:sz w:val="20"/>
          <w:szCs w:val="20"/>
        </w:rPr>
        <w:t>Facilitating Listening Sessions Toolkit</w:t>
      </w:r>
      <w:r w:rsidRPr="007F4AA8">
        <w:rPr>
          <w:rStyle w:val="Hyperlink"/>
          <w:rFonts w:ascii="Quire Sans Pro Light" w:hAnsi="Quire Sans Pro Light"/>
          <w:sz w:val="20"/>
          <w:szCs w:val="20"/>
        </w:rPr>
        <w:fldChar w:fldCharType="end"/>
      </w:r>
      <w:r w:rsidR="006D00C4" w:rsidRPr="007F4AA8">
        <w:rPr>
          <w:rFonts w:ascii="Quire Sans Pro Light" w:hAnsi="Quire Sans Pro Light"/>
          <w:sz w:val="20"/>
          <w:szCs w:val="20"/>
        </w:rPr>
        <w:t xml:space="preserve"> | </w:t>
      </w:r>
      <w:r w:rsidR="006D00C4" w:rsidRPr="007F4AA8">
        <w:rPr>
          <w:rFonts w:ascii="Quire Sans Pro Light" w:hAnsi="Quire Sans Pro Light"/>
          <w:i/>
          <w:iCs/>
          <w:sz w:val="20"/>
          <w:szCs w:val="20"/>
        </w:rPr>
        <w:t>The Center for Family Engagement</w:t>
      </w:r>
    </w:p>
    <w:p w14:paraId="1CCD52F0" w14:textId="625BB8B2" w:rsidR="009B69BE" w:rsidRPr="007F4AA8" w:rsidRDefault="00D61787" w:rsidP="007F4AA8">
      <w:pPr>
        <w:pStyle w:val="ListParagraph"/>
        <w:numPr>
          <w:ilvl w:val="0"/>
          <w:numId w:val="5"/>
        </w:numPr>
        <w:spacing w:after="40"/>
        <w:contextualSpacing w:val="0"/>
        <w:rPr>
          <w:rFonts w:ascii="Quire Sans Pro Light" w:hAnsi="Quire Sans Pro Light"/>
          <w:i/>
          <w:iCs/>
          <w:sz w:val="20"/>
          <w:szCs w:val="20"/>
        </w:rPr>
      </w:pPr>
      <w:hyperlink r:id="rId18" w:history="1">
        <w:r w:rsidR="006D00C4" w:rsidRPr="007F4AA8">
          <w:rPr>
            <w:rStyle w:val="Hyperlink"/>
            <w:rFonts w:ascii="Quire Sans Pro Light" w:hAnsi="Quire Sans Pro Light"/>
            <w:sz w:val="20"/>
            <w:szCs w:val="20"/>
          </w:rPr>
          <w:t>Strengthening Partnerships: A Framework for Prenatal through Young Adulthood Family Engagement in MA</w:t>
        </w:r>
      </w:hyperlink>
      <w:r w:rsidR="006D00C4" w:rsidRPr="007F4AA8">
        <w:rPr>
          <w:rFonts w:ascii="Quire Sans Pro Light" w:hAnsi="Quire Sans Pro Light"/>
          <w:sz w:val="20"/>
          <w:szCs w:val="20"/>
        </w:rPr>
        <w:t xml:space="preserve"> | </w:t>
      </w:r>
      <w:r w:rsidR="00E371B0" w:rsidRPr="007F4AA8">
        <w:rPr>
          <w:rFonts w:ascii="Quire Sans Pro Light" w:hAnsi="Quire Sans Pro Light"/>
          <w:i/>
          <w:iCs/>
          <w:sz w:val="20"/>
          <w:szCs w:val="20"/>
        </w:rPr>
        <w:t>The Massachusetts Family Engagement Coalition</w:t>
      </w:r>
    </w:p>
    <w:p w14:paraId="48A9816F" w14:textId="7796CC07" w:rsidR="00CA0CA9" w:rsidRPr="007F4AA8" w:rsidRDefault="00D61787" w:rsidP="007F4AA8">
      <w:pPr>
        <w:pStyle w:val="ListParagraph"/>
        <w:numPr>
          <w:ilvl w:val="0"/>
          <w:numId w:val="5"/>
        </w:numPr>
        <w:spacing w:after="40"/>
        <w:contextualSpacing w:val="0"/>
        <w:rPr>
          <w:rFonts w:ascii="Quire Sans Pro Light" w:hAnsi="Quire Sans Pro Light"/>
          <w:sz w:val="20"/>
          <w:szCs w:val="20"/>
        </w:rPr>
      </w:pPr>
      <w:hyperlink r:id="rId19" w:history="1">
        <w:r w:rsidR="00CA0CA9" w:rsidRPr="007F4AA8">
          <w:rPr>
            <w:rStyle w:val="Hyperlink"/>
            <w:rFonts w:ascii="Quire Sans Pro Light" w:hAnsi="Quire Sans Pro Light"/>
            <w:sz w:val="20"/>
            <w:szCs w:val="20"/>
          </w:rPr>
          <w:t>Challenging Assumptions Reflection Tool</w:t>
        </w:r>
      </w:hyperlink>
      <w:r w:rsidR="00E371B0" w:rsidRPr="007F4AA8">
        <w:rPr>
          <w:rFonts w:ascii="Quire Sans Pro Light" w:hAnsi="Quire Sans Pro Light"/>
          <w:sz w:val="20"/>
          <w:szCs w:val="20"/>
        </w:rPr>
        <w:t xml:space="preserve"> | </w:t>
      </w:r>
      <w:proofErr w:type="spellStart"/>
      <w:r w:rsidR="00E371B0" w:rsidRPr="007F4AA8">
        <w:rPr>
          <w:rFonts w:ascii="Quire Sans Pro Light" w:hAnsi="Quire Sans Pro Light"/>
          <w:i/>
          <w:iCs/>
          <w:sz w:val="20"/>
          <w:szCs w:val="20"/>
        </w:rPr>
        <w:t>Flamboyan</w:t>
      </w:r>
      <w:proofErr w:type="spellEnd"/>
      <w:r w:rsidR="00E371B0" w:rsidRPr="007F4AA8">
        <w:rPr>
          <w:rFonts w:ascii="Quire Sans Pro Light" w:hAnsi="Quire Sans Pro Light"/>
          <w:i/>
          <w:iCs/>
          <w:sz w:val="20"/>
          <w:szCs w:val="20"/>
        </w:rPr>
        <w:t xml:space="preserve"> Foundation</w:t>
      </w:r>
      <w:r w:rsidR="00E371B0" w:rsidRPr="007F4AA8">
        <w:rPr>
          <w:rStyle w:val="Hyperlink"/>
          <w:rFonts w:ascii="Quire Sans Pro Light" w:hAnsi="Quire Sans Pro Light"/>
          <w:sz w:val="20"/>
          <w:szCs w:val="20"/>
        </w:rPr>
        <w:t xml:space="preserve"> </w:t>
      </w:r>
      <w:bookmarkEnd w:id="0"/>
    </w:p>
    <w:sectPr w:rsidR="00CA0CA9" w:rsidRPr="007F4AA8" w:rsidSect="00A30E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8F25B" w14:textId="77777777" w:rsidR="00D61787" w:rsidRDefault="00D61787" w:rsidP="0014692B">
      <w:pPr>
        <w:spacing w:after="0" w:line="240" w:lineRule="auto"/>
      </w:pPr>
      <w:r>
        <w:separator/>
      </w:r>
    </w:p>
  </w:endnote>
  <w:endnote w:type="continuationSeparator" w:id="0">
    <w:p w14:paraId="593AD7BE" w14:textId="77777777" w:rsidR="00D61787" w:rsidRDefault="00D61787" w:rsidP="0014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re Sans Pro Light">
    <w:charset w:val="00"/>
    <w:family w:val="swiss"/>
    <w:pitch w:val="variable"/>
    <w:sig w:usb0="8000002F" w:usb1="0000000A" w:usb2="00000000" w:usb3="00000000" w:csb0="00000001" w:csb1="00000000"/>
  </w:font>
  <w:font w:name="Quire Sans">
    <w:charset w:val="00"/>
    <w:family w:val="swiss"/>
    <w:pitch w:val="variable"/>
    <w:sig w:usb0="A11526FF" w:usb1="8000000A" w:usb2="00010000" w:usb3="00000000" w:csb0="000001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E240A" w14:textId="77777777" w:rsidR="00D61787" w:rsidRDefault="00D61787" w:rsidP="0014692B">
      <w:pPr>
        <w:spacing w:after="0" w:line="240" w:lineRule="auto"/>
      </w:pPr>
      <w:r>
        <w:separator/>
      </w:r>
    </w:p>
  </w:footnote>
  <w:footnote w:type="continuationSeparator" w:id="0">
    <w:p w14:paraId="6720B0F3" w14:textId="77777777" w:rsidR="00D61787" w:rsidRDefault="00D61787" w:rsidP="0014692B">
      <w:pPr>
        <w:spacing w:after="0" w:line="240" w:lineRule="auto"/>
      </w:pPr>
      <w:r>
        <w:continuationSeparator/>
      </w:r>
    </w:p>
  </w:footnote>
  <w:footnote w:id="1">
    <w:p w14:paraId="6B37D4E8" w14:textId="283B0F08" w:rsidR="0014692B" w:rsidRPr="005955BB" w:rsidRDefault="0014692B">
      <w:pPr>
        <w:pStyle w:val="FootnoteText"/>
        <w:rPr>
          <w:rFonts w:ascii="Quire Sans Pro Light" w:hAnsi="Quire Sans Pro Light"/>
        </w:rPr>
      </w:pPr>
      <w:r w:rsidRPr="005955BB">
        <w:rPr>
          <w:rStyle w:val="FootnoteReference"/>
          <w:rFonts w:ascii="Quire Sans Pro Light" w:hAnsi="Quire Sans Pro Light"/>
        </w:rPr>
        <w:footnoteRef/>
      </w:r>
      <w:r w:rsidRPr="005955BB">
        <w:rPr>
          <w:rFonts w:ascii="Quire Sans Pro Light" w:hAnsi="Quire Sans Pro Light"/>
        </w:rPr>
        <w:t xml:space="preserve"> del Carmen Salazar, María, and Jessica Lerner, </w:t>
      </w:r>
      <w:r w:rsidRPr="005955BB">
        <w:rPr>
          <w:rFonts w:ascii="Quire Sans Pro Light" w:hAnsi="Quire Sans Pro Light"/>
          <w:i/>
          <w:iCs/>
        </w:rPr>
        <w:t>Teacher Evaluation as Cultural Practice: A Framework for Equity and Excellence</w:t>
      </w:r>
      <w:r w:rsidRPr="005955BB">
        <w:rPr>
          <w:rFonts w:ascii="Quire Sans Pro Light" w:hAnsi="Quire Sans Pro Light"/>
        </w:rPr>
        <w:t xml:space="preserve"> (16).</w:t>
      </w:r>
    </w:p>
  </w:footnote>
  <w:footnote w:id="2">
    <w:p w14:paraId="4C136EE0" w14:textId="77777777" w:rsidR="00BC282E" w:rsidRPr="005955BB" w:rsidRDefault="00BC282E" w:rsidP="00BC282E">
      <w:pPr>
        <w:pStyle w:val="FootnoteText"/>
        <w:rPr>
          <w:rFonts w:ascii="Quire Sans Pro Light" w:hAnsi="Quire Sans Pro Light"/>
        </w:rPr>
      </w:pPr>
      <w:r w:rsidRPr="005955BB">
        <w:rPr>
          <w:rStyle w:val="FootnoteReference"/>
          <w:rFonts w:ascii="Quire Sans Pro Light" w:hAnsi="Quire Sans Pro Light"/>
        </w:rPr>
        <w:footnoteRef/>
      </w:r>
      <w:r w:rsidRPr="005955BB">
        <w:rPr>
          <w:rFonts w:ascii="Quire Sans Pro Light" w:hAnsi="Quire Sans Pro Light"/>
        </w:rPr>
        <w:t xml:space="preserve"> Cultural brokers are individuals who act as bridges between schools and communities (</w:t>
      </w:r>
      <w:proofErr w:type="spellStart"/>
      <w:r w:rsidRPr="005955BB">
        <w:rPr>
          <w:rFonts w:ascii="Quire Sans Pro Light" w:hAnsi="Quire Sans Pro Light"/>
        </w:rPr>
        <w:t>Jezewski</w:t>
      </w:r>
      <w:proofErr w:type="spellEnd"/>
      <w:r w:rsidRPr="005955BB">
        <w:rPr>
          <w:rFonts w:ascii="Quire Sans Pro Light" w:hAnsi="Quire Sans Pro Light"/>
        </w:rPr>
        <w:t>, 1990; McMahon, 2017).</w:t>
      </w:r>
    </w:p>
  </w:footnote>
  <w:footnote w:id="3">
    <w:p w14:paraId="2B2479BB" w14:textId="596CB4DA" w:rsidR="003F2721" w:rsidRPr="003C51E3" w:rsidRDefault="003F2721">
      <w:pPr>
        <w:pStyle w:val="FootnoteText"/>
        <w:rPr>
          <w:rFonts w:ascii="Quire Sans Pro Light" w:hAnsi="Quire Sans Pro Light"/>
        </w:rPr>
      </w:pPr>
      <w:r w:rsidRPr="003C51E3">
        <w:rPr>
          <w:rStyle w:val="FootnoteReference"/>
          <w:rFonts w:ascii="Quire Sans Pro Light" w:hAnsi="Quire Sans Pro Light"/>
        </w:rPr>
        <w:footnoteRef/>
      </w:r>
      <w:r w:rsidRPr="003C51E3">
        <w:rPr>
          <w:rFonts w:ascii="Quire Sans Pro Light" w:hAnsi="Quire Sans Pro Light"/>
        </w:rPr>
        <w:t xml:space="preserve"> </w:t>
      </w:r>
      <w:proofErr w:type="gramStart"/>
      <w:r w:rsidRPr="003C51E3">
        <w:rPr>
          <w:rFonts w:ascii="Quire Sans Pro Light" w:hAnsi="Quire Sans Pro Light"/>
        </w:rPr>
        <w:t>We’d</w:t>
      </w:r>
      <w:proofErr w:type="gramEnd"/>
      <w:r w:rsidRPr="003C51E3">
        <w:rPr>
          <w:rFonts w:ascii="Quire Sans Pro Light" w:hAnsi="Quire Sans Pro Light"/>
        </w:rPr>
        <w:t xml:space="preserve"> like to thank educators from the 2020-21 Principal &amp; Teacher Advisory Cabinets for developing this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5BC"/>
    <w:multiLevelType w:val="hybridMultilevel"/>
    <w:tmpl w:val="5C84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6322"/>
    <w:multiLevelType w:val="multilevel"/>
    <w:tmpl w:val="D2D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16C0E"/>
    <w:multiLevelType w:val="hybridMultilevel"/>
    <w:tmpl w:val="6C2408D2"/>
    <w:lvl w:ilvl="0" w:tplc="6CA6A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7A3"/>
    <w:multiLevelType w:val="hybridMultilevel"/>
    <w:tmpl w:val="094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4EC7"/>
    <w:multiLevelType w:val="hybridMultilevel"/>
    <w:tmpl w:val="C0B44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6151C1"/>
    <w:multiLevelType w:val="multilevel"/>
    <w:tmpl w:val="63DE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F3217"/>
    <w:multiLevelType w:val="hybridMultilevel"/>
    <w:tmpl w:val="D90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1BAC"/>
    <w:multiLevelType w:val="hybridMultilevel"/>
    <w:tmpl w:val="7272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768B"/>
    <w:multiLevelType w:val="hybridMultilevel"/>
    <w:tmpl w:val="060AFA2C"/>
    <w:lvl w:ilvl="0" w:tplc="6CA6AEF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3D160F"/>
    <w:multiLevelType w:val="multilevel"/>
    <w:tmpl w:val="E3AE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14AAA"/>
    <w:multiLevelType w:val="hybridMultilevel"/>
    <w:tmpl w:val="917E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95C74"/>
    <w:multiLevelType w:val="hybridMultilevel"/>
    <w:tmpl w:val="226A8108"/>
    <w:lvl w:ilvl="0" w:tplc="1B54E5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0"/>
  </w:num>
  <w:num w:numId="6">
    <w:abstractNumId w:val="8"/>
  </w:num>
  <w:num w:numId="7">
    <w:abstractNumId w:val="2"/>
  </w:num>
  <w:num w:numId="8">
    <w:abstractNumId w:val="1"/>
  </w:num>
  <w:num w:numId="9">
    <w:abstractNumId w:val="9"/>
  </w:num>
  <w:num w:numId="10">
    <w:abstractNumId w:val="5"/>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42"/>
    <w:rsid w:val="001105B0"/>
    <w:rsid w:val="00123C55"/>
    <w:rsid w:val="0014692B"/>
    <w:rsid w:val="001B44CA"/>
    <w:rsid w:val="001E0EB9"/>
    <w:rsid w:val="002233C7"/>
    <w:rsid w:val="002337BC"/>
    <w:rsid w:val="0023412E"/>
    <w:rsid w:val="00276BCE"/>
    <w:rsid w:val="002A433E"/>
    <w:rsid w:val="0031311C"/>
    <w:rsid w:val="003431D4"/>
    <w:rsid w:val="00363100"/>
    <w:rsid w:val="003A319E"/>
    <w:rsid w:val="003A63D5"/>
    <w:rsid w:val="003C51E3"/>
    <w:rsid w:val="003F2721"/>
    <w:rsid w:val="004507C0"/>
    <w:rsid w:val="00482418"/>
    <w:rsid w:val="004B692F"/>
    <w:rsid w:val="00552EF0"/>
    <w:rsid w:val="00566519"/>
    <w:rsid w:val="0057769A"/>
    <w:rsid w:val="005955BB"/>
    <w:rsid w:val="005A17FA"/>
    <w:rsid w:val="005A5EBF"/>
    <w:rsid w:val="005B7092"/>
    <w:rsid w:val="005F2981"/>
    <w:rsid w:val="00613886"/>
    <w:rsid w:val="00671D34"/>
    <w:rsid w:val="006B1126"/>
    <w:rsid w:val="006B7D4A"/>
    <w:rsid w:val="006D00C4"/>
    <w:rsid w:val="00725E4C"/>
    <w:rsid w:val="0076507E"/>
    <w:rsid w:val="007806D6"/>
    <w:rsid w:val="007D3784"/>
    <w:rsid w:val="007E1E01"/>
    <w:rsid w:val="007E295F"/>
    <w:rsid w:val="007F4AA8"/>
    <w:rsid w:val="008322BB"/>
    <w:rsid w:val="00856A4B"/>
    <w:rsid w:val="00863C5F"/>
    <w:rsid w:val="008C1064"/>
    <w:rsid w:val="00902EFA"/>
    <w:rsid w:val="009836A0"/>
    <w:rsid w:val="009B69BE"/>
    <w:rsid w:val="009F41F5"/>
    <w:rsid w:val="00A30E2F"/>
    <w:rsid w:val="00A437FC"/>
    <w:rsid w:val="00A95D97"/>
    <w:rsid w:val="00B11392"/>
    <w:rsid w:val="00B50082"/>
    <w:rsid w:val="00B55327"/>
    <w:rsid w:val="00BB519D"/>
    <w:rsid w:val="00BC282E"/>
    <w:rsid w:val="00BC53DE"/>
    <w:rsid w:val="00BE485F"/>
    <w:rsid w:val="00CA0CA9"/>
    <w:rsid w:val="00CA62A7"/>
    <w:rsid w:val="00CA6D83"/>
    <w:rsid w:val="00D039FC"/>
    <w:rsid w:val="00D61787"/>
    <w:rsid w:val="00DA0FFA"/>
    <w:rsid w:val="00E13423"/>
    <w:rsid w:val="00E25BC6"/>
    <w:rsid w:val="00E371B0"/>
    <w:rsid w:val="00E64004"/>
    <w:rsid w:val="00F14DD1"/>
    <w:rsid w:val="00F1515F"/>
    <w:rsid w:val="00F35526"/>
    <w:rsid w:val="00F46627"/>
    <w:rsid w:val="00F568FB"/>
    <w:rsid w:val="00FF4E42"/>
    <w:rsid w:val="00FF7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8965"/>
  <w15:chartTrackingRefBased/>
  <w15:docId w15:val="{C79AFE46-7BB4-45AA-9A27-53987DDA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E42"/>
    <w:pPr>
      <w:ind w:left="720"/>
      <w:contextualSpacing/>
    </w:pPr>
  </w:style>
  <w:style w:type="character" w:styleId="Hyperlink">
    <w:name w:val="Hyperlink"/>
    <w:basedOn w:val="DefaultParagraphFont"/>
    <w:uiPriority w:val="99"/>
    <w:unhideWhenUsed/>
    <w:rsid w:val="00CA0CA9"/>
    <w:rPr>
      <w:color w:val="0563C1" w:themeColor="hyperlink"/>
      <w:u w:val="single"/>
    </w:rPr>
  </w:style>
  <w:style w:type="character" w:styleId="UnresolvedMention">
    <w:name w:val="Unresolved Mention"/>
    <w:basedOn w:val="DefaultParagraphFont"/>
    <w:uiPriority w:val="99"/>
    <w:semiHidden/>
    <w:unhideWhenUsed/>
    <w:rsid w:val="00CA0CA9"/>
    <w:rPr>
      <w:color w:val="605E5C"/>
      <w:shd w:val="clear" w:color="auto" w:fill="E1DFDD"/>
    </w:rPr>
  </w:style>
  <w:style w:type="paragraph" w:styleId="FootnoteText">
    <w:name w:val="footnote text"/>
    <w:basedOn w:val="Normal"/>
    <w:link w:val="FootnoteTextChar"/>
    <w:uiPriority w:val="99"/>
    <w:semiHidden/>
    <w:unhideWhenUsed/>
    <w:rsid w:val="0014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92B"/>
    <w:rPr>
      <w:sz w:val="20"/>
      <w:szCs w:val="20"/>
    </w:rPr>
  </w:style>
  <w:style w:type="character" w:styleId="FootnoteReference">
    <w:name w:val="footnote reference"/>
    <w:basedOn w:val="DefaultParagraphFont"/>
    <w:uiPriority w:val="99"/>
    <w:semiHidden/>
    <w:unhideWhenUsed/>
    <w:rsid w:val="0014692B"/>
    <w:rPr>
      <w:vertAlign w:val="superscript"/>
    </w:rPr>
  </w:style>
  <w:style w:type="character" w:styleId="CommentReference">
    <w:name w:val="annotation reference"/>
    <w:basedOn w:val="DefaultParagraphFont"/>
    <w:uiPriority w:val="99"/>
    <w:semiHidden/>
    <w:unhideWhenUsed/>
    <w:rsid w:val="007D3784"/>
    <w:rPr>
      <w:sz w:val="16"/>
      <w:szCs w:val="16"/>
    </w:rPr>
  </w:style>
  <w:style w:type="paragraph" w:styleId="CommentText">
    <w:name w:val="annotation text"/>
    <w:basedOn w:val="Normal"/>
    <w:link w:val="CommentTextChar"/>
    <w:uiPriority w:val="99"/>
    <w:semiHidden/>
    <w:unhideWhenUsed/>
    <w:rsid w:val="007D3784"/>
    <w:pPr>
      <w:spacing w:line="240" w:lineRule="auto"/>
    </w:pPr>
    <w:rPr>
      <w:sz w:val="20"/>
      <w:szCs w:val="20"/>
    </w:rPr>
  </w:style>
  <w:style w:type="character" w:customStyle="1" w:styleId="CommentTextChar">
    <w:name w:val="Comment Text Char"/>
    <w:basedOn w:val="DefaultParagraphFont"/>
    <w:link w:val="CommentText"/>
    <w:uiPriority w:val="99"/>
    <w:semiHidden/>
    <w:rsid w:val="007D3784"/>
    <w:rPr>
      <w:sz w:val="20"/>
      <w:szCs w:val="20"/>
    </w:rPr>
  </w:style>
  <w:style w:type="paragraph" w:styleId="CommentSubject">
    <w:name w:val="annotation subject"/>
    <w:basedOn w:val="CommentText"/>
    <w:next w:val="CommentText"/>
    <w:link w:val="CommentSubjectChar"/>
    <w:uiPriority w:val="99"/>
    <w:semiHidden/>
    <w:unhideWhenUsed/>
    <w:rsid w:val="007D3784"/>
    <w:rPr>
      <w:b/>
      <w:bCs/>
    </w:rPr>
  </w:style>
  <w:style w:type="character" w:customStyle="1" w:styleId="CommentSubjectChar">
    <w:name w:val="Comment Subject Char"/>
    <w:basedOn w:val="CommentTextChar"/>
    <w:link w:val="CommentSubject"/>
    <w:uiPriority w:val="99"/>
    <w:semiHidden/>
    <w:rsid w:val="007D3784"/>
    <w:rPr>
      <w:b/>
      <w:bCs/>
      <w:sz w:val="20"/>
      <w:szCs w:val="20"/>
    </w:rPr>
  </w:style>
  <w:style w:type="paragraph" w:styleId="BalloonText">
    <w:name w:val="Balloon Text"/>
    <w:basedOn w:val="Normal"/>
    <w:link w:val="BalloonTextChar"/>
    <w:uiPriority w:val="99"/>
    <w:semiHidden/>
    <w:unhideWhenUsed/>
    <w:rsid w:val="007D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84"/>
    <w:rPr>
      <w:rFonts w:ascii="Segoe UI" w:hAnsi="Segoe UI" w:cs="Segoe UI"/>
      <w:sz w:val="18"/>
      <w:szCs w:val="18"/>
    </w:rPr>
  </w:style>
  <w:style w:type="character" w:styleId="FollowedHyperlink">
    <w:name w:val="FollowedHyperlink"/>
    <w:basedOn w:val="DefaultParagraphFont"/>
    <w:uiPriority w:val="99"/>
    <w:semiHidden/>
    <w:unhideWhenUsed/>
    <w:rsid w:val="00E371B0"/>
    <w:rPr>
      <w:color w:val="954F72" w:themeColor="followedHyperlink"/>
      <w:u w:val="single"/>
    </w:rPr>
  </w:style>
  <w:style w:type="paragraph" w:styleId="Revision">
    <w:name w:val="Revision"/>
    <w:hidden/>
    <w:uiPriority w:val="99"/>
    <w:semiHidden/>
    <w:rsid w:val="003C5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6732">
      <w:bodyDiv w:val="1"/>
      <w:marLeft w:val="0"/>
      <w:marRight w:val="0"/>
      <w:marTop w:val="0"/>
      <w:marBottom w:val="0"/>
      <w:divBdr>
        <w:top w:val="none" w:sz="0" w:space="0" w:color="auto"/>
        <w:left w:val="none" w:sz="0" w:space="0" w:color="auto"/>
        <w:bottom w:val="none" w:sz="0" w:space="0" w:color="auto"/>
        <w:right w:val="none" w:sz="0" w:space="0" w:color="auto"/>
      </w:divBdr>
    </w:div>
    <w:div w:id="137189912">
      <w:bodyDiv w:val="1"/>
      <w:marLeft w:val="0"/>
      <w:marRight w:val="0"/>
      <w:marTop w:val="0"/>
      <w:marBottom w:val="0"/>
      <w:divBdr>
        <w:top w:val="none" w:sz="0" w:space="0" w:color="auto"/>
        <w:left w:val="none" w:sz="0" w:space="0" w:color="auto"/>
        <w:bottom w:val="none" w:sz="0" w:space="0" w:color="auto"/>
        <w:right w:val="none" w:sz="0" w:space="0" w:color="auto"/>
      </w:divBdr>
    </w:div>
    <w:div w:id="202595737">
      <w:bodyDiv w:val="1"/>
      <w:marLeft w:val="0"/>
      <w:marRight w:val="0"/>
      <w:marTop w:val="0"/>
      <w:marBottom w:val="0"/>
      <w:divBdr>
        <w:top w:val="none" w:sz="0" w:space="0" w:color="auto"/>
        <w:left w:val="none" w:sz="0" w:space="0" w:color="auto"/>
        <w:bottom w:val="none" w:sz="0" w:space="0" w:color="auto"/>
        <w:right w:val="none" w:sz="0" w:space="0" w:color="auto"/>
      </w:divBdr>
    </w:div>
    <w:div w:id="292369248">
      <w:bodyDiv w:val="1"/>
      <w:marLeft w:val="0"/>
      <w:marRight w:val="0"/>
      <w:marTop w:val="0"/>
      <w:marBottom w:val="0"/>
      <w:divBdr>
        <w:top w:val="none" w:sz="0" w:space="0" w:color="auto"/>
        <w:left w:val="none" w:sz="0" w:space="0" w:color="auto"/>
        <w:bottom w:val="none" w:sz="0" w:space="0" w:color="auto"/>
        <w:right w:val="none" w:sz="0" w:space="0" w:color="auto"/>
      </w:divBdr>
    </w:div>
    <w:div w:id="501310840">
      <w:bodyDiv w:val="1"/>
      <w:marLeft w:val="0"/>
      <w:marRight w:val="0"/>
      <w:marTop w:val="0"/>
      <w:marBottom w:val="0"/>
      <w:divBdr>
        <w:top w:val="none" w:sz="0" w:space="0" w:color="auto"/>
        <w:left w:val="none" w:sz="0" w:space="0" w:color="auto"/>
        <w:bottom w:val="none" w:sz="0" w:space="0" w:color="auto"/>
        <w:right w:val="none" w:sz="0" w:space="0" w:color="auto"/>
      </w:divBdr>
    </w:div>
    <w:div w:id="583295595">
      <w:bodyDiv w:val="1"/>
      <w:marLeft w:val="0"/>
      <w:marRight w:val="0"/>
      <w:marTop w:val="0"/>
      <w:marBottom w:val="0"/>
      <w:divBdr>
        <w:top w:val="none" w:sz="0" w:space="0" w:color="auto"/>
        <w:left w:val="none" w:sz="0" w:space="0" w:color="auto"/>
        <w:bottom w:val="none" w:sz="0" w:space="0" w:color="auto"/>
        <w:right w:val="none" w:sz="0" w:space="0" w:color="auto"/>
      </w:divBdr>
    </w:div>
    <w:div w:id="896934671">
      <w:bodyDiv w:val="1"/>
      <w:marLeft w:val="0"/>
      <w:marRight w:val="0"/>
      <w:marTop w:val="0"/>
      <w:marBottom w:val="0"/>
      <w:divBdr>
        <w:top w:val="none" w:sz="0" w:space="0" w:color="auto"/>
        <w:left w:val="none" w:sz="0" w:space="0" w:color="auto"/>
        <w:bottom w:val="none" w:sz="0" w:space="0" w:color="auto"/>
        <w:right w:val="none" w:sz="0" w:space="0" w:color="auto"/>
      </w:divBdr>
    </w:div>
    <w:div w:id="1280258747">
      <w:bodyDiv w:val="1"/>
      <w:marLeft w:val="0"/>
      <w:marRight w:val="0"/>
      <w:marTop w:val="0"/>
      <w:marBottom w:val="0"/>
      <w:divBdr>
        <w:top w:val="none" w:sz="0" w:space="0" w:color="auto"/>
        <w:left w:val="none" w:sz="0" w:space="0" w:color="auto"/>
        <w:bottom w:val="none" w:sz="0" w:space="0" w:color="auto"/>
        <w:right w:val="none" w:sz="0" w:space="0" w:color="auto"/>
      </w:divBdr>
    </w:div>
    <w:div w:id="1441224925">
      <w:bodyDiv w:val="1"/>
      <w:marLeft w:val="0"/>
      <w:marRight w:val="0"/>
      <w:marTop w:val="0"/>
      <w:marBottom w:val="0"/>
      <w:divBdr>
        <w:top w:val="none" w:sz="0" w:space="0" w:color="auto"/>
        <w:left w:val="none" w:sz="0" w:space="0" w:color="auto"/>
        <w:bottom w:val="none" w:sz="0" w:space="0" w:color="auto"/>
        <w:right w:val="none" w:sz="0" w:space="0" w:color="auto"/>
      </w:divBdr>
    </w:div>
    <w:div w:id="17089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embed/X5YykGIv0uM?feature=oembed" TargetMode="External"/><Relationship Id="rId18" Type="http://schemas.openxmlformats.org/officeDocument/2006/relationships/hyperlink" Target="https://www.doe.mass.edu/sfs/family-engagement-framework.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edeval/?section=five-step" TargetMode="External"/><Relationship Id="rId17" Type="http://schemas.openxmlformats.org/officeDocument/2006/relationships/hyperlink" Target="https://portal.ct.gov/SDE/Evaluation-and-Support/Parent-Feedback-Survey-Materials" TargetMode="External"/><Relationship Id="rId2" Type="http://schemas.openxmlformats.org/officeDocument/2006/relationships/customXml" Target="../customXml/item2.xml"/><Relationship Id="rId16" Type="http://schemas.openxmlformats.org/officeDocument/2006/relationships/hyperlink" Target="https://dese.mo.gov/sites/default/files/Surveys-Par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sfs/fscp-fundamentals.docx" TargetMode="External"/><Relationship Id="rId10" Type="http://schemas.openxmlformats.org/officeDocument/2006/relationships/endnotes" Target="endnotes.xml"/><Relationship Id="rId19" Type="http://schemas.openxmlformats.org/officeDocument/2006/relationships/hyperlink" Target="https://flamboyanfoundation.org/resource/challenging-assumptions-reflection-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FA0F9-FD6C-4D81-85B5-B718F1FD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6719B-47D8-4634-AF2A-43A28DFBEAF3}">
  <ds:schemaRefs>
    <ds:schemaRef ds:uri="http://schemas.openxmlformats.org/officeDocument/2006/bibliography"/>
  </ds:schemaRefs>
</ds:datastoreItem>
</file>

<file path=customXml/itemProps3.xml><?xml version="1.0" encoding="utf-8"?>
<ds:datastoreItem xmlns:ds="http://schemas.openxmlformats.org/officeDocument/2006/customXml" ds:itemID="{B57FD2EF-F54F-422B-828C-ED3C0E8C8CF0}">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DFB4469D-FB13-45E1-9BD4-120629887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Family Engagement in Ed Eval</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Engaging Families through Educator Evaluation</dc:title>
  <dc:subject/>
  <dc:creator>DESE</dc:creator>
  <cp:keywords/>
  <dc:description/>
  <cp:lastModifiedBy>Zou, Dong (EOE)</cp:lastModifiedBy>
  <cp:revision>4</cp:revision>
  <dcterms:created xsi:type="dcterms:W3CDTF">2022-06-06T19:10:00Z</dcterms:created>
  <dcterms:modified xsi:type="dcterms:W3CDTF">2022-06-07T14:43:00Z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2022</vt:lpwstr>
  </property>
</Properties>
</file>