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B3F41" w14:textId="77777777" w:rsidR="00693303" w:rsidRPr="009F1B2B" w:rsidRDefault="00693303" w:rsidP="0045742B">
      <w:pPr>
        <w:spacing w:after="0" w:line="240" w:lineRule="auto"/>
        <w:rPr>
          <w:b/>
          <w:color w:val="1F497D" w:themeColor="text2"/>
        </w:rPr>
      </w:pPr>
      <w:bookmarkStart w:id="0" w:name="_GoBack"/>
      <w:bookmarkEnd w:id="0"/>
      <w:r w:rsidRPr="009F1B2B">
        <w:rPr>
          <w:b/>
          <w:color w:val="1F497D" w:themeColor="text2"/>
        </w:rPr>
        <w:t>Overview</w:t>
      </w:r>
    </w:p>
    <w:p w14:paraId="479656B6" w14:textId="1E7BE3F1" w:rsidR="00693303" w:rsidRDefault="008C5F34" w:rsidP="0045742B">
      <w:pPr>
        <w:spacing w:after="240"/>
      </w:pPr>
      <w:r w:rsidRPr="008C5F34">
        <w:t xml:space="preserve">This brief offers three recommendations </w:t>
      </w:r>
      <w:r w:rsidR="0045742B">
        <w:t xml:space="preserve">for Massachusetts superintendents to reinvigorate principal evaluation. </w:t>
      </w:r>
      <w:r w:rsidRPr="008C5F34">
        <w:t xml:space="preserve">The recommendations are based on the work of </w:t>
      </w:r>
      <w:r w:rsidR="0052127D" w:rsidRPr="008C5F34">
        <w:t>M</w:t>
      </w:r>
      <w:r w:rsidR="0052127D">
        <w:t>assachusetts</w:t>
      </w:r>
      <w:r w:rsidR="0052127D" w:rsidRPr="008C5F34">
        <w:t xml:space="preserve"> </w:t>
      </w:r>
      <w:r w:rsidRPr="008C5F34">
        <w:t>superintendent</w:t>
      </w:r>
      <w:r w:rsidR="00F05ED7">
        <w:t>s</w:t>
      </w:r>
      <w:r w:rsidRPr="008C5F34">
        <w:t xml:space="preserve"> and principal</w:t>
      </w:r>
      <w:r w:rsidR="00F05ED7">
        <w:t xml:space="preserve">s </w:t>
      </w:r>
      <w:r w:rsidR="0045742B">
        <w:t>to</w:t>
      </w:r>
      <w:r w:rsidRPr="008C5F34">
        <w:t xml:space="preserve"> develop</w:t>
      </w:r>
      <w:r w:rsidR="0045742B">
        <w:t xml:space="preserve"> </w:t>
      </w:r>
      <w:r w:rsidRPr="008C5F34">
        <w:t xml:space="preserve">practical ways to </w:t>
      </w:r>
      <w:r w:rsidR="0045742B" w:rsidRPr="008C5F34">
        <w:t>make principal evaluation more fair, practical, and useful for both</w:t>
      </w:r>
      <w:r w:rsidR="0045742B">
        <w:t xml:space="preserve"> principals and superintendents. </w:t>
      </w:r>
      <w:r w:rsidRPr="008C5F34">
        <w:t xml:space="preserve">The brief </w:t>
      </w:r>
      <w:r w:rsidR="00941282">
        <w:t xml:space="preserve">includes </w:t>
      </w:r>
      <w:r w:rsidR="00941282" w:rsidRPr="0045742B">
        <w:rPr>
          <w:b/>
        </w:rPr>
        <w:t>concrete examples</w:t>
      </w:r>
      <w:r w:rsidR="00941282">
        <w:t xml:space="preserve"> for districts and previews</w:t>
      </w:r>
      <w:r w:rsidRPr="0045742B">
        <w:rPr>
          <w:b/>
        </w:rPr>
        <w:t xml:space="preserve"> </w:t>
      </w:r>
      <w:r w:rsidR="00941282" w:rsidRPr="0045742B">
        <w:rPr>
          <w:b/>
        </w:rPr>
        <w:t xml:space="preserve">six </w:t>
      </w:r>
      <w:r w:rsidRPr="0045742B">
        <w:rPr>
          <w:b/>
        </w:rPr>
        <w:t>field-</w:t>
      </w:r>
      <w:r w:rsidR="00F05ED7">
        <w:rPr>
          <w:b/>
        </w:rPr>
        <w:t>reviewed</w:t>
      </w:r>
      <w:r w:rsidR="00F05ED7" w:rsidRPr="0045742B">
        <w:rPr>
          <w:b/>
        </w:rPr>
        <w:t xml:space="preserve"> </w:t>
      </w:r>
      <w:r w:rsidRPr="0045742B">
        <w:rPr>
          <w:b/>
        </w:rPr>
        <w:t>tools</w:t>
      </w:r>
      <w:r w:rsidR="0045742B">
        <w:t>.</w:t>
      </w:r>
    </w:p>
    <w:p w14:paraId="6D896380" w14:textId="77777777" w:rsidR="0045742B" w:rsidRDefault="0045742B" w:rsidP="0045742B">
      <w:pPr>
        <w:spacing w:after="0"/>
        <w:rPr>
          <w:color w:val="1F497D" w:themeColor="text2"/>
        </w:rPr>
      </w:pPr>
      <w:r>
        <w:rPr>
          <w:b/>
          <w:color w:val="1F497D" w:themeColor="text2"/>
        </w:rPr>
        <w:t>The Opportunity</w:t>
      </w:r>
    </w:p>
    <w:p w14:paraId="4ABB167E" w14:textId="0DCB7CD1" w:rsidR="008C5F34" w:rsidRPr="008C5F34" w:rsidRDefault="008B2CF4" w:rsidP="0045742B">
      <w:pPr>
        <w:spacing w:after="240"/>
      </w:pPr>
      <w:r w:rsidRPr="008B2CF4">
        <w:t xml:space="preserve">Principals want and need support and guidance from their superintendents. They want them to recognize their accomplishments, know their challenges, and support their growth and development.  They want the evaluation process they experience to be more integrated with and aligned to their </w:t>
      </w:r>
      <w:r w:rsidR="008047C5">
        <w:t>on</w:t>
      </w:r>
      <w:r w:rsidRPr="008B2CF4">
        <w:t xml:space="preserve">going work, more focused, and more helpful. </w:t>
      </w:r>
      <w:r w:rsidR="00016EAB">
        <w:t xml:space="preserve">With </w:t>
      </w:r>
      <w:r w:rsidR="0052127D">
        <w:t>updated</w:t>
      </w:r>
      <w:r w:rsidR="0052127D" w:rsidRPr="008C5F34">
        <w:t xml:space="preserve"> </w:t>
      </w:r>
      <w:r w:rsidR="008C5F34" w:rsidRPr="008C5F34">
        <w:t xml:space="preserve">performance rubrics for both </w:t>
      </w:r>
      <w:hyperlink r:id="rId12" w:history="1">
        <w:r w:rsidR="008C5F34" w:rsidRPr="00941282">
          <w:rPr>
            <w:rStyle w:val="Hyperlink"/>
          </w:rPr>
          <w:t xml:space="preserve">principals </w:t>
        </w:r>
      </w:hyperlink>
      <w:r w:rsidR="008C5F34" w:rsidRPr="008C5F34">
        <w:t xml:space="preserve">(2018) and </w:t>
      </w:r>
      <w:hyperlink r:id="rId13" w:history="1">
        <w:r w:rsidR="008C5F34" w:rsidRPr="00941282">
          <w:rPr>
            <w:rStyle w:val="Hyperlink"/>
          </w:rPr>
          <w:t xml:space="preserve">superintendents </w:t>
        </w:r>
      </w:hyperlink>
      <w:r w:rsidR="008C5F34" w:rsidRPr="008C5F34">
        <w:t>(2019)</w:t>
      </w:r>
      <w:r w:rsidR="00016EAB">
        <w:t>, it is imperative</w:t>
      </w:r>
      <w:r w:rsidR="008C5F34" w:rsidRPr="008C5F34">
        <w:t xml:space="preserve"> </w:t>
      </w:r>
      <w:r w:rsidR="00016EAB">
        <w:t xml:space="preserve">that </w:t>
      </w:r>
      <w:r w:rsidR="00941282">
        <w:t>leaders</w:t>
      </w:r>
      <w:r w:rsidR="00941282" w:rsidRPr="008C5F34">
        <w:t xml:space="preserve"> </w:t>
      </w:r>
      <w:r w:rsidR="0045742B">
        <w:t>receive</w:t>
      </w:r>
      <w:r w:rsidR="008C5F34" w:rsidRPr="008C5F34">
        <w:t xml:space="preserve"> the guidance and support they need through a</w:t>
      </w:r>
      <w:r w:rsidR="00941282">
        <w:t>n</w:t>
      </w:r>
      <w:r w:rsidR="008C5F34" w:rsidRPr="008C5F34">
        <w:t xml:space="preserve"> </w:t>
      </w:r>
      <w:r w:rsidR="00941282" w:rsidRPr="008C5F34">
        <w:t>evaluation process</w:t>
      </w:r>
      <w:r w:rsidR="00941282">
        <w:t xml:space="preserve"> that is both </w:t>
      </w:r>
      <w:r w:rsidR="008C5F34" w:rsidRPr="008C5F34">
        <w:t xml:space="preserve">fair </w:t>
      </w:r>
      <w:r w:rsidR="00941282">
        <w:t>and meaningful</w:t>
      </w:r>
      <w:r w:rsidR="008C5F34" w:rsidRPr="008C5F34">
        <w:t xml:space="preserve">. </w:t>
      </w:r>
      <w:r w:rsidR="00B923FE">
        <w:t>Further, b</w:t>
      </w:r>
      <w:r w:rsidR="008C5F34" w:rsidRPr="008C5F34">
        <w:t xml:space="preserve">y </w:t>
      </w:r>
      <w:r w:rsidR="00F05ED7">
        <w:t>focusing on goals, prioritizing 6-8 indicators and/or elements, and making school visits the centerpiece of their work with principals,</w:t>
      </w:r>
      <w:r w:rsidR="00F05ED7" w:rsidRPr="008C5F34" w:rsidDel="00F05ED7">
        <w:t xml:space="preserve"> </w:t>
      </w:r>
      <w:r w:rsidR="008C5F34" w:rsidRPr="008C5F34">
        <w:t xml:space="preserve">superintendents will be in a stronger position to meet the </w:t>
      </w:r>
      <w:r w:rsidR="00941282">
        <w:t>rigorous</w:t>
      </w:r>
      <w:r w:rsidR="008C5F34" w:rsidRPr="008C5F34">
        <w:t xml:space="preserve"> requirements for </w:t>
      </w:r>
      <w:hyperlink r:id="rId14" w:anchor="page=7" w:history="1">
        <w:r w:rsidR="00941282" w:rsidRPr="0045742B">
          <w:rPr>
            <w:rStyle w:val="Hyperlink"/>
          </w:rPr>
          <w:t xml:space="preserve">effective </w:t>
        </w:r>
        <w:r w:rsidR="008C5F34" w:rsidRPr="0045742B">
          <w:rPr>
            <w:rStyle w:val="Hyperlink"/>
          </w:rPr>
          <w:t>supervision and evaluation</w:t>
        </w:r>
      </w:hyperlink>
      <w:r w:rsidR="008C5F34" w:rsidRPr="008C5F34">
        <w:t xml:space="preserve"> embodied in the superintendent rubric. </w:t>
      </w:r>
      <w:r w:rsidR="00F05ED7">
        <w:t xml:space="preserve"> Equally importantly, goal-centered and focused school visits will serve to dramatically increase the impacts of their district leadership.</w:t>
      </w:r>
    </w:p>
    <w:p w14:paraId="065AB652" w14:textId="38A98D02" w:rsidR="00693303" w:rsidRDefault="008C5F34" w:rsidP="0045742B">
      <w:pPr>
        <w:spacing w:after="240"/>
      </w:pPr>
      <w:r w:rsidRPr="008C5F34">
        <w:t xml:space="preserve">We can’t wait:  </w:t>
      </w:r>
      <w:r w:rsidR="00F05ED7">
        <w:t>a</w:t>
      </w:r>
      <w:r w:rsidRPr="008C5F34">
        <w:t xml:space="preserve"> 2018 statewide survey of superintendents and principals</w:t>
      </w:r>
      <w:r w:rsidRPr="008C5F34">
        <w:rPr>
          <w:vertAlign w:val="superscript"/>
        </w:rPr>
        <w:footnoteReference w:id="1"/>
      </w:r>
      <w:r w:rsidRPr="008C5F34">
        <w:t xml:space="preserve"> revealed </w:t>
      </w:r>
      <w:r w:rsidR="00B06686">
        <w:t xml:space="preserve">a significant problem with the perceived fairness of principal evaluation. </w:t>
      </w:r>
      <w:r w:rsidRPr="008C5F34">
        <w:t xml:space="preserve">Fewer than 1 in 4 superintendents and 1 in 5 principals strongly agreed </w:t>
      </w:r>
      <w:r w:rsidR="00B06686">
        <w:t>that</w:t>
      </w:r>
      <w:r w:rsidRPr="008C5F34">
        <w:t xml:space="preserve"> “the evaluation system used in my district for assessing administrators generates fair results</w:t>
      </w:r>
      <w:r w:rsidR="00B06686">
        <w:t>.</w:t>
      </w:r>
      <w:r w:rsidRPr="008C5F34">
        <w:t>”</w:t>
      </w:r>
      <w:r w:rsidR="00B06686">
        <w:t xml:space="preserve"> In fact, p</w:t>
      </w:r>
      <w:r w:rsidRPr="008C5F34">
        <w:t>rincipals were twice as likely as superintendents to disagree with the assertion that the current system yields fair results</w:t>
      </w:r>
      <w:r w:rsidR="00B06686">
        <w:t xml:space="preserve">. </w:t>
      </w:r>
      <w:r w:rsidR="00640DF6">
        <w:t>At the same time, m</w:t>
      </w:r>
      <w:r w:rsidRPr="008C5F34">
        <w:t xml:space="preserve">ore than 1 in 4 principals believe the current evaluation practices in their district are ineffective in identifying either outstanding or struggling school leaders. </w:t>
      </w:r>
      <w:r w:rsidR="00640DF6">
        <w:t>One</w:t>
      </w:r>
      <w:r w:rsidR="00640DF6" w:rsidRPr="008C5F34">
        <w:t xml:space="preserve"> </w:t>
      </w:r>
      <w:r w:rsidRPr="008C5F34">
        <w:t>in 5 superintendents share the same belief.</w:t>
      </w:r>
      <w:r w:rsidRPr="008C5F34">
        <w:rPr>
          <w:vertAlign w:val="superscript"/>
        </w:rPr>
        <w:footnoteReference w:id="2"/>
      </w:r>
      <w:r w:rsidR="00640DF6">
        <w:t xml:space="preserve"> </w:t>
      </w:r>
    </w:p>
    <w:p w14:paraId="61111365" w14:textId="77777777" w:rsidR="00614402" w:rsidRDefault="008C5F34" w:rsidP="0045742B">
      <w:pPr>
        <w:spacing w:after="0" w:line="240" w:lineRule="auto"/>
      </w:pPr>
      <w:r>
        <w:rPr>
          <w:b/>
          <w:color w:val="1F497D" w:themeColor="text2"/>
        </w:rPr>
        <w:t xml:space="preserve">Three Best Practices to Effective Principal Evaluation </w:t>
      </w:r>
    </w:p>
    <w:p w14:paraId="6721FEF4" w14:textId="77777777" w:rsidR="008C5F34" w:rsidRPr="008C5F34" w:rsidRDefault="008C5F34" w:rsidP="0045742B">
      <w:pPr>
        <w:spacing w:after="240"/>
      </w:pPr>
      <w:r w:rsidRPr="008C5F34">
        <w:t xml:space="preserve">Here are three “best practice” recommendations for making the </w:t>
      </w:r>
      <w:r w:rsidR="00B923FE">
        <w:t xml:space="preserve">evaluation </w:t>
      </w:r>
      <w:r w:rsidRPr="008C5F34">
        <w:t>process simpler, more focused and more useful for both superintendents and principals:</w:t>
      </w:r>
    </w:p>
    <w:p w14:paraId="1E3EBABF" w14:textId="77777777" w:rsidR="008C5F34" w:rsidRPr="008C5F34" w:rsidRDefault="00D16427" w:rsidP="0045742B">
      <w:pPr>
        <w:pStyle w:val="ListParagraph"/>
        <w:numPr>
          <w:ilvl w:val="0"/>
          <w:numId w:val="10"/>
        </w:numPr>
        <w:spacing w:after="0"/>
        <w:contextualSpacing w:val="0"/>
      </w:pPr>
      <w:r>
        <w:rPr>
          <w:b/>
        </w:rPr>
        <w:t xml:space="preserve">Alignment and Coherence: </w:t>
      </w:r>
      <w:r w:rsidR="00B923FE">
        <w:t>T</w:t>
      </w:r>
      <w:r w:rsidR="008C5F34" w:rsidRPr="008C5F34">
        <w:t xml:space="preserve">ie each </w:t>
      </w:r>
      <w:r w:rsidR="00B923FE">
        <w:t xml:space="preserve">of the principal’s annual </w:t>
      </w:r>
      <w:r w:rsidR="008C5F34" w:rsidRPr="008C5F34">
        <w:t>goal</w:t>
      </w:r>
      <w:r w:rsidR="00B923FE">
        <w:t>s</w:t>
      </w:r>
      <w:r w:rsidR="008C5F34" w:rsidRPr="008C5F34">
        <w:t xml:space="preserve"> to the most relevant </w:t>
      </w:r>
      <w:r w:rsidR="00640DF6">
        <w:t>I</w:t>
      </w:r>
      <w:r w:rsidR="008C5F34" w:rsidRPr="008C5F34">
        <w:t xml:space="preserve">ndicators and elements so that evidence related to goal </w:t>
      </w:r>
      <w:r w:rsidRPr="008C5F34">
        <w:t xml:space="preserve">progress </w:t>
      </w:r>
      <w:r w:rsidR="008C5F34" w:rsidRPr="008C5F34">
        <w:t xml:space="preserve">can also be used to assess performance on those </w:t>
      </w:r>
      <w:r>
        <w:t>I</w:t>
      </w:r>
      <w:r w:rsidR="008C5F34" w:rsidRPr="008C5F34">
        <w:t>ndicators and elements.</w:t>
      </w:r>
    </w:p>
    <w:p w14:paraId="678EFEA3" w14:textId="77777777" w:rsidR="008C5F34" w:rsidRPr="008C5F34" w:rsidRDefault="00D16427" w:rsidP="0045742B">
      <w:pPr>
        <w:pStyle w:val="ListParagraph"/>
        <w:numPr>
          <w:ilvl w:val="0"/>
          <w:numId w:val="10"/>
        </w:numPr>
        <w:spacing w:after="0"/>
        <w:contextualSpacing w:val="0"/>
      </w:pPr>
      <w:r>
        <w:rPr>
          <w:b/>
        </w:rPr>
        <w:t xml:space="preserve">Prioritization and Focus: </w:t>
      </w:r>
      <w:r w:rsidR="00B923FE">
        <w:t>E</w:t>
      </w:r>
      <w:r w:rsidR="008C5F34" w:rsidRPr="008C5F34">
        <w:t xml:space="preserve">stablish a reasonable number of </w:t>
      </w:r>
      <w:r w:rsidR="008C5F34" w:rsidRPr="008C5F34">
        <w:rPr>
          <w:i/>
        </w:rPr>
        <w:t>priority indicators</w:t>
      </w:r>
      <w:r w:rsidR="008C5F34" w:rsidRPr="008C5F34">
        <w:t xml:space="preserve"> </w:t>
      </w:r>
      <w:r w:rsidR="008C5F34" w:rsidRPr="008C5F34">
        <w:rPr>
          <w:i/>
        </w:rPr>
        <w:t>and</w:t>
      </w:r>
      <w:r w:rsidR="00F05ED7">
        <w:rPr>
          <w:i/>
        </w:rPr>
        <w:t>/or</w:t>
      </w:r>
      <w:r w:rsidR="008C5F34" w:rsidRPr="008C5F34">
        <w:rPr>
          <w:i/>
        </w:rPr>
        <w:t xml:space="preserve"> elements</w:t>
      </w:r>
      <w:r w:rsidR="008C5F34" w:rsidRPr="008C5F34">
        <w:t xml:space="preserve"> to </w:t>
      </w:r>
      <w:r w:rsidR="00B923FE">
        <w:t xml:space="preserve">focus an evaluation on </w:t>
      </w:r>
      <w:r w:rsidR="008C5F34" w:rsidRPr="008C5F34">
        <w:t>in a given year.</w:t>
      </w:r>
    </w:p>
    <w:p w14:paraId="73CB9777" w14:textId="1ED143EE" w:rsidR="00640DF6" w:rsidRPr="008C5F34" w:rsidRDefault="00F05ED7" w:rsidP="0045742B">
      <w:pPr>
        <w:pStyle w:val="ListParagraph"/>
        <w:numPr>
          <w:ilvl w:val="0"/>
          <w:numId w:val="10"/>
        </w:numPr>
        <w:spacing w:after="240"/>
        <w:contextualSpacing w:val="0"/>
      </w:pPr>
      <w:r>
        <w:rPr>
          <w:b/>
        </w:rPr>
        <w:t>Focused School Visits with Feedback</w:t>
      </w:r>
      <w:r w:rsidR="00D16427">
        <w:rPr>
          <w:b/>
        </w:rPr>
        <w:t xml:space="preserve">: </w:t>
      </w:r>
      <w:r w:rsidR="00B923FE">
        <w:t>M</w:t>
      </w:r>
      <w:r w:rsidR="008C5F34" w:rsidRPr="008C5F34">
        <w:t xml:space="preserve">ake more consistent and frequent use of school visits as </w:t>
      </w:r>
      <w:r w:rsidR="0045742B">
        <w:t xml:space="preserve">the </w:t>
      </w:r>
      <w:r w:rsidR="008C5F34" w:rsidRPr="008C5F34">
        <w:t>most important supervision and evaluation tool.</w:t>
      </w:r>
    </w:p>
    <w:p w14:paraId="647EB1C8" w14:textId="77777777" w:rsidR="002E5448" w:rsidRPr="00A32164" w:rsidRDefault="008C5F34" w:rsidP="0045742B">
      <w:pPr>
        <w:pStyle w:val="Heading2"/>
        <w:spacing w:before="0" w:after="240"/>
      </w:pPr>
      <w:r w:rsidRPr="00A32164">
        <w:lastRenderedPageBreak/>
        <w:t xml:space="preserve">Recommendation #1: </w:t>
      </w:r>
      <w:r w:rsidR="00D16427" w:rsidRPr="00A32164">
        <w:t>Alignment and Coherence</w:t>
      </w:r>
    </w:p>
    <w:p w14:paraId="6B7721BE" w14:textId="77777777" w:rsidR="008C5F34" w:rsidRPr="00016EAB" w:rsidRDefault="008C5F34" w:rsidP="0045742B">
      <w:pPr>
        <w:pStyle w:val="Heading2"/>
        <w:spacing w:before="0" w:after="240"/>
        <w:rPr>
          <w:b w:val="0"/>
          <w:sz w:val="24"/>
          <w:szCs w:val="24"/>
          <w:u w:val="single"/>
        </w:rPr>
      </w:pPr>
      <w:r w:rsidRPr="00016EAB">
        <w:rPr>
          <w:b w:val="0"/>
          <w:sz w:val="24"/>
          <w:szCs w:val="24"/>
        </w:rPr>
        <w:t xml:space="preserve">Tie each of the principal’s annual goals to the most relevant </w:t>
      </w:r>
      <w:r w:rsidR="00D16427" w:rsidRPr="00016EAB">
        <w:rPr>
          <w:b w:val="0"/>
          <w:sz w:val="24"/>
          <w:szCs w:val="24"/>
        </w:rPr>
        <w:t>I</w:t>
      </w:r>
      <w:r w:rsidRPr="00016EAB">
        <w:rPr>
          <w:b w:val="0"/>
          <w:sz w:val="24"/>
          <w:szCs w:val="24"/>
        </w:rPr>
        <w:t>ndicators and elements so that evidence related to goal</w:t>
      </w:r>
      <w:r w:rsidR="00D16427" w:rsidRPr="00016EAB">
        <w:rPr>
          <w:b w:val="0"/>
          <w:sz w:val="24"/>
          <w:szCs w:val="24"/>
        </w:rPr>
        <w:t xml:space="preserve"> progress</w:t>
      </w:r>
      <w:r w:rsidRPr="00016EAB">
        <w:rPr>
          <w:b w:val="0"/>
          <w:sz w:val="24"/>
          <w:szCs w:val="24"/>
        </w:rPr>
        <w:t xml:space="preserve"> can also be used to assess performance on those </w:t>
      </w:r>
      <w:r w:rsidR="00D16427" w:rsidRPr="00016EAB">
        <w:rPr>
          <w:b w:val="0"/>
          <w:sz w:val="24"/>
          <w:szCs w:val="24"/>
        </w:rPr>
        <w:t>I</w:t>
      </w:r>
      <w:r w:rsidRPr="00016EAB">
        <w:rPr>
          <w:b w:val="0"/>
          <w:sz w:val="24"/>
          <w:szCs w:val="24"/>
        </w:rPr>
        <w:t>ndicators and elements.</w:t>
      </w:r>
    </w:p>
    <w:p w14:paraId="545658EE" w14:textId="77777777" w:rsidR="008C5F34" w:rsidRPr="008C5F34" w:rsidRDefault="008C5F34" w:rsidP="0045742B">
      <w:pPr>
        <w:spacing w:after="240"/>
      </w:pPr>
      <w:r w:rsidRPr="008C5F34">
        <w:t xml:space="preserve">The goal setting and reporting process is a critical part of the evaluation </w:t>
      </w:r>
      <w:r w:rsidR="00D16427">
        <w:t>cycle</w:t>
      </w:r>
      <w:r w:rsidRPr="008C5F34">
        <w:t xml:space="preserve">. When establishing the principal’s annual goals and the actions required to accomplish them, take time to identify the specific </w:t>
      </w:r>
      <w:r w:rsidR="00D16427">
        <w:t>I</w:t>
      </w:r>
      <w:r w:rsidRPr="008C5F34">
        <w:t xml:space="preserve">ndicators and/or elements most closely associated with the goals and action steps. </w:t>
      </w:r>
      <w:r w:rsidR="003F2FF4">
        <w:t xml:space="preserve">Establishing this alignment at the outset will lead to a more coherent and meaningful process for gathering evidence related to both goal progress </w:t>
      </w:r>
      <w:r w:rsidR="003F2FF4">
        <w:rPr>
          <w:i/>
        </w:rPr>
        <w:t xml:space="preserve">and </w:t>
      </w:r>
      <w:r w:rsidR="003F2FF4">
        <w:t xml:space="preserve">overall leadership practice. It also reduces </w:t>
      </w:r>
      <w:r w:rsidRPr="008C5F34">
        <w:t>the time and effort spent on collecting, presenting and assessing evidence</w:t>
      </w:r>
      <w:r w:rsidR="003F2FF4">
        <w:t xml:space="preserve"> during the formative and summative evaluation stages</w:t>
      </w:r>
      <w:r w:rsidRPr="008C5F34">
        <w:t xml:space="preserve">. </w:t>
      </w:r>
    </w:p>
    <w:p w14:paraId="0F9E7350" w14:textId="652BCA55" w:rsidR="00F05ED7" w:rsidRDefault="008C5F34" w:rsidP="0045742B">
      <w:pPr>
        <w:spacing w:after="240"/>
      </w:pPr>
      <w:r w:rsidRPr="008C5F34">
        <w:t xml:space="preserve">For example, </w:t>
      </w:r>
      <w:r w:rsidR="003F2FF4">
        <w:t>in pursuing</w:t>
      </w:r>
      <w:r w:rsidRPr="008C5F34">
        <w:t xml:space="preserve"> a </w:t>
      </w:r>
      <w:r w:rsidR="00F05ED7">
        <w:t xml:space="preserve">school improvement </w:t>
      </w:r>
      <w:r w:rsidRPr="008C5F34">
        <w:t xml:space="preserve">goal </w:t>
      </w:r>
      <w:r w:rsidR="003F2FF4">
        <w:t>around</w:t>
      </w:r>
      <w:r w:rsidR="003F2FF4" w:rsidRPr="008C5F34">
        <w:t xml:space="preserve"> </w:t>
      </w:r>
      <w:r w:rsidRPr="008C5F34">
        <w:t>expanding social emotional learning</w:t>
      </w:r>
      <w:r w:rsidR="001017BB">
        <w:t xml:space="preserve"> (SEL)</w:t>
      </w:r>
      <w:r w:rsidRPr="008C5F34">
        <w:t>, a principal may be called upon to demonstrate knowledge and skill</w:t>
      </w:r>
      <w:r w:rsidR="003F2FF4">
        <w:t>s</w:t>
      </w:r>
      <w:r w:rsidRPr="008C5F34">
        <w:t xml:space="preserve"> </w:t>
      </w:r>
      <w:r w:rsidR="00D16427">
        <w:t>reflected in I</w:t>
      </w:r>
      <w:r w:rsidR="00D16427" w:rsidRPr="008C5F34">
        <w:t xml:space="preserve">ndicators </w:t>
      </w:r>
      <w:r w:rsidRPr="008C5F34">
        <w:t>and elements</w:t>
      </w:r>
      <w:r w:rsidR="003F2FF4">
        <w:t xml:space="preserve"> situated across multiple Standards</w:t>
      </w:r>
      <w:r w:rsidRPr="008C5F34">
        <w:t xml:space="preserve">, </w:t>
      </w:r>
      <w:r w:rsidR="00F05ED7">
        <w:t>The principal can therefore use</w:t>
      </w:r>
      <w:r w:rsidR="00F05ED7" w:rsidRPr="008C5F34">
        <w:t xml:space="preserve"> the evidence </w:t>
      </w:r>
      <w:r w:rsidR="00F05ED7">
        <w:t xml:space="preserve">related to achieving this goal to demonstrate </w:t>
      </w:r>
      <w:r w:rsidR="00F05ED7" w:rsidRPr="008C5F34">
        <w:t xml:space="preserve">performance </w:t>
      </w:r>
      <w:r w:rsidR="00F05ED7">
        <w:t>on</w:t>
      </w:r>
      <w:r w:rsidR="00F05ED7" w:rsidRPr="008C5F34">
        <w:t xml:space="preserve"> all four standards. As a result, the burden of evidence gathering, reporting and assessing are reduced for both principal and superintendent.</w:t>
      </w:r>
      <w:r w:rsidR="00F05ED7">
        <w:t xml:space="preserve"> </w:t>
      </w:r>
    </w:p>
    <w:p w14:paraId="4CBA772A" w14:textId="77777777" w:rsidR="00F05ED7" w:rsidRPr="008C5F34" w:rsidRDefault="00F05ED7" w:rsidP="0045742B">
      <w:pPr>
        <w:spacing w:after="240"/>
      </w:pPr>
      <w:r>
        <w:t xml:space="preserve">For example, depending on the specifics of the </w:t>
      </w:r>
      <w:r w:rsidR="00C774B1">
        <w:t xml:space="preserve">SEL </w:t>
      </w:r>
      <w:r>
        <w:t>goal and action plan, possible priority elements include:</w:t>
      </w:r>
    </w:p>
    <w:tbl>
      <w:tblPr>
        <w:tblStyle w:val="GridTable4-Accent11"/>
        <w:tblpPr w:leftFromText="180" w:rightFromText="180" w:vertAnchor="text" w:horzAnchor="margin" w:tblpXSpec="center" w:tblpY="197"/>
        <w:tblW w:w="0" w:type="auto"/>
        <w:tblLook w:val="04A0" w:firstRow="1" w:lastRow="0" w:firstColumn="1" w:lastColumn="0" w:noHBand="0" w:noVBand="1"/>
        <w:tblDescription w:val="Standard I: &#10;Instructional Leadership Standard II: Management &amp; Operations Standard III: &#10;Family &amp; Community Engagement Standard IV: Professional Culture&#10;I-D-1: Educator Goals &#10;I-E-2: School Goals II-B-1: Recruitment and Hiring Strategies&#10;II-B-2: Induction, Professional Development, and Career Growth StrategiesII-C-2: Time for Collaboration &#10;II-E-1: Fiscal Systems III-B-1: Student Support&#10;III-D-1: Culturally Proficient Communication IV-A-3: Meetings &#10;IV-D-1: Continuous Learning of Staff &#10;IV-D-2: Continuous Learning of Administrator&#10;IV-E-1: Shared Vision Development&#10;IV-F: Managing Conflict&#10;"/>
      </w:tblPr>
      <w:tblGrid>
        <w:gridCol w:w="2448"/>
        <w:gridCol w:w="2448"/>
        <w:gridCol w:w="2448"/>
        <w:gridCol w:w="2448"/>
      </w:tblGrid>
      <w:tr w:rsidR="002E5448" w:rsidRPr="008C5F34" w14:paraId="0963EB35" w14:textId="77777777" w:rsidTr="001017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1179218C" w14:textId="77777777" w:rsidR="001017BB" w:rsidRDefault="002E5448" w:rsidP="001017BB">
            <w:pPr>
              <w:jc w:val="center"/>
            </w:pPr>
            <w:r w:rsidRPr="008C5F34">
              <w:t xml:space="preserve">Standard </w:t>
            </w:r>
            <w:r w:rsidR="002C3EC1">
              <w:t xml:space="preserve">I: </w:t>
            </w:r>
          </w:p>
          <w:p w14:paraId="791338C5" w14:textId="53702CF2" w:rsidR="002E5448" w:rsidRPr="008C5F34" w:rsidRDefault="002C3EC1" w:rsidP="001017BB">
            <w:pPr>
              <w:spacing w:after="240"/>
              <w:jc w:val="center"/>
            </w:pPr>
            <w:r>
              <w:t>Instructional Leadership</w:t>
            </w:r>
          </w:p>
        </w:tc>
        <w:tc>
          <w:tcPr>
            <w:tcW w:w="2448" w:type="dxa"/>
            <w:vAlign w:val="center"/>
          </w:tcPr>
          <w:p w14:paraId="7175D047" w14:textId="77777777" w:rsidR="002E5448" w:rsidRPr="008C5F34" w:rsidRDefault="002E5448" w:rsidP="0045742B">
            <w:pPr>
              <w:spacing w:after="240"/>
              <w:jc w:val="center"/>
              <w:cnfStyle w:val="100000000000" w:firstRow="1" w:lastRow="0" w:firstColumn="0" w:lastColumn="0" w:oddVBand="0" w:evenVBand="0" w:oddHBand="0" w:evenHBand="0" w:firstRowFirstColumn="0" w:firstRowLastColumn="0" w:lastRowFirstColumn="0" w:lastRowLastColumn="0"/>
            </w:pPr>
            <w:r w:rsidRPr="008C5F34">
              <w:t xml:space="preserve">Standard </w:t>
            </w:r>
            <w:r w:rsidR="002C3EC1">
              <w:t>II: Management &amp; Operations</w:t>
            </w:r>
          </w:p>
        </w:tc>
        <w:tc>
          <w:tcPr>
            <w:tcW w:w="2448" w:type="dxa"/>
            <w:vAlign w:val="center"/>
          </w:tcPr>
          <w:p w14:paraId="4FC43797" w14:textId="77777777" w:rsidR="002C3EC1" w:rsidRDefault="002E5448" w:rsidP="001017BB">
            <w:pPr>
              <w:jc w:val="center"/>
              <w:cnfStyle w:val="100000000000" w:firstRow="1" w:lastRow="0" w:firstColumn="0" w:lastColumn="0" w:oddVBand="0" w:evenVBand="0" w:oddHBand="0" w:evenHBand="0" w:firstRowFirstColumn="0" w:firstRowLastColumn="0" w:lastRowFirstColumn="0" w:lastRowLastColumn="0"/>
            </w:pPr>
            <w:r w:rsidRPr="008C5F34">
              <w:t xml:space="preserve">Standard </w:t>
            </w:r>
            <w:r w:rsidR="002C3EC1">
              <w:t xml:space="preserve">III: </w:t>
            </w:r>
          </w:p>
          <w:p w14:paraId="3595892D" w14:textId="77777777" w:rsidR="002E5448" w:rsidRPr="008C5F34" w:rsidRDefault="002C3EC1" w:rsidP="0045742B">
            <w:pPr>
              <w:spacing w:after="240"/>
              <w:jc w:val="center"/>
              <w:cnfStyle w:val="100000000000" w:firstRow="1" w:lastRow="0" w:firstColumn="0" w:lastColumn="0" w:oddVBand="0" w:evenVBand="0" w:oddHBand="0" w:evenHBand="0" w:firstRowFirstColumn="0" w:firstRowLastColumn="0" w:lastRowFirstColumn="0" w:lastRowLastColumn="0"/>
            </w:pPr>
            <w:r>
              <w:t>Family &amp; Community Engagement</w:t>
            </w:r>
          </w:p>
        </w:tc>
        <w:tc>
          <w:tcPr>
            <w:tcW w:w="2448" w:type="dxa"/>
            <w:vAlign w:val="center"/>
          </w:tcPr>
          <w:p w14:paraId="44BC5DB6" w14:textId="77777777" w:rsidR="002E5448" w:rsidRPr="008C5F34" w:rsidRDefault="002E5448" w:rsidP="0045742B">
            <w:pPr>
              <w:spacing w:after="240"/>
              <w:jc w:val="center"/>
              <w:cnfStyle w:val="100000000000" w:firstRow="1" w:lastRow="0" w:firstColumn="0" w:lastColumn="0" w:oddVBand="0" w:evenVBand="0" w:oddHBand="0" w:evenHBand="0" w:firstRowFirstColumn="0" w:firstRowLastColumn="0" w:lastRowFirstColumn="0" w:lastRowLastColumn="0"/>
            </w:pPr>
            <w:r w:rsidRPr="008C5F34">
              <w:t xml:space="preserve">Standard </w:t>
            </w:r>
            <w:r w:rsidR="002C3EC1">
              <w:t>IV: Professional Culture</w:t>
            </w:r>
          </w:p>
        </w:tc>
      </w:tr>
      <w:tr w:rsidR="002E5448" w:rsidRPr="008C5F34" w14:paraId="71F4C544" w14:textId="77777777" w:rsidTr="002C3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59430CCB" w14:textId="77777777" w:rsidR="002E5448" w:rsidRPr="002E5448" w:rsidRDefault="00D16427" w:rsidP="0045742B">
            <w:pPr>
              <w:spacing w:after="240"/>
              <w:rPr>
                <w:b w:val="0"/>
              </w:rPr>
            </w:pPr>
            <w:r>
              <w:rPr>
                <w:b w:val="0"/>
              </w:rPr>
              <w:t xml:space="preserve">I-D-1: </w:t>
            </w:r>
            <w:r w:rsidR="002E5448" w:rsidRPr="002E5448">
              <w:rPr>
                <w:b w:val="0"/>
              </w:rPr>
              <w:t xml:space="preserve">Educator Goals </w:t>
            </w:r>
          </w:p>
          <w:p w14:paraId="7C4EBEF4" w14:textId="77777777" w:rsidR="002E5448" w:rsidRPr="008C5F34" w:rsidRDefault="00D16427" w:rsidP="0045742B">
            <w:pPr>
              <w:spacing w:after="240"/>
            </w:pPr>
            <w:r>
              <w:rPr>
                <w:b w:val="0"/>
              </w:rPr>
              <w:t xml:space="preserve">I-E-2: </w:t>
            </w:r>
            <w:r w:rsidR="002E5448" w:rsidRPr="002E5448">
              <w:rPr>
                <w:b w:val="0"/>
              </w:rPr>
              <w:t>School Goals</w:t>
            </w:r>
          </w:p>
        </w:tc>
        <w:tc>
          <w:tcPr>
            <w:tcW w:w="2448" w:type="dxa"/>
          </w:tcPr>
          <w:p w14:paraId="74009677" w14:textId="77777777" w:rsidR="002E5448" w:rsidRDefault="00D16427" w:rsidP="0045742B">
            <w:pPr>
              <w:spacing w:after="240"/>
              <w:cnfStyle w:val="000000100000" w:firstRow="0" w:lastRow="0" w:firstColumn="0" w:lastColumn="0" w:oddVBand="0" w:evenVBand="0" w:oddHBand="1" w:evenHBand="0" w:firstRowFirstColumn="0" w:firstRowLastColumn="0" w:lastRowFirstColumn="0" w:lastRowLastColumn="0"/>
            </w:pPr>
            <w:r>
              <w:t>II-B-1:</w:t>
            </w:r>
            <w:r w:rsidR="002E5448" w:rsidRPr="008C5F34">
              <w:t xml:space="preserve"> </w:t>
            </w:r>
            <w:r>
              <w:t>Recruitment and Hiring Strategies</w:t>
            </w:r>
          </w:p>
          <w:p w14:paraId="50231075" w14:textId="7588126B" w:rsidR="002E5448" w:rsidRPr="008C5F34" w:rsidRDefault="00D16427" w:rsidP="0045742B">
            <w:pPr>
              <w:spacing w:after="240"/>
              <w:cnfStyle w:val="000000100000" w:firstRow="0" w:lastRow="0" w:firstColumn="0" w:lastColumn="0" w:oddVBand="0" w:evenVBand="0" w:oddHBand="1" w:evenHBand="0" w:firstRowFirstColumn="0" w:firstRowLastColumn="0" w:lastRowFirstColumn="0" w:lastRowLastColumn="0"/>
            </w:pPr>
            <w:r>
              <w:t xml:space="preserve">II-B-2: Induction, Professional Development, and Career Growth StrategiesII-C-2: </w:t>
            </w:r>
            <w:r w:rsidR="002E5448" w:rsidRPr="008C5F34">
              <w:t xml:space="preserve">Time for Collaboration </w:t>
            </w:r>
          </w:p>
          <w:p w14:paraId="6C3B32A4" w14:textId="77777777" w:rsidR="002E5448" w:rsidRPr="008C5F34" w:rsidRDefault="00D16427" w:rsidP="0045742B">
            <w:pPr>
              <w:spacing w:after="240"/>
              <w:cnfStyle w:val="000000100000" w:firstRow="0" w:lastRow="0" w:firstColumn="0" w:lastColumn="0" w:oddVBand="0" w:evenVBand="0" w:oddHBand="1" w:evenHBand="0" w:firstRowFirstColumn="0" w:firstRowLastColumn="0" w:lastRowFirstColumn="0" w:lastRowLastColumn="0"/>
            </w:pPr>
            <w:r>
              <w:t xml:space="preserve">II-E-1: </w:t>
            </w:r>
            <w:r w:rsidR="002E5448" w:rsidRPr="008C5F34">
              <w:t>Fiscal Systems</w:t>
            </w:r>
          </w:p>
        </w:tc>
        <w:tc>
          <w:tcPr>
            <w:tcW w:w="2448" w:type="dxa"/>
          </w:tcPr>
          <w:p w14:paraId="3612AB20" w14:textId="77777777" w:rsidR="002E5448" w:rsidRPr="008C5F34" w:rsidRDefault="00D16427" w:rsidP="0045742B">
            <w:pPr>
              <w:spacing w:after="240"/>
              <w:cnfStyle w:val="000000100000" w:firstRow="0" w:lastRow="0" w:firstColumn="0" w:lastColumn="0" w:oddVBand="0" w:evenVBand="0" w:oddHBand="1" w:evenHBand="0" w:firstRowFirstColumn="0" w:firstRowLastColumn="0" w:lastRowFirstColumn="0" w:lastRowLastColumn="0"/>
            </w:pPr>
            <w:r>
              <w:t xml:space="preserve">III-B-1: </w:t>
            </w:r>
            <w:r w:rsidR="002E5448" w:rsidRPr="008C5F34">
              <w:t>Student Support</w:t>
            </w:r>
          </w:p>
          <w:p w14:paraId="053BB3AF" w14:textId="77777777" w:rsidR="002E5448" w:rsidRPr="008C5F34" w:rsidRDefault="00D16427" w:rsidP="0045742B">
            <w:pPr>
              <w:spacing w:after="240"/>
              <w:cnfStyle w:val="000000100000" w:firstRow="0" w:lastRow="0" w:firstColumn="0" w:lastColumn="0" w:oddVBand="0" w:evenVBand="0" w:oddHBand="1" w:evenHBand="0" w:firstRowFirstColumn="0" w:firstRowLastColumn="0" w:lastRowFirstColumn="0" w:lastRowLastColumn="0"/>
            </w:pPr>
            <w:r>
              <w:t xml:space="preserve">III-D-1: </w:t>
            </w:r>
            <w:r w:rsidR="002E5448" w:rsidRPr="008C5F34">
              <w:t>Culturally Proficient Communication</w:t>
            </w:r>
          </w:p>
        </w:tc>
        <w:tc>
          <w:tcPr>
            <w:tcW w:w="2448" w:type="dxa"/>
          </w:tcPr>
          <w:p w14:paraId="5E68F7DF" w14:textId="77777777" w:rsidR="002E5448" w:rsidRPr="008C5F34" w:rsidRDefault="00D16427" w:rsidP="0045742B">
            <w:pPr>
              <w:spacing w:after="240"/>
              <w:cnfStyle w:val="000000100000" w:firstRow="0" w:lastRow="0" w:firstColumn="0" w:lastColumn="0" w:oddVBand="0" w:evenVBand="0" w:oddHBand="1" w:evenHBand="0" w:firstRowFirstColumn="0" w:firstRowLastColumn="0" w:lastRowFirstColumn="0" w:lastRowLastColumn="0"/>
            </w:pPr>
            <w:r>
              <w:t xml:space="preserve">IV-A-3: </w:t>
            </w:r>
            <w:r w:rsidR="002E5448" w:rsidRPr="008C5F34">
              <w:t xml:space="preserve">Meetings </w:t>
            </w:r>
          </w:p>
          <w:p w14:paraId="7BFA01CC" w14:textId="77777777" w:rsidR="002E5448" w:rsidRPr="008C5F34" w:rsidRDefault="00D16427" w:rsidP="0045742B">
            <w:pPr>
              <w:spacing w:after="240"/>
              <w:cnfStyle w:val="000000100000" w:firstRow="0" w:lastRow="0" w:firstColumn="0" w:lastColumn="0" w:oddVBand="0" w:evenVBand="0" w:oddHBand="1" w:evenHBand="0" w:firstRowFirstColumn="0" w:firstRowLastColumn="0" w:lastRowFirstColumn="0" w:lastRowLastColumn="0"/>
            </w:pPr>
            <w:r>
              <w:t xml:space="preserve">IV-D-1: </w:t>
            </w:r>
            <w:r w:rsidR="002E5448" w:rsidRPr="008C5F34">
              <w:t xml:space="preserve">Continuous Learning of Staff </w:t>
            </w:r>
          </w:p>
          <w:p w14:paraId="4123DC81" w14:textId="77777777" w:rsidR="002E5448" w:rsidRPr="008C5F34" w:rsidRDefault="00D16427" w:rsidP="0045742B">
            <w:pPr>
              <w:spacing w:after="240"/>
              <w:cnfStyle w:val="000000100000" w:firstRow="0" w:lastRow="0" w:firstColumn="0" w:lastColumn="0" w:oddVBand="0" w:evenVBand="0" w:oddHBand="1" w:evenHBand="0" w:firstRowFirstColumn="0" w:firstRowLastColumn="0" w:lastRowFirstColumn="0" w:lastRowLastColumn="0"/>
            </w:pPr>
            <w:r>
              <w:t xml:space="preserve">IV-D-2: </w:t>
            </w:r>
            <w:r w:rsidR="002E5448" w:rsidRPr="008C5F34">
              <w:t>Continuous Learning of Administrator</w:t>
            </w:r>
          </w:p>
          <w:p w14:paraId="17CF2233" w14:textId="77777777" w:rsidR="002E5448" w:rsidRPr="008C5F34" w:rsidRDefault="00D16427" w:rsidP="0045742B">
            <w:pPr>
              <w:spacing w:after="240"/>
              <w:cnfStyle w:val="000000100000" w:firstRow="0" w:lastRow="0" w:firstColumn="0" w:lastColumn="0" w:oddVBand="0" w:evenVBand="0" w:oddHBand="1" w:evenHBand="0" w:firstRowFirstColumn="0" w:firstRowLastColumn="0" w:lastRowFirstColumn="0" w:lastRowLastColumn="0"/>
            </w:pPr>
            <w:r>
              <w:t xml:space="preserve">IV-E-1: </w:t>
            </w:r>
            <w:r w:rsidR="002E5448" w:rsidRPr="008C5F34">
              <w:t>Shared Vision Development</w:t>
            </w:r>
          </w:p>
          <w:p w14:paraId="005FB022" w14:textId="77777777" w:rsidR="002E5448" w:rsidRPr="008C5F34" w:rsidRDefault="00D16427" w:rsidP="0045742B">
            <w:pPr>
              <w:spacing w:after="240"/>
              <w:cnfStyle w:val="000000100000" w:firstRow="0" w:lastRow="0" w:firstColumn="0" w:lastColumn="0" w:oddVBand="0" w:evenVBand="0" w:oddHBand="1" w:evenHBand="0" w:firstRowFirstColumn="0" w:firstRowLastColumn="0" w:lastRowFirstColumn="0" w:lastRowLastColumn="0"/>
            </w:pPr>
            <w:r>
              <w:t xml:space="preserve">IV-F: </w:t>
            </w:r>
            <w:r w:rsidR="002E5448" w:rsidRPr="008C5F34">
              <w:t>Managing Conflict</w:t>
            </w:r>
          </w:p>
        </w:tc>
      </w:tr>
    </w:tbl>
    <w:p w14:paraId="0B7BB6F1" w14:textId="022790BC" w:rsidR="002E5448" w:rsidRDefault="002E5448" w:rsidP="00016EAB">
      <w:pPr>
        <w:spacing w:after="240" w:line="240" w:lineRule="auto"/>
      </w:pPr>
      <w:r>
        <w:br w:type="page"/>
      </w:r>
    </w:p>
    <w:p w14:paraId="2425E776" w14:textId="77777777" w:rsidR="002E5448" w:rsidRPr="00A32164" w:rsidRDefault="002E5448" w:rsidP="0045742B">
      <w:pPr>
        <w:pStyle w:val="Heading2"/>
        <w:spacing w:before="0" w:after="240"/>
      </w:pPr>
      <w:r w:rsidRPr="00A32164">
        <w:lastRenderedPageBreak/>
        <w:t>Recommendation #2</w:t>
      </w:r>
      <w:r w:rsidR="00630023" w:rsidRPr="00A32164">
        <w:t>: Prioritization and Focus</w:t>
      </w:r>
    </w:p>
    <w:p w14:paraId="5D2D5E46" w14:textId="77777777" w:rsidR="002E5448" w:rsidRPr="00016EAB" w:rsidRDefault="002E5448" w:rsidP="0045742B">
      <w:pPr>
        <w:pStyle w:val="Heading2"/>
        <w:spacing w:before="0" w:after="240"/>
        <w:rPr>
          <w:b w:val="0"/>
          <w:sz w:val="24"/>
          <w:szCs w:val="24"/>
        </w:rPr>
      </w:pPr>
      <w:r w:rsidRPr="00016EAB">
        <w:rPr>
          <w:b w:val="0"/>
          <w:sz w:val="24"/>
          <w:szCs w:val="24"/>
        </w:rPr>
        <w:t xml:space="preserve">Establish a reasonable number of priority </w:t>
      </w:r>
      <w:r w:rsidR="002C3EC1" w:rsidRPr="00016EAB">
        <w:rPr>
          <w:b w:val="0"/>
          <w:sz w:val="24"/>
          <w:szCs w:val="24"/>
        </w:rPr>
        <w:t>I</w:t>
      </w:r>
      <w:r w:rsidRPr="00016EAB">
        <w:rPr>
          <w:b w:val="0"/>
          <w:sz w:val="24"/>
          <w:szCs w:val="24"/>
        </w:rPr>
        <w:t>ndicators and elements to be evaluated on in a given year.</w:t>
      </w:r>
    </w:p>
    <w:p w14:paraId="30869D6A" w14:textId="77777777" w:rsidR="002E5448" w:rsidRPr="00F70D0F" w:rsidRDefault="002E5448" w:rsidP="0045742B">
      <w:pPr>
        <w:spacing w:after="240"/>
      </w:pPr>
      <w:r w:rsidRPr="00F70D0F">
        <w:t xml:space="preserve">The </w:t>
      </w:r>
      <w:r w:rsidR="0052127D">
        <w:t xml:space="preserve">School-level </w:t>
      </w:r>
      <w:r w:rsidR="00B923FE">
        <w:t>A</w:t>
      </w:r>
      <w:r w:rsidR="0052127D">
        <w:t xml:space="preserve">dministrator </w:t>
      </w:r>
      <w:r w:rsidRPr="00F70D0F">
        <w:t xml:space="preserve">rubric describes </w:t>
      </w:r>
      <w:r w:rsidR="00630023">
        <w:t>four</w:t>
      </w:r>
      <w:r w:rsidR="00630023" w:rsidRPr="00F70D0F">
        <w:t xml:space="preserve"> </w:t>
      </w:r>
      <w:r w:rsidR="00630023">
        <w:t>S</w:t>
      </w:r>
      <w:r w:rsidR="00630023" w:rsidRPr="00F70D0F">
        <w:t>tandards</w:t>
      </w:r>
      <w:r w:rsidRPr="00F70D0F">
        <w:t xml:space="preserve">, 21 </w:t>
      </w:r>
      <w:r w:rsidR="00630023">
        <w:t>I</w:t>
      </w:r>
      <w:r w:rsidR="00630023" w:rsidRPr="00F70D0F">
        <w:t>ndicators</w:t>
      </w:r>
      <w:r w:rsidRPr="00F70D0F">
        <w:t>, and 38 elements.  It is simply not realistic, practical or even useful to collect, present</w:t>
      </w:r>
      <w:r w:rsidR="00630023">
        <w:t>,</w:t>
      </w:r>
      <w:r w:rsidRPr="00F70D0F">
        <w:t xml:space="preserve"> and assess evidence on every </w:t>
      </w:r>
      <w:r w:rsidR="00630023">
        <w:t>I</w:t>
      </w:r>
      <w:r w:rsidRPr="00F70D0F">
        <w:t xml:space="preserve">ndicator, and certainly not every element.  To support the focus that is essential for both growth and impact, it is critical that superintendents work with principals each year to identify </w:t>
      </w:r>
      <w:r w:rsidRPr="00F70D0F">
        <w:rPr>
          <w:i/>
        </w:rPr>
        <w:t xml:space="preserve">priority </w:t>
      </w:r>
      <w:r w:rsidR="00630023">
        <w:rPr>
          <w:i/>
        </w:rPr>
        <w:t>I</w:t>
      </w:r>
      <w:r w:rsidRPr="00F70D0F">
        <w:rPr>
          <w:i/>
        </w:rPr>
        <w:t>ndicators</w:t>
      </w:r>
      <w:r w:rsidRPr="00F70D0F">
        <w:t xml:space="preserve"> and</w:t>
      </w:r>
      <w:r w:rsidR="00630023">
        <w:t>/or</w:t>
      </w:r>
      <w:r w:rsidRPr="00F70D0F">
        <w:rPr>
          <w:i/>
        </w:rPr>
        <w:t xml:space="preserve"> elements</w:t>
      </w:r>
      <w:r w:rsidR="00630023">
        <w:t xml:space="preserve"> around which to focus the evaluation.</w:t>
      </w:r>
      <w:r w:rsidRPr="00F70D0F">
        <w:t xml:space="preserve"> </w:t>
      </w:r>
      <w:r w:rsidR="00630023">
        <w:t>This</w:t>
      </w:r>
      <w:r w:rsidR="00630023" w:rsidRPr="00F70D0F">
        <w:t xml:space="preserve"> </w:t>
      </w:r>
      <w:r w:rsidRPr="00F70D0F">
        <w:t xml:space="preserve">conversation should start with the principal’s proposal for priority </w:t>
      </w:r>
      <w:r w:rsidR="00630023">
        <w:t>I</w:t>
      </w:r>
      <w:r w:rsidR="00630023" w:rsidRPr="00F70D0F">
        <w:t xml:space="preserve">ndicators </w:t>
      </w:r>
      <w:r w:rsidRPr="00F70D0F">
        <w:t xml:space="preserve">and elements, based on their self-assessment. </w:t>
      </w:r>
    </w:p>
    <w:p w14:paraId="3751BA42" w14:textId="77777777" w:rsidR="002E5448" w:rsidRPr="00F70D0F" w:rsidRDefault="00630023" w:rsidP="0045742B">
      <w:pPr>
        <w:spacing w:after="240"/>
      </w:pPr>
      <w:r>
        <w:t xml:space="preserve">How many? The number of priority Indicators or elements will vary depending on the needs of the principal, but it’s helpful to </w:t>
      </w:r>
      <w:r w:rsidR="002E5448" w:rsidRPr="00F70D0F">
        <w:t xml:space="preserve">focus annually on no more than one or two </w:t>
      </w:r>
      <w:r>
        <w:t>I</w:t>
      </w:r>
      <w:r w:rsidR="002E5448" w:rsidRPr="00F70D0F">
        <w:t xml:space="preserve">ndicators for each </w:t>
      </w:r>
      <w:r>
        <w:t>S</w:t>
      </w:r>
      <w:r w:rsidR="002E5448" w:rsidRPr="00F70D0F">
        <w:t>tandard</w:t>
      </w:r>
      <w:r>
        <w:t>,</w:t>
      </w:r>
      <w:r w:rsidR="002E5448" w:rsidRPr="00F70D0F">
        <w:t xml:space="preserve"> and</w:t>
      </w:r>
      <w:r>
        <w:t xml:space="preserve"> </w:t>
      </w:r>
      <w:r w:rsidR="002E5448" w:rsidRPr="00F70D0F">
        <w:t xml:space="preserve">one or two elements within each of these priority </w:t>
      </w:r>
      <w:r>
        <w:t>I</w:t>
      </w:r>
      <w:r w:rsidRPr="00F70D0F">
        <w:t>ndicators</w:t>
      </w:r>
      <w:r w:rsidR="002E5448" w:rsidRPr="00F70D0F">
        <w:t>. This</w:t>
      </w:r>
      <w:r>
        <w:t xml:space="preserve"> degree of focus will help to ensure a</w:t>
      </w:r>
      <w:r w:rsidR="002E5448" w:rsidRPr="00F70D0F">
        <w:t xml:space="preserve"> positive impact on both the school</w:t>
      </w:r>
      <w:r w:rsidR="002E5448">
        <w:t>’s</w:t>
      </w:r>
      <w:r w:rsidR="002E5448" w:rsidRPr="00F70D0F">
        <w:t xml:space="preserve"> and the principal’s growth and development. Districts have taken two general approaches to identifying these </w:t>
      </w:r>
      <w:r w:rsidR="002E5448" w:rsidRPr="00F70D0F">
        <w:rPr>
          <w:i/>
        </w:rPr>
        <w:t xml:space="preserve">priority </w:t>
      </w:r>
      <w:r>
        <w:rPr>
          <w:i/>
        </w:rPr>
        <w:t>I</w:t>
      </w:r>
      <w:r w:rsidR="002E5448" w:rsidRPr="00F70D0F">
        <w:rPr>
          <w:i/>
        </w:rPr>
        <w:t>ndicators</w:t>
      </w:r>
      <w:r w:rsidR="002E5448" w:rsidRPr="00F70D0F">
        <w:t xml:space="preserve"> and </w:t>
      </w:r>
      <w:r w:rsidR="002E5448" w:rsidRPr="00F70D0F">
        <w:rPr>
          <w:i/>
        </w:rPr>
        <w:t>priority elements</w:t>
      </w:r>
      <w:r w:rsidR="002E5448" w:rsidRPr="00F70D0F">
        <w:t xml:space="preserve">, which they sometimes call </w:t>
      </w:r>
      <w:r w:rsidR="002E5448" w:rsidRPr="00F70D0F">
        <w:rPr>
          <w:i/>
        </w:rPr>
        <w:t xml:space="preserve">power </w:t>
      </w:r>
      <w:r>
        <w:rPr>
          <w:i/>
        </w:rPr>
        <w:t>I</w:t>
      </w:r>
      <w:r w:rsidR="002E5448" w:rsidRPr="00F70D0F">
        <w:rPr>
          <w:i/>
        </w:rPr>
        <w:t>ndicators</w:t>
      </w:r>
      <w:r w:rsidR="002E5448" w:rsidRPr="00F70D0F">
        <w:t xml:space="preserve"> or </w:t>
      </w:r>
      <w:r w:rsidR="002E5448" w:rsidRPr="00F70D0F">
        <w:rPr>
          <w:i/>
        </w:rPr>
        <w:t>power elements</w:t>
      </w:r>
      <w:r w:rsidR="002E5448" w:rsidRPr="00F70D0F">
        <w:t>.</w:t>
      </w:r>
    </w:p>
    <w:p w14:paraId="55634C25" w14:textId="77777777" w:rsidR="002E5448" w:rsidRDefault="002E5448" w:rsidP="0045742B">
      <w:pPr>
        <w:spacing w:after="240"/>
      </w:pPr>
      <w:r w:rsidRPr="002E5448">
        <w:rPr>
          <w:rStyle w:val="IntenseEmphasis"/>
        </w:rPr>
        <w:t xml:space="preserve">Approach #1: </w:t>
      </w:r>
      <w:r w:rsidR="00630023">
        <w:t>Individual p</w:t>
      </w:r>
      <w:r w:rsidRPr="00F70D0F">
        <w:t>rincipals</w:t>
      </w:r>
      <w:r w:rsidR="00630023">
        <w:t xml:space="preserve"> identify priority Indicators and elements that reflect the unique needs of their school and/or personal professional growth</w:t>
      </w:r>
      <w:r w:rsidRPr="00F70D0F">
        <w:t xml:space="preserve">.  </w:t>
      </w:r>
    </w:p>
    <w:p w14:paraId="5D6CFCEF" w14:textId="77777777" w:rsidR="001671BC" w:rsidRDefault="002E5448" w:rsidP="00016EAB">
      <w:pPr>
        <w:pStyle w:val="ListParagraph"/>
        <w:numPr>
          <w:ilvl w:val="0"/>
          <w:numId w:val="22"/>
        </w:numPr>
        <w:spacing w:after="240"/>
        <w:contextualSpacing w:val="0"/>
      </w:pPr>
      <w:r w:rsidRPr="00F70D0F">
        <w:t xml:space="preserve">For example, a new principal in a school that is in its second year of implementing </w:t>
      </w:r>
      <w:r w:rsidRPr="001671BC">
        <w:rPr>
          <w:i/>
        </w:rPr>
        <w:t>Universal Design for Learning</w:t>
      </w:r>
      <w:r w:rsidRPr="00F70D0F">
        <w:t xml:space="preserve"> might </w:t>
      </w:r>
      <w:r w:rsidR="00630023">
        <w:t xml:space="preserve">prioritize the </w:t>
      </w:r>
      <w:r w:rsidRPr="00F70D0F">
        <w:t xml:space="preserve">elements </w:t>
      </w:r>
      <w:r w:rsidR="00630023">
        <w:t>in</w:t>
      </w:r>
      <w:r w:rsidR="00630023" w:rsidRPr="00F70D0F">
        <w:t xml:space="preserve"> </w:t>
      </w:r>
      <w:r w:rsidRPr="00F70D0F">
        <w:t xml:space="preserve">Standard </w:t>
      </w:r>
      <w:r w:rsidR="00630023">
        <w:t>I: Instructional Leadership</w:t>
      </w:r>
      <w:r w:rsidR="00D04130">
        <w:t xml:space="preserve"> that focus on his leadership practice related to curriculum implementation support (</w:t>
      </w:r>
      <w:r w:rsidR="00D04130" w:rsidRPr="001017BB">
        <w:rPr>
          <w:i/>
        </w:rPr>
        <w:t>I-A-1: Standards Based Unit Development and Lesson Support</w:t>
      </w:r>
      <w:r w:rsidR="00D04130">
        <w:t>) and goal-setting</w:t>
      </w:r>
      <w:r w:rsidR="001671BC">
        <w:t xml:space="preserve"> (</w:t>
      </w:r>
      <w:r w:rsidR="001671BC" w:rsidRPr="001017BB">
        <w:rPr>
          <w:i/>
        </w:rPr>
        <w:t>I-D-1: Educator Goals</w:t>
      </w:r>
      <w:r w:rsidR="001671BC">
        <w:t>).</w:t>
      </w:r>
    </w:p>
    <w:p w14:paraId="39304054" w14:textId="77777777" w:rsidR="002E5448" w:rsidRPr="00F70D0F" w:rsidRDefault="002E5448" w:rsidP="00016EAB">
      <w:pPr>
        <w:pStyle w:val="ListParagraph"/>
        <w:numPr>
          <w:ilvl w:val="0"/>
          <w:numId w:val="22"/>
        </w:numPr>
        <w:spacing w:after="240"/>
        <w:contextualSpacing w:val="0"/>
      </w:pPr>
      <w:r w:rsidRPr="00F70D0F">
        <w:t xml:space="preserve">A veteran principal in a similar school context, on the other hand, may </w:t>
      </w:r>
      <w:r w:rsidR="00D04130">
        <w:t>prioritize</w:t>
      </w:r>
      <w:r w:rsidRPr="00F70D0F">
        <w:t xml:space="preserve"> </w:t>
      </w:r>
      <w:r w:rsidR="00D04130">
        <w:t>elements in</w:t>
      </w:r>
      <w:r w:rsidRPr="00F70D0F">
        <w:t xml:space="preserve"> Standard </w:t>
      </w:r>
      <w:r>
        <w:t>I</w:t>
      </w:r>
      <w:r w:rsidR="00D04130">
        <w:t xml:space="preserve"> that focus on ensuring the use of data to adjust practice </w:t>
      </w:r>
      <w:r w:rsidR="001671BC">
        <w:t>(</w:t>
      </w:r>
      <w:r w:rsidR="001671BC" w:rsidRPr="001017BB">
        <w:rPr>
          <w:i/>
        </w:rPr>
        <w:t>I-C-2: Adjustments to Practice</w:t>
      </w:r>
      <w:r w:rsidR="001671BC">
        <w:t xml:space="preserve">) </w:t>
      </w:r>
      <w:r w:rsidR="00D04130">
        <w:t>and providing meaningful feedback to instructional staff</w:t>
      </w:r>
      <w:r w:rsidR="001671BC">
        <w:t xml:space="preserve"> (</w:t>
      </w:r>
      <w:r w:rsidR="001671BC" w:rsidRPr="001017BB">
        <w:rPr>
          <w:i/>
        </w:rPr>
        <w:t>I-D-3: Observations and Feedback</w:t>
      </w:r>
      <w:r w:rsidR="001671BC">
        <w:t>).</w:t>
      </w:r>
    </w:p>
    <w:p w14:paraId="0B20B8C0" w14:textId="3698D462" w:rsidR="002E5448" w:rsidRPr="00F70D0F" w:rsidRDefault="002E5448" w:rsidP="0045742B">
      <w:pPr>
        <w:spacing w:after="240"/>
      </w:pPr>
      <w:r w:rsidRPr="002E5448">
        <w:rPr>
          <w:rStyle w:val="IntenseEmphasis"/>
        </w:rPr>
        <w:t>Approach #</w:t>
      </w:r>
      <w:r>
        <w:rPr>
          <w:rStyle w:val="IntenseEmphasis"/>
        </w:rPr>
        <w:t>2</w:t>
      </w:r>
      <w:r w:rsidRPr="002E5448">
        <w:rPr>
          <w:rStyle w:val="IntenseEmphasis"/>
        </w:rPr>
        <w:t xml:space="preserve">: </w:t>
      </w:r>
      <w:r w:rsidR="001671BC">
        <w:t>All p</w:t>
      </w:r>
      <w:r w:rsidRPr="00F70D0F">
        <w:t xml:space="preserve">rincipals in the district focus on </w:t>
      </w:r>
      <w:r w:rsidR="001671BC">
        <w:t>the same subset</w:t>
      </w:r>
      <w:r w:rsidR="001671BC" w:rsidRPr="00F70D0F">
        <w:t xml:space="preserve"> </w:t>
      </w:r>
      <w:r w:rsidRPr="00F70D0F">
        <w:t xml:space="preserve">of </w:t>
      </w:r>
      <w:r w:rsidR="001671BC">
        <w:t>priority I</w:t>
      </w:r>
      <w:r w:rsidR="001671BC" w:rsidRPr="00F70D0F">
        <w:t xml:space="preserve">ndicators </w:t>
      </w:r>
      <w:r w:rsidRPr="00F70D0F">
        <w:t>and/or elements</w:t>
      </w:r>
      <w:r w:rsidR="001671BC">
        <w:t xml:space="preserve"> that are of critical importance to the district, in addition to </w:t>
      </w:r>
      <w:r w:rsidR="001671BC" w:rsidRPr="00F70D0F">
        <w:t>two or three elements unique to their circumstances</w:t>
      </w:r>
      <w:r w:rsidR="001671BC">
        <w:t>.</w:t>
      </w:r>
      <w:r w:rsidR="00C774B1">
        <w:t xml:space="preserve"> D</w:t>
      </w:r>
      <w:r w:rsidR="001671BC">
        <w:t>istrict</w:t>
      </w:r>
      <w:r w:rsidRPr="00F70D0F">
        <w:t xml:space="preserve"> leadership team meetings and professional development </w:t>
      </w:r>
      <w:r w:rsidR="00C774B1">
        <w:t xml:space="preserve">can then be designed to help build </w:t>
      </w:r>
      <w:r w:rsidRPr="00F70D0F">
        <w:t xml:space="preserve">their </w:t>
      </w:r>
      <w:r w:rsidR="001671BC">
        <w:t xml:space="preserve">collective </w:t>
      </w:r>
      <w:r w:rsidRPr="00F70D0F">
        <w:t>skills and knowledge in these areas</w:t>
      </w:r>
      <w:r w:rsidR="00C774B1">
        <w:t>.</w:t>
      </w:r>
    </w:p>
    <w:p w14:paraId="015C5640" w14:textId="77777777" w:rsidR="002E5448" w:rsidRPr="00F70D0F" w:rsidRDefault="002E5448" w:rsidP="00016EAB">
      <w:pPr>
        <w:pStyle w:val="ListParagraph"/>
        <w:numPr>
          <w:ilvl w:val="0"/>
          <w:numId w:val="23"/>
        </w:numPr>
        <w:spacing w:after="240"/>
      </w:pPr>
      <w:r w:rsidRPr="00F70D0F">
        <w:t xml:space="preserve">For example, </w:t>
      </w:r>
      <w:r w:rsidR="00684C0C">
        <w:t xml:space="preserve">in a district focused on strengthening culturally proficient communication and expanding community involvement, </w:t>
      </w:r>
      <w:r w:rsidRPr="00F70D0F">
        <w:t xml:space="preserve">all principals </w:t>
      </w:r>
      <w:r w:rsidR="00684C0C">
        <w:t xml:space="preserve">may </w:t>
      </w:r>
      <w:r w:rsidRPr="00F70D0F">
        <w:t>have</w:t>
      </w:r>
      <w:r w:rsidR="00684C0C">
        <w:t xml:space="preserve"> the following</w:t>
      </w:r>
      <w:r w:rsidRPr="00F70D0F">
        <w:t xml:space="preserve"> three </w:t>
      </w:r>
      <w:r w:rsidR="00684C0C">
        <w:t xml:space="preserve">priority </w:t>
      </w:r>
      <w:r w:rsidRPr="00F70D0F">
        <w:t xml:space="preserve">elements in common: </w:t>
      </w:r>
      <w:r w:rsidR="00684C0C" w:rsidRPr="001017BB">
        <w:rPr>
          <w:i/>
        </w:rPr>
        <w:t xml:space="preserve">III-C-1: </w:t>
      </w:r>
      <w:r w:rsidRPr="001017BB">
        <w:rPr>
          <w:i/>
        </w:rPr>
        <w:t>Culturally Proficient Communication</w:t>
      </w:r>
      <w:r w:rsidR="00684C0C">
        <w:t>,</w:t>
      </w:r>
      <w:r>
        <w:t xml:space="preserve"> </w:t>
      </w:r>
      <w:r w:rsidR="00684C0C" w:rsidRPr="001017BB">
        <w:rPr>
          <w:i/>
        </w:rPr>
        <w:t>IV-B-1: Policies &amp; Practices</w:t>
      </w:r>
      <w:r w:rsidR="00684C0C">
        <w:t xml:space="preserve">, and </w:t>
      </w:r>
      <w:r w:rsidR="00684C0C" w:rsidRPr="001017BB">
        <w:rPr>
          <w:i/>
        </w:rPr>
        <w:t xml:space="preserve">IV-E-1: </w:t>
      </w:r>
      <w:r w:rsidRPr="001017BB">
        <w:rPr>
          <w:i/>
        </w:rPr>
        <w:t>Shared Vision Development</w:t>
      </w:r>
      <w:r w:rsidR="00684C0C">
        <w:t>.</w:t>
      </w:r>
    </w:p>
    <w:p w14:paraId="4E658714" w14:textId="7763991F" w:rsidR="00F02860" w:rsidRPr="002C3EC1" w:rsidRDefault="00F02860" w:rsidP="0045742B">
      <w:pPr>
        <w:pStyle w:val="Heading2"/>
        <w:spacing w:before="0" w:after="240"/>
      </w:pPr>
      <w:r w:rsidRPr="002C3EC1">
        <w:lastRenderedPageBreak/>
        <w:t>Recommendation #3</w:t>
      </w:r>
      <w:r w:rsidR="00684C0C" w:rsidRPr="002C3EC1">
        <w:t xml:space="preserve">: </w:t>
      </w:r>
      <w:r w:rsidR="00C774B1">
        <w:t>Focused School Visits with</w:t>
      </w:r>
      <w:r w:rsidR="00684C0C" w:rsidRPr="002C3EC1">
        <w:t xml:space="preserve"> Feedback</w:t>
      </w:r>
    </w:p>
    <w:p w14:paraId="27FBDC17" w14:textId="77777777" w:rsidR="00F02860" w:rsidRPr="00016EAB" w:rsidRDefault="00F02860" w:rsidP="0045742B">
      <w:pPr>
        <w:pStyle w:val="Heading2"/>
        <w:spacing w:before="0" w:after="240"/>
        <w:rPr>
          <w:b w:val="0"/>
          <w:sz w:val="24"/>
          <w:szCs w:val="24"/>
        </w:rPr>
      </w:pPr>
      <w:r w:rsidRPr="00016EAB">
        <w:rPr>
          <w:b w:val="0"/>
          <w:sz w:val="24"/>
          <w:szCs w:val="24"/>
        </w:rPr>
        <w:t xml:space="preserve">Make frequent school visits </w:t>
      </w:r>
      <w:r w:rsidR="00C774B1">
        <w:rPr>
          <w:b w:val="0"/>
          <w:sz w:val="24"/>
          <w:szCs w:val="24"/>
        </w:rPr>
        <w:t xml:space="preserve">with consistent and meaningful feedback </w:t>
      </w:r>
      <w:r w:rsidRPr="00016EAB">
        <w:rPr>
          <w:b w:val="0"/>
          <w:sz w:val="24"/>
          <w:szCs w:val="24"/>
        </w:rPr>
        <w:t>the key to a fair, compre</w:t>
      </w:r>
      <w:r w:rsidR="00A32164" w:rsidRPr="00016EAB">
        <w:rPr>
          <w:b w:val="0"/>
          <w:sz w:val="24"/>
          <w:szCs w:val="24"/>
        </w:rPr>
        <w:t xml:space="preserve">hensive and useful </w:t>
      </w:r>
      <w:r w:rsidR="00016EAB">
        <w:rPr>
          <w:b w:val="0"/>
          <w:sz w:val="24"/>
          <w:szCs w:val="24"/>
        </w:rPr>
        <w:t>principal evaluation process.</w:t>
      </w:r>
    </w:p>
    <w:p w14:paraId="04372AC9" w14:textId="42F6312C" w:rsidR="00F02860" w:rsidRPr="00F02860" w:rsidRDefault="00F02860" w:rsidP="0045742B">
      <w:pPr>
        <w:spacing w:after="240"/>
      </w:pPr>
      <w:r w:rsidRPr="00F02860">
        <w:t xml:space="preserve">In a school visit, the Superintendent works side-by-side with each principal at least every </w:t>
      </w:r>
      <w:r w:rsidR="00C774B1">
        <w:t>four to eight</w:t>
      </w:r>
      <w:r w:rsidRPr="00F02860">
        <w:t xml:space="preserve"> weeks</w:t>
      </w:r>
      <w:r w:rsidR="0052127D">
        <w:t>, engaging in</w:t>
      </w:r>
      <w:r w:rsidRPr="00F02860">
        <w:t xml:space="preserve"> one or more of these</w:t>
      </w:r>
      <w:r w:rsidR="0052127D">
        <w:t xml:space="preserve"> activities</w:t>
      </w:r>
      <w:r w:rsidRPr="00F02860">
        <w:t>:</w:t>
      </w:r>
    </w:p>
    <w:p w14:paraId="53711EFC" w14:textId="77777777" w:rsidR="00F02860" w:rsidRPr="00F02860" w:rsidRDefault="00F02860" w:rsidP="0045742B">
      <w:pPr>
        <w:numPr>
          <w:ilvl w:val="0"/>
          <w:numId w:val="17"/>
        </w:numPr>
        <w:spacing w:after="240"/>
      </w:pPr>
      <w:r w:rsidRPr="00F02860">
        <w:t>Co-observe classes, debriefing together what they see,</w:t>
      </w:r>
    </w:p>
    <w:p w14:paraId="35BE8BB4" w14:textId="77777777" w:rsidR="00F02860" w:rsidRPr="00F02860" w:rsidRDefault="00F02860" w:rsidP="0045742B">
      <w:pPr>
        <w:numPr>
          <w:ilvl w:val="0"/>
          <w:numId w:val="17"/>
        </w:numPr>
        <w:spacing w:after="240"/>
      </w:pPr>
      <w:r w:rsidRPr="00F02860">
        <w:t>Review artifacts</w:t>
      </w:r>
      <w:r w:rsidR="0052127D">
        <w:t xml:space="preserve"> together,</w:t>
      </w:r>
      <w:r w:rsidRPr="00F02860">
        <w:t xml:space="preserve"> such as </w:t>
      </w:r>
      <w:r w:rsidR="0052127D">
        <w:t>written feedback on classroom observations</w:t>
      </w:r>
      <w:r w:rsidR="0019636E">
        <w:t>,</w:t>
      </w:r>
      <w:r w:rsidRPr="00F02860">
        <w:t xml:space="preserve"> and/or</w:t>
      </w:r>
    </w:p>
    <w:p w14:paraId="6A025047" w14:textId="77777777" w:rsidR="00F02860" w:rsidRPr="00F02860" w:rsidRDefault="00F02860" w:rsidP="0045742B">
      <w:pPr>
        <w:numPr>
          <w:ilvl w:val="0"/>
          <w:numId w:val="17"/>
        </w:numPr>
        <w:spacing w:after="240"/>
      </w:pPr>
      <w:r w:rsidRPr="00F02860">
        <w:t>Attend and debrief together school-based meetings, including department, team, grade level</w:t>
      </w:r>
      <w:r w:rsidR="00684C0C">
        <w:t>,</w:t>
      </w:r>
      <w:r w:rsidRPr="00F02860">
        <w:t xml:space="preserve"> and leadership team meetings</w:t>
      </w:r>
      <w:r w:rsidR="00684C0C">
        <w:t>, as well as</w:t>
      </w:r>
      <w:r w:rsidRPr="00F02860">
        <w:t xml:space="preserve"> meetings between the principal and instructional specialists/coaches/department heads.</w:t>
      </w:r>
    </w:p>
    <w:p w14:paraId="75CEB677" w14:textId="3A02E4BD" w:rsidR="0019636E" w:rsidRDefault="0019636E" w:rsidP="0045742B">
      <w:pPr>
        <w:spacing w:after="240"/>
      </w:pPr>
      <w:r>
        <w:t>F</w:t>
      </w:r>
      <w:r w:rsidR="00F02860" w:rsidRPr="00F02860">
        <w:t xml:space="preserve">requent school visits </w:t>
      </w:r>
      <w:r w:rsidRPr="00F02860">
        <w:t>a</w:t>
      </w:r>
      <w:r>
        <w:t>re</w:t>
      </w:r>
      <w:r w:rsidRPr="00F02860">
        <w:t xml:space="preserve"> </w:t>
      </w:r>
      <w:r w:rsidR="00F02860" w:rsidRPr="00F02860">
        <w:t>a key responsibility of the superintendent</w:t>
      </w:r>
      <w:r w:rsidR="00971C89">
        <w:t xml:space="preserve">. </w:t>
      </w:r>
      <w:r>
        <w:t>T</w:t>
      </w:r>
      <w:r w:rsidR="00F02860" w:rsidRPr="00F02860">
        <w:t xml:space="preserve">he </w:t>
      </w:r>
      <w:r>
        <w:t>critical</w:t>
      </w:r>
      <w:r w:rsidRPr="00F02860">
        <w:t xml:space="preserve"> </w:t>
      </w:r>
      <w:r w:rsidR="00F02860" w:rsidRPr="00F02860">
        <w:t>role school visits</w:t>
      </w:r>
      <w:r w:rsidR="00C774B1">
        <w:t xml:space="preserve"> play</w:t>
      </w:r>
      <w:r w:rsidR="00F02860" w:rsidRPr="00F02860">
        <w:t xml:space="preserve"> in a fair and comprehensive evaluation process has</w:t>
      </w:r>
      <w:r>
        <w:t xml:space="preserve"> </w:t>
      </w:r>
      <w:r w:rsidR="00971C89">
        <w:t>become increasingly</w:t>
      </w:r>
      <w:r w:rsidR="00F02860" w:rsidRPr="00F02860">
        <w:t xml:space="preserve"> more apparent</w:t>
      </w:r>
      <w:r w:rsidR="00C774B1">
        <w:t>.</w:t>
      </w:r>
      <w:r>
        <w:t xml:space="preserve"> </w:t>
      </w:r>
      <w:r w:rsidR="00C774B1">
        <w:t>T</w:t>
      </w:r>
      <w:r w:rsidR="002C3EC1">
        <w:t>hey</w:t>
      </w:r>
      <w:r>
        <w:t xml:space="preserve"> serve as the primary means to best understand principal efficacy and </w:t>
      </w:r>
      <w:r w:rsidR="002C3EC1">
        <w:t xml:space="preserve">to </w:t>
      </w:r>
      <w:r>
        <w:t>provide meaningful and actionable feedback to support their growth and development</w:t>
      </w:r>
      <w:r w:rsidR="00F02860" w:rsidRPr="00F02860">
        <w:t xml:space="preserve">. </w:t>
      </w:r>
      <w:r w:rsidR="00C774B1">
        <w:t xml:space="preserve"> As importantly, school visits give superintendents critical first-hand information and influence that is available from no other activity they can do.</w:t>
      </w:r>
    </w:p>
    <w:p w14:paraId="163AEB0B" w14:textId="77777777" w:rsidR="00F02860" w:rsidRPr="00F02860" w:rsidRDefault="0019636E" w:rsidP="0045742B">
      <w:pPr>
        <w:spacing w:after="240"/>
      </w:pPr>
      <w:r>
        <w:t>S</w:t>
      </w:r>
      <w:r w:rsidR="00F02860" w:rsidRPr="00F02860">
        <w:t>uperintendents visit schools and classrooms with principals for multiple reasons:</w:t>
      </w:r>
    </w:p>
    <w:p w14:paraId="6D57C98E" w14:textId="77777777" w:rsidR="00C774B1" w:rsidRDefault="00C774B1" w:rsidP="00C774B1">
      <w:pPr>
        <w:numPr>
          <w:ilvl w:val="0"/>
          <w:numId w:val="16"/>
        </w:numPr>
        <w:spacing w:after="0"/>
      </w:pPr>
      <w:r w:rsidRPr="00F02860">
        <w:t>To see firsthand how district and school priorities are being implemented in order to assess progress, celebrate success and identify obstacles</w:t>
      </w:r>
    </w:p>
    <w:p w14:paraId="5BDC2E24" w14:textId="77777777" w:rsidR="00C774B1" w:rsidRPr="00F02860" w:rsidRDefault="00C774B1" w:rsidP="00C774B1">
      <w:pPr>
        <w:numPr>
          <w:ilvl w:val="0"/>
          <w:numId w:val="16"/>
        </w:numPr>
        <w:spacing w:after="0"/>
      </w:pPr>
      <w:r w:rsidRPr="00F02860">
        <w:t xml:space="preserve">To assess how well students are being engaged and challenged </w:t>
      </w:r>
    </w:p>
    <w:p w14:paraId="28E3081A" w14:textId="77777777" w:rsidR="00C774B1" w:rsidRPr="00F02860" w:rsidRDefault="00C774B1" w:rsidP="00C774B1">
      <w:pPr>
        <w:numPr>
          <w:ilvl w:val="0"/>
          <w:numId w:val="16"/>
        </w:numPr>
        <w:spacing w:after="0"/>
      </w:pPr>
      <w:r w:rsidRPr="00F02860">
        <w:t>To get a sense of how safe and healthy the school culture and climate are for both adults and students</w:t>
      </w:r>
    </w:p>
    <w:p w14:paraId="28BA8BF0" w14:textId="77777777" w:rsidR="00C774B1" w:rsidRPr="00F02860" w:rsidRDefault="00C774B1" w:rsidP="00C774B1">
      <w:pPr>
        <w:numPr>
          <w:ilvl w:val="0"/>
          <w:numId w:val="16"/>
        </w:numPr>
        <w:spacing w:after="0"/>
      </w:pPr>
      <w:r w:rsidRPr="00F02860">
        <w:t>To see the principal in action in order to guide and support their work</w:t>
      </w:r>
    </w:p>
    <w:p w14:paraId="17973C66" w14:textId="77777777" w:rsidR="00F02860" w:rsidRDefault="00F02860" w:rsidP="006E24C1">
      <w:pPr>
        <w:numPr>
          <w:ilvl w:val="0"/>
          <w:numId w:val="16"/>
        </w:numPr>
        <w:spacing w:after="0"/>
      </w:pPr>
      <w:r w:rsidRPr="00F02860">
        <w:t>To gather evidence needed to assess the principal’s performance</w:t>
      </w:r>
    </w:p>
    <w:p w14:paraId="1FF4D01A" w14:textId="77777777" w:rsidR="006E24C1" w:rsidRPr="00F02860" w:rsidRDefault="006E24C1" w:rsidP="006E24C1">
      <w:pPr>
        <w:numPr>
          <w:ilvl w:val="0"/>
          <w:numId w:val="16"/>
        </w:numPr>
        <w:spacing w:after="0"/>
      </w:pPr>
      <w:r w:rsidRPr="00F02860">
        <w:t>To demonstrate that they care enough about teaching and learning to make time to observe it themselves</w:t>
      </w:r>
    </w:p>
    <w:p w14:paraId="0DE02E05" w14:textId="77777777" w:rsidR="006E24C1" w:rsidRPr="00F02860" w:rsidRDefault="006E24C1" w:rsidP="006E24C1">
      <w:pPr>
        <w:numPr>
          <w:ilvl w:val="0"/>
          <w:numId w:val="16"/>
        </w:numPr>
        <w:spacing w:after="0"/>
      </w:pPr>
      <w:r w:rsidRPr="00F02860">
        <w:t>To model that a leader can and must make time in their schedule to see students and teachers at work</w:t>
      </w:r>
    </w:p>
    <w:p w14:paraId="6C522E9C" w14:textId="1C0DE8D3" w:rsidR="00F02860" w:rsidRPr="00F02860" w:rsidRDefault="00F02860" w:rsidP="00016EAB">
      <w:pPr>
        <w:spacing w:before="240" w:after="240"/>
      </w:pPr>
      <w:r w:rsidRPr="00F02860">
        <w:t>Of course, superintendents can achieve more than one of these intended outcomes on the same school visit. When thoughtfully implemented, school visits provide the superintendent and principal with the lion’s share of the evidence needed to make a thoughtful assessment of the principal’s performance on each of the four Standards in the School</w:t>
      </w:r>
      <w:r w:rsidR="00971C89">
        <w:t>-level Administrator</w:t>
      </w:r>
      <w:r w:rsidRPr="00F02860">
        <w:t xml:space="preserve"> rubric.</w:t>
      </w:r>
      <w:r w:rsidR="0019636E">
        <w:t xml:space="preserve"> The following</w:t>
      </w:r>
      <w:r w:rsidRPr="00F02860">
        <w:t xml:space="preserve"> </w:t>
      </w:r>
      <w:r w:rsidR="0019636E">
        <w:rPr>
          <w:b/>
        </w:rPr>
        <w:t>s</w:t>
      </w:r>
      <w:r w:rsidR="0019636E" w:rsidRPr="00E70EEF">
        <w:rPr>
          <w:b/>
        </w:rPr>
        <w:t>ix field-</w:t>
      </w:r>
      <w:r w:rsidR="006E24C1">
        <w:rPr>
          <w:b/>
        </w:rPr>
        <w:t>reviewed</w:t>
      </w:r>
      <w:r w:rsidR="0019636E" w:rsidRPr="00E70EEF">
        <w:rPr>
          <w:b/>
        </w:rPr>
        <w:t xml:space="preserve"> tools</w:t>
      </w:r>
      <w:r w:rsidR="0019636E" w:rsidRPr="008C5F34">
        <w:t xml:space="preserve"> </w:t>
      </w:r>
      <w:r w:rsidR="0019636E">
        <w:t>are designed to support comprehensive, focused school-site visits that will benefit both principals and superintendents.</w:t>
      </w:r>
    </w:p>
    <w:p w14:paraId="39C75705" w14:textId="38B3CC3B" w:rsidR="00DF4B58" w:rsidRPr="00016EAB" w:rsidRDefault="0058103A" w:rsidP="00016EAB">
      <w:pPr>
        <w:spacing w:after="0"/>
      </w:pPr>
      <w:hyperlink r:id="rId15" w:history="1">
        <w:r w:rsidR="00DF4B58" w:rsidRPr="001017BB">
          <w:rPr>
            <w:rStyle w:val="Hyperlink"/>
            <w:b/>
          </w:rPr>
          <w:t>The School Visit Framework</w:t>
        </w:r>
      </w:hyperlink>
      <w:r w:rsidR="00DF4B58" w:rsidRPr="00DF4B58">
        <w:rPr>
          <w:color w:val="002060"/>
        </w:rPr>
        <w:t xml:space="preserve"> </w:t>
      </w:r>
    </w:p>
    <w:p w14:paraId="2F622200" w14:textId="1CF3F162" w:rsidR="00DF4B58" w:rsidRPr="00DF4B58" w:rsidRDefault="00DF4B58" w:rsidP="0045742B">
      <w:pPr>
        <w:spacing w:after="240"/>
      </w:pPr>
      <w:r w:rsidRPr="00DF4B58">
        <w:t xml:space="preserve">The first </w:t>
      </w:r>
      <w:r w:rsidR="006E24C1">
        <w:t xml:space="preserve">tool </w:t>
      </w:r>
      <w:r w:rsidRPr="00DF4B58">
        <w:t xml:space="preserve">describes the critical features of a school visit and the roles and responsibilities of the superintendent and principal </w:t>
      </w:r>
      <w:r w:rsidRPr="00DF4B58">
        <w:rPr>
          <w:u w:val="single"/>
        </w:rPr>
        <w:t>before</w:t>
      </w:r>
      <w:r w:rsidRPr="00DF4B58">
        <w:t xml:space="preserve">, </w:t>
      </w:r>
      <w:r w:rsidRPr="00DF4B58">
        <w:rPr>
          <w:u w:val="single"/>
        </w:rPr>
        <w:t>during</w:t>
      </w:r>
      <w:r w:rsidRPr="00DF4B58">
        <w:t xml:space="preserve"> and </w:t>
      </w:r>
      <w:r w:rsidRPr="00DF4B58">
        <w:rPr>
          <w:u w:val="single"/>
        </w:rPr>
        <w:t>after</w:t>
      </w:r>
      <w:r w:rsidRPr="00DF4B58">
        <w:t xml:space="preserve"> the visit to make school visits the foundation for </w:t>
      </w:r>
      <w:r w:rsidR="00054145">
        <w:t>both</w:t>
      </w:r>
      <w:r w:rsidR="0052127D">
        <w:t xml:space="preserve"> meaningful </w:t>
      </w:r>
      <w:r w:rsidR="00054145">
        <w:t xml:space="preserve">principal </w:t>
      </w:r>
      <w:r w:rsidR="0052127D">
        <w:t>evaluation</w:t>
      </w:r>
      <w:r w:rsidRPr="00DF4B58">
        <w:t xml:space="preserve"> </w:t>
      </w:r>
      <w:r w:rsidR="00054145">
        <w:t xml:space="preserve">and effective district improvement work  </w:t>
      </w:r>
      <w:r w:rsidRPr="00DF4B58">
        <w:t xml:space="preserve">  The protocol offers concrete guidance</w:t>
      </w:r>
      <w:r w:rsidR="0052127D">
        <w:t xml:space="preserve"> for conducting a school visit </w:t>
      </w:r>
      <w:r>
        <w:t>that</w:t>
      </w:r>
      <w:r w:rsidRPr="00DF4B58">
        <w:t xml:space="preserve"> can be adapted to a specific focus or objective. </w:t>
      </w:r>
    </w:p>
    <w:p w14:paraId="62BF22E7" w14:textId="77777777" w:rsidR="00DF4B58" w:rsidRPr="00DF4B58" w:rsidRDefault="00DF4B58" w:rsidP="0045742B">
      <w:pPr>
        <w:spacing w:after="240"/>
        <w:rPr>
          <w:rStyle w:val="IntenseEmphasis"/>
          <w:color w:val="17365D" w:themeColor="text2" w:themeShade="BF"/>
        </w:rPr>
      </w:pPr>
      <w:r w:rsidRPr="00DF4B58">
        <w:rPr>
          <w:rStyle w:val="IntenseEmphasis"/>
          <w:color w:val="17365D" w:themeColor="text2" w:themeShade="BF"/>
        </w:rPr>
        <w:t>Ten Steps for an Effective School Visit</w:t>
      </w:r>
    </w:p>
    <w:tbl>
      <w:tblPr>
        <w:tblStyle w:val="GridTable4-Accent11"/>
        <w:tblW w:w="10278" w:type="dxa"/>
        <w:tblLook w:val="04A0" w:firstRow="1" w:lastRow="0" w:firstColumn="1" w:lastColumn="0" w:noHBand="0" w:noVBand="1"/>
        <w:tblDescription w:val="Before the Visit During the Visit After the Visit&#10;1. Establish Expectations&#10;2. Review Artifacts and Develop Visit Focus &#10;3. Establish Time, Agenda and Preparation Required&#10; 4. Observe with a Specific Focus&#10;5. Debrief What You Observed and Read&#10;6. Share Feedback &#10;7. Agree on Next Steps and Plan for Accountability 8. Hold Each Other Accountable for Next Steps&#10;9. Review Artifacts&#10;10. Reflect, Prepare Feedback &amp; Address Implications&#10;"/>
      </w:tblPr>
      <w:tblGrid>
        <w:gridCol w:w="3438"/>
        <w:gridCol w:w="3330"/>
        <w:gridCol w:w="3510"/>
      </w:tblGrid>
      <w:tr w:rsidR="00DF4B58" w:rsidRPr="00DF4B58" w14:paraId="60AB00D5" w14:textId="77777777" w:rsidTr="001017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38" w:type="dxa"/>
            <w:vAlign w:val="center"/>
          </w:tcPr>
          <w:p w14:paraId="59AAEE01" w14:textId="77777777" w:rsidR="00DF4B58" w:rsidRPr="00DF4B58" w:rsidRDefault="00DF4B58" w:rsidP="0045742B">
            <w:pPr>
              <w:spacing w:after="240"/>
            </w:pPr>
            <w:r w:rsidRPr="00DF4B58">
              <w:t>Before the Visit</w:t>
            </w:r>
          </w:p>
        </w:tc>
        <w:tc>
          <w:tcPr>
            <w:tcW w:w="3330" w:type="dxa"/>
            <w:vAlign w:val="center"/>
          </w:tcPr>
          <w:p w14:paraId="0D798065" w14:textId="77777777" w:rsidR="00DF4B58" w:rsidRPr="00DF4B58" w:rsidRDefault="00DF4B58" w:rsidP="0045742B">
            <w:pPr>
              <w:spacing w:after="240"/>
              <w:cnfStyle w:val="100000000000" w:firstRow="1" w:lastRow="0" w:firstColumn="0" w:lastColumn="0" w:oddVBand="0" w:evenVBand="0" w:oddHBand="0" w:evenHBand="0" w:firstRowFirstColumn="0" w:firstRowLastColumn="0" w:lastRowFirstColumn="0" w:lastRowLastColumn="0"/>
            </w:pPr>
            <w:r w:rsidRPr="00DF4B58">
              <w:t>During the Visit</w:t>
            </w:r>
          </w:p>
        </w:tc>
        <w:tc>
          <w:tcPr>
            <w:tcW w:w="3510" w:type="dxa"/>
            <w:vAlign w:val="center"/>
          </w:tcPr>
          <w:p w14:paraId="093F68FA" w14:textId="77777777" w:rsidR="00DF4B58" w:rsidRPr="00DF4B58" w:rsidRDefault="00DF4B58" w:rsidP="0045742B">
            <w:pPr>
              <w:spacing w:after="240"/>
              <w:cnfStyle w:val="100000000000" w:firstRow="1" w:lastRow="0" w:firstColumn="0" w:lastColumn="0" w:oddVBand="0" w:evenVBand="0" w:oddHBand="0" w:evenHBand="0" w:firstRowFirstColumn="0" w:firstRowLastColumn="0" w:lastRowFirstColumn="0" w:lastRowLastColumn="0"/>
            </w:pPr>
            <w:r w:rsidRPr="00DF4B58">
              <w:t>After the Visit</w:t>
            </w:r>
          </w:p>
        </w:tc>
      </w:tr>
      <w:tr w:rsidR="00DF4B58" w:rsidRPr="00DF4B58" w14:paraId="7CEE5D91" w14:textId="77777777" w:rsidTr="00DF4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1B4BC632" w14:textId="77777777" w:rsidR="00DF4B58" w:rsidRPr="00DF4B58" w:rsidRDefault="00DF4B58" w:rsidP="0045742B">
            <w:pPr>
              <w:numPr>
                <w:ilvl w:val="0"/>
                <w:numId w:val="21"/>
              </w:numPr>
              <w:spacing w:after="240" w:line="276" w:lineRule="auto"/>
              <w:rPr>
                <w:b w:val="0"/>
              </w:rPr>
            </w:pPr>
            <w:r w:rsidRPr="00DF4B58">
              <w:rPr>
                <w:b w:val="0"/>
              </w:rPr>
              <w:t>Establish Expectations</w:t>
            </w:r>
          </w:p>
          <w:p w14:paraId="44FF2556" w14:textId="77777777" w:rsidR="00DF4B58" w:rsidRPr="00DF4B58" w:rsidRDefault="00DF4B58" w:rsidP="0045742B">
            <w:pPr>
              <w:numPr>
                <w:ilvl w:val="0"/>
                <w:numId w:val="21"/>
              </w:numPr>
              <w:spacing w:after="240" w:line="276" w:lineRule="auto"/>
              <w:rPr>
                <w:b w:val="0"/>
              </w:rPr>
            </w:pPr>
            <w:r w:rsidRPr="00DF4B58">
              <w:rPr>
                <w:b w:val="0"/>
              </w:rPr>
              <w:t xml:space="preserve">Review Artifacts and Develop Visit Focus </w:t>
            </w:r>
          </w:p>
          <w:p w14:paraId="0B481E6D" w14:textId="77777777" w:rsidR="00DF4B58" w:rsidRPr="00DF4B58" w:rsidRDefault="00DF4B58" w:rsidP="0045742B">
            <w:pPr>
              <w:numPr>
                <w:ilvl w:val="0"/>
                <w:numId w:val="21"/>
              </w:numPr>
              <w:spacing w:after="240" w:line="276" w:lineRule="auto"/>
              <w:rPr>
                <w:b w:val="0"/>
              </w:rPr>
            </w:pPr>
            <w:r w:rsidRPr="00DF4B58">
              <w:rPr>
                <w:b w:val="0"/>
              </w:rPr>
              <w:t>Establish Time, Agenda and Preparation Required</w:t>
            </w:r>
          </w:p>
          <w:p w14:paraId="68C3E854" w14:textId="77777777" w:rsidR="00DF4B58" w:rsidRPr="00DF4B58" w:rsidRDefault="00DF4B58" w:rsidP="0045742B">
            <w:pPr>
              <w:spacing w:after="240"/>
              <w:rPr>
                <w:b w:val="0"/>
              </w:rPr>
            </w:pPr>
          </w:p>
        </w:tc>
        <w:tc>
          <w:tcPr>
            <w:tcW w:w="3330" w:type="dxa"/>
          </w:tcPr>
          <w:p w14:paraId="3EB4C937" w14:textId="77777777" w:rsidR="00DF4B58" w:rsidRPr="00DF4B58" w:rsidRDefault="00DF4B58" w:rsidP="0045742B">
            <w:pPr>
              <w:numPr>
                <w:ilvl w:val="0"/>
                <w:numId w:val="21"/>
              </w:numPr>
              <w:spacing w:after="240" w:line="276" w:lineRule="auto"/>
              <w:cnfStyle w:val="000000100000" w:firstRow="0" w:lastRow="0" w:firstColumn="0" w:lastColumn="0" w:oddVBand="0" w:evenVBand="0" w:oddHBand="1" w:evenHBand="0" w:firstRowFirstColumn="0" w:firstRowLastColumn="0" w:lastRowFirstColumn="0" w:lastRowLastColumn="0"/>
            </w:pPr>
            <w:r w:rsidRPr="00DF4B58">
              <w:t>Observe with a Specific Focus</w:t>
            </w:r>
          </w:p>
          <w:p w14:paraId="38980FA2" w14:textId="77777777" w:rsidR="00DF4B58" w:rsidRPr="00DF4B58" w:rsidRDefault="00DF4B58" w:rsidP="0045742B">
            <w:pPr>
              <w:numPr>
                <w:ilvl w:val="0"/>
                <w:numId w:val="21"/>
              </w:numPr>
              <w:spacing w:after="240" w:line="276" w:lineRule="auto"/>
              <w:cnfStyle w:val="000000100000" w:firstRow="0" w:lastRow="0" w:firstColumn="0" w:lastColumn="0" w:oddVBand="0" w:evenVBand="0" w:oddHBand="1" w:evenHBand="0" w:firstRowFirstColumn="0" w:firstRowLastColumn="0" w:lastRowFirstColumn="0" w:lastRowLastColumn="0"/>
            </w:pPr>
            <w:r w:rsidRPr="00DF4B58">
              <w:t>Debrief What You Observed and Read</w:t>
            </w:r>
          </w:p>
          <w:p w14:paraId="3C9C8CB9" w14:textId="77777777" w:rsidR="00DF4B58" w:rsidRPr="00DF4B58" w:rsidRDefault="00DF4B58" w:rsidP="0045742B">
            <w:pPr>
              <w:numPr>
                <w:ilvl w:val="0"/>
                <w:numId w:val="21"/>
              </w:numPr>
              <w:spacing w:after="240" w:line="276" w:lineRule="auto"/>
              <w:cnfStyle w:val="000000100000" w:firstRow="0" w:lastRow="0" w:firstColumn="0" w:lastColumn="0" w:oddVBand="0" w:evenVBand="0" w:oddHBand="1" w:evenHBand="0" w:firstRowFirstColumn="0" w:firstRowLastColumn="0" w:lastRowFirstColumn="0" w:lastRowLastColumn="0"/>
            </w:pPr>
            <w:r w:rsidRPr="00DF4B58">
              <w:t xml:space="preserve">Share Feedback </w:t>
            </w:r>
          </w:p>
          <w:p w14:paraId="5CCF6B00" w14:textId="77777777" w:rsidR="00DF4B58" w:rsidRPr="00DF4B58" w:rsidRDefault="00DF4B58" w:rsidP="0045742B">
            <w:pPr>
              <w:numPr>
                <w:ilvl w:val="0"/>
                <w:numId w:val="21"/>
              </w:numPr>
              <w:spacing w:after="240" w:line="276" w:lineRule="auto"/>
              <w:cnfStyle w:val="000000100000" w:firstRow="0" w:lastRow="0" w:firstColumn="0" w:lastColumn="0" w:oddVBand="0" w:evenVBand="0" w:oddHBand="1" w:evenHBand="0" w:firstRowFirstColumn="0" w:firstRowLastColumn="0" w:lastRowFirstColumn="0" w:lastRowLastColumn="0"/>
            </w:pPr>
            <w:r w:rsidRPr="00DF4B58">
              <w:t xml:space="preserve">Agree on Next Steps </w:t>
            </w:r>
            <w:r w:rsidR="0052127D">
              <w:t>and</w:t>
            </w:r>
            <w:r w:rsidR="0052127D" w:rsidRPr="00DF4B58">
              <w:t xml:space="preserve"> </w:t>
            </w:r>
            <w:r w:rsidRPr="00DF4B58">
              <w:t>Plan for Accountability</w:t>
            </w:r>
          </w:p>
        </w:tc>
        <w:tc>
          <w:tcPr>
            <w:tcW w:w="3510" w:type="dxa"/>
          </w:tcPr>
          <w:p w14:paraId="1C48B804" w14:textId="77777777" w:rsidR="00DF4B58" w:rsidRPr="00DF4B58" w:rsidRDefault="00DF4B58" w:rsidP="0045742B">
            <w:pPr>
              <w:numPr>
                <w:ilvl w:val="0"/>
                <w:numId w:val="21"/>
              </w:numPr>
              <w:spacing w:after="240" w:line="276" w:lineRule="auto"/>
              <w:cnfStyle w:val="000000100000" w:firstRow="0" w:lastRow="0" w:firstColumn="0" w:lastColumn="0" w:oddVBand="0" w:evenVBand="0" w:oddHBand="1" w:evenHBand="0" w:firstRowFirstColumn="0" w:firstRowLastColumn="0" w:lastRowFirstColumn="0" w:lastRowLastColumn="0"/>
            </w:pPr>
            <w:r w:rsidRPr="00DF4B58">
              <w:t>Hold Each Other Accountable for Next Steps</w:t>
            </w:r>
          </w:p>
          <w:p w14:paraId="2CC84334" w14:textId="77777777" w:rsidR="00DF4B58" w:rsidRPr="00DF4B58" w:rsidRDefault="00DF4B58" w:rsidP="0045742B">
            <w:pPr>
              <w:numPr>
                <w:ilvl w:val="0"/>
                <w:numId w:val="21"/>
              </w:numPr>
              <w:spacing w:after="240" w:line="276" w:lineRule="auto"/>
              <w:cnfStyle w:val="000000100000" w:firstRow="0" w:lastRow="0" w:firstColumn="0" w:lastColumn="0" w:oddVBand="0" w:evenVBand="0" w:oddHBand="1" w:evenHBand="0" w:firstRowFirstColumn="0" w:firstRowLastColumn="0" w:lastRowFirstColumn="0" w:lastRowLastColumn="0"/>
            </w:pPr>
            <w:r w:rsidRPr="00DF4B58">
              <w:t>Review Artifacts</w:t>
            </w:r>
          </w:p>
          <w:p w14:paraId="19C6DBE3" w14:textId="77777777" w:rsidR="00DF4B58" w:rsidRPr="00DF4B58" w:rsidRDefault="00DF4B58" w:rsidP="0045742B">
            <w:pPr>
              <w:numPr>
                <w:ilvl w:val="0"/>
                <w:numId w:val="21"/>
              </w:numPr>
              <w:spacing w:after="240" w:line="276" w:lineRule="auto"/>
              <w:cnfStyle w:val="000000100000" w:firstRow="0" w:lastRow="0" w:firstColumn="0" w:lastColumn="0" w:oddVBand="0" w:evenVBand="0" w:oddHBand="1" w:evenHBand="0" w:firstRowFirstColumn="0" w:firstRowLastColumn="0" w:lastRowFirstColumn="0" w:lastRowLastColumn="0"/>
            </w:pPr>
            <w:r w:rsidRPr="00DF4B58">
              <w:t>Reflect, Prepare Feedback &amp; Address Implications</w:t>
            </w:r>
          </w:p>
        </w:tc>
      </w:tr>
    </w:tbl>
    <w:p w14:paraId="5F88762A" w14:textId="77777777" w:rsidR="00016EAB" w:rsidRDefault="00016EAB" w:rsidP="00016EAB">
      <w:pPr>
        <w:spacing w:after="0"/>
        <w:rPr>
          <w:b/>
          <w:color w:val="17365D" w:themeColor="text2" w:themeShade="BF"/>
        </w:rPr>
      </w:pPr>
    </w:p>
    <w:p w14:paraId="112A1814" w14:textId="35206B8E" w:rsidR="00DF4B58" w:rsidRPr="00DF4B58" w:rsidRDefault="0058103A" w:rsidP="00016EAB">
      <w:pPr>
        <w:spacing w:after="0"/>
        <w:rPr>
          <w:color w:val="17365D" w:themeColor="text2" w:themeShade="BF"/>
        </w:rPr>
      </w:pPr>
      <w:hyperlink r:id="rId16" w:history="1">
        <w:r w:rsidR="006E24C1" w:rsidRPr="001017BB">
          <w:rPr>
            <w:rStyle w:val="Hyperlink"/>
            <w:b/>
          </w:rPr>
          <w:t xml:space="preserve">School Visit </w:t>
        </w:r>
        <w:r w:rsidR="00DF4B58" w:rsidRPr="001017BB">
          <w:rPr>
            <w:rStyle w:val="Hyperlink"/>
            <w:b/>
          </w:rPr>
          <w:t>Protocol #1</w:t>
        </w:r>
        <w:r w:rsidR="001017BB" w:rsidRPr="001017BB">
          <w:rPr>
            <w:rStyle w:val="Hyperlink"/>
            <w:b/>
          </w:rPr>
          <w:t xml:space="preserve">     </w:t>
        </w:r>
        <w:r w:rsidR="006E24C1" w:rsidRPr="001017BB">
          <w:rPr>
            <w:rStyle w:val="Hyperlink"/>
            <w:b/>
          </w:rPr>
          <w:t xml:space="preserve">Classroom </w:t>
        </w:r>
        <w:r w:rsidR="00DF4B58" w:rsidRPr="001017BB">
          <w:rPr>
            <w:rStyle w:val="Hyperlink"/>
            <w:b/>
          </w:rPr>
          <w:t>Observation and Feedback</w:t>
        </w:r>
      </w:hyperlink>
      <w:r w:rsidR="00DF4B58" w:rsidRPr="00DF4B58">
        <w:rPr>
          <w:color w:val="17365D" w:themeColor="text2" w:themeShade="BF"/>
        </w:rPr>
        <w:t xml:space="preserve"> (A resource for Standard I) </w:t>
      </w:r>
    </w:p>
    <w:p w14:paraId="16EA838C" w14:textId="609BFD2B" w:rsidR="00DF4B58" w:rsidRPr="00DF4B58" w:rsidRDefault="00DF4B58" w:rsidP="0045742B">
      <w:pPr>
        <w:spacing w:after="240"/>
      </w:pPr>
      <w:r w:rsidRPr="00DF4B58">
        <w:t xml:space="preserve">The resource for Standard I is a school visit protocol a superintendent can use to gather evidence about the principal’s work related to observing teaching practice and providing useful feedback to </w:t>
      </w:r>
      <w:r>
        <w:t xml:space="preserve">the </w:t>
      </w:r>
      <w:r w:rsidRPr="00DF4B58">
        <w:t xml:space="preserve">teacher. Superintendents gather evidence and also guide and support the principal’s development as they observe 2-4 classrooms together and debrief afterwards with a focus on the principal’s prior and planned feedback. This protocol places primary focus on </w:t>
      </w:r>
      <w:r w:rsidR="001017BB">
        <w:t xml:space="preserve">ensuring high-quality observation feedback to teachers (I-D-3) </w:t>
      </w:r>
      <w:r w:rsidRPr="00DF4B58">
        <w:t>and offers options for prioritizing specific elements within Standards I and II.</w:t>
      </w:r>
    </w:p>
    <w:p w14:paraId="3DC541E4" w14:textId="3079F062" w:rsidR="00DF4B58" w:rsidRPr="00DF4B58" w:rsidRDefault="0058103A" w:rsidP="00016EAB">
      <w:pPr>
        <w:spacing w:after="0"/>
        <w:rPr>
          <w:color w:val="17365D" w:themeColor="text2" w:themeShade="BF"/>
        </w:rPr>
      </w:pPr>
      <w:hyperlink r:id="rId17" w:history="1">
        <w:r w:rsidR="006E24C1" w:rsidRPr="001017BB">
          <w:rPr>
            <w:rStyle w:val="Hyperlink"/>
            <w:b/>
          </w:rPr>
          <w:t xml:space="preserve">School Visit </w:t>
        </w:r>
        <w:r w:rsidR="00DF4B58" w:rsidRPr="001017BB">
          <w:rPr>
            <w:rStyle w:val="Hyperlink"/>
            <w:b/>
          </w:rPr>
          <w:t>Protocol #2</w:t>
        </w:r>
        <w:r w:rsidR="00DF4B58" w:rsidRPr="001017BB">
          <w:rPr>
            <w:rStyle w:val="Hyperlink"/>
            <w:b/>
          </w:rPr>
          <w:tab/>
        </w:r>
        <w:r w:rsidR="001017BB" w:rsidRPr="001017BB">
          <w:rPr>
            <w:rStyle w:val="Hyperlink"/>
            <w:b/>
          </w:rPr>
          <w:t xml:space="preserve">     </w:t>
        </w:r>
        <w:r w:rsidR="00DF4B58" w:rsidRPr="001017BB">
          <w:rPr>
            <w:rStyle w:val="Hyperlink"/>
            <w:b/>
          </w:rPr>
          <w:t>Student Culture and Climate</w:t>
        </w:r>
      </w:hyperlink>
      <w:r w:rsidR="00DF4B58" w:rsidRPr="00DF4B58">
        <w:rPr>
          <w:color w:val="17365D" w:themeColor="text2" w:themeShade="BF"/>
        </w:rPr>
        <w:t xml:space="preserve"> (A </w:t>
      </w:r>
      <w:r w:rsidR="0052127D">
        <w:rPr>
          <w:color w:val="17365D" w:themeColor="text2" w:themeShade="BF"/>
        </w:rPr>
        <w:t>r</w:t>
      </w:r>
      <w:r w:rsidR="0052127D" w:rsidRPr="00DF4B58">
        <w:rPr>
          <w:color w:val="17365D" w:themeColor="text2" w:themeShade="BF"/>
        </w:rPr>
        <w:t xml:space="preserve">esource </w:t>
      </w:r>
      <w:r w:rsidR="00DF4B58" w:rsidRPr="00DF4B58">
        <w:rPr>
          <w:color w:val="17365D" w:themeColor="text2" w:themeShade="BF"/>
        </w:rPr>
        <w:t>for Standard II)</w:t>
      </w:r>
    </w:p>
    <w:p w14:paraId="537D8BDD" w14:textId="77777777" w:rsidR="00DF4B58" w:rsidRPr="00DF4B58" w:rsidRDefault="00DF4B58" w:rsidP="0045742B">
      <w:pPr>
        <w:spacing w:after="240"/>
      </w:pPr>
      <w:r w:rsidRPr="00DF4B58">
        <w:t xml:space="preserve">This is a protocol for a school visit, principal conference and artifact review designed to collect evidence for guiding, supporting and assessing the principal’s performance in establishing effective Operational Systems and Routines (II-A-1) and ensuring students’ Social Emotional Well-Being (II-A-2) and Health and Safety (II-A-3). </w:t>
      </w:r>
    </w:p>
    <w:p w14:paraId="126B746E" w14:textId="080C85BA" w:rsidR="00DF4B58" w:rsidRPr="00DF4B58" w:rsidRDefault="0058103A" w:rsidP="00016EAB">
      <w:pPr>
        <w:spacing w:after="0"/>
        <w:rPr>
          <w:color w:val="17365D" w:themeColor="text2" w:themeShade="BF"/>
        </w:rPr>
      </w:pPr>
      <w:hyperlink r:id="rId18" w:history="1">
        <w:r w:rsidR="006E24C1" w:rsidRPr="001017BB">
          <w:rPr>
            <w:rStyle w:val="Hyperlink"/>
            <w:b/>
          </w:rPr>
          <w:t xml:space="preserve">School Visit </w:t>
        </w:r>
        <w:r w:rsidR="001017BB" w:rsidRPr="001017BB">
          <w:rPr>
            <w:rStyle w:val="Hyperlink"/>
            <w:b/>
          </w:rPr>
          <w:t xml:space="preserve">Protocol #3     </w:t>
        </w:r>
        <w:r w:rsidR="00DF4B58" w:rsidRPr="001017BB">
          <w:rPr>
            <w:rStyle w:val="Hyperlink"/>
            <w:b/>
          </w:rPr>
          <w:t>Family Engagement</w:t>
        </w:r>
      </w:hyperlink>
      <w:r w:rsidR="00DF4B58" w:rsidRPr="00DF4B58">
        <w:rPr>
          <w:color w:val="17365D" w:themeColor="text2" w:themeShade="BF"/>
        </w:rPr>
        <w:t xml:space="preserve"> (A </w:t>
      </w:r>
      <w:r w:rsidR="0052127D">
        <w:rPr>
          <w:color w:val="17365D" w:themeColor="text2" w:themeShade="BF"/>
        </w:rPr>
        <w:t>r</w:t>
      </w:r>
      <w:r w:rsidR="0052127D" w:rsidRPr="00DF4B58">
        <w:rPr>
          <w:color w:val="17365D" w:themeColor="text2" w:themeShade="BF"/>
        </w:rPr>
        <w:t xml:space="preserve">esource </w:t>
      </w:r>
      <w:r w:rsidR="00DF4B58" w:rsidRPr="00DF4B58">
        <w:rPr>
          <w:color w:val="17365D" w:themeColor="text2" w:themeShade="BF"/>
        </w:rPr>
        <w:t>for Standard III)</w:t>
      </w:r>
    </w:p>
    <w:p w14:paraId="3F5E5CF4" w14:textId="77777777" w:rsidR="00016EAB" w:rsidRPr="008B2CF4" w:rsidRDefault="00DF4B58" w:rsidP="008B2CF4">
      <w:pPr>
        <w:spacing w:after="240"/>
      </w:pPr>
      <w:r w:rsidRPr="00DF4B58">
        <w:t xml:space="preserve">This is a protocol for a school visit, principal conference and artifact review designed to assess the principal’s progress in engaging, supporting and communicating with families. This protocol focuses on Family Engagement (III-A-1), Family Support (III-B-2), and Culturally Proficient Communication (III-C-1).   </w:t>
      </w:r>
    </w:p>
    <w:p w14:paraId="2220D0F0" w14:textId="77777777" w:rsidR="008B2CF4" w:rsidRDefault="008B2CF4" w:rsidP="00016EAB">
      <w:pPr>
        <w:spacing w:after="0"/>
        <w:rPr>
          <w:b/>
          <w:color w:val="17365D" w:themeColor="text2" w:themeShade="BF"/>
        </w:rPr>
      </w:pPr>
    </w:p>
    <w:p w14:paraId="5FFC47ED" w14:textId="77777777" w:rsidR="008B2CF4" w:rsidRDefault="008B2CF4" w:rsidP="00016EAB">
      <w:pPr>
        <w:spacing w:after="0"/>
        <w:rPr>
          <w:b/>
          <w:color w:val="17365D" w:themeColor="text2" w:themeShade="BF"/>
        </w:rPr>
      </w:pPr>
    </w:p>
    <w:p w14:paraId="6C602689" w14:textId="0A886932" w:rsidR="00DF4B58" w:rsidRPr="00DF4B58" w:rsidRDefault="0058103A" w:rsidP="7CBDD268">
      <w:pPr>
        <w:spacing w:after="0"/>
        <w:rPr>
          <w:color w:val="17365D" w:themeColor="text2" w:themeShade="BF"/>
        </w:rPr>
      </w:pPr>
      <w:hyperlink r:id="rId19" w:history="1">
        <w:r w:rsidR="006E24C1" w:rsidRPr="001017BB">
          <w:rPr>
            <w:rStyle w:val="Hyperlink"/>
            <w:b/>
            <w:bCs/>
          </w:rPr>
          <w:t xml:space="preserve">School Visit </w:t>
        </w:r>
        <w:r w:rsidR="00DF4B58" w:rsidRPr="001017BB">
          <w:rPr>
            <w:rStyle w:val="Hyperlink"/>
            <w:b/>
            <w:bCs/>
          </w:rPr>
          <w:t>Protocol #4A</w:t>
        </w:r>
        <w:r w:rsidR="001017BB">
          <w:rPr>
            <w:rStyle w:val="Hyperlink"/>
            <w:b/>
          </w:rPr>
          <w:t xml:space="preserve">    </w:t>
        </w:r>
        <w:r w:rsidR="00DF4B58" w:rsidRPr="001017BB">
          <w:rPr>
            <w:rStyle w:val="Hyperlink"/>
            <w:b/>
            <w:bCs/>
          </w:rPr>
          <w:t>Professional Culture</w:t>
        </w:r>
      </w:hyperlink>
      <w:r w:rsidR="00DF4B58" w:rsidRPr="7CBDD268">
        <w:rPr>
          <w:b/>
          <w:bCs/>
          <w:color w:val="17365D" w:themeColor="text2" w:themeShade="BF"/>
        </w:rPr>
        <w:t xml:space="preserve"> </w:t>
      </w:r>
      <w:r w:rsidR="00DF4B58" w:rsidRPr="00DF4B58">
        <w:rPr>
          <w:color w:val="17365D" w:themeColor="text2" w:themeShade="BF"/>
        </w:rPr>
        <w:t xml:space="preserve">(A </w:t>
      </w:r>
      <w:r w:rsidR="0052127D">
        <w:rPr>
          <w:color w:val="17365D" w:themeColor="text2" w:themeShade="BF"/>
        </w:rPr>
        <w:t>r</w:t>
      </w:r>
      <w:r w:rsidR="0052127D" w:rsidRPr="00DF4B58">
        <w:rPr>
          <w:color w:val="17365D" w:themeColor="text2" w:themeShade="BF"/>
        </w:rPr>
        <w:t xml:space="preserve">esource </w:t>
      </w:r>
      <w:r w:rsidR="00DF4B58" w:rsidRPr="00DF4B58">
        <w:rPr>
          <w:color w:val="17365D" w:themeColor="text2" w:themeShade="BF"/>
        </w:rPr>
        <w:t>for Standard IV)</w:t>
      </w:r>
    </w:p>
    <w:p w14:paraId="3FB35500" w14:textId="4943CDEF" w:rsidR="00DF4B58" w:rsidRPr="00DF4B58" w:rsidRDefault="00DF4B58" w:rsidP="0045742B">
      <w:pPr>
        <w:spacing w:after="240"/>
      </w:pPr>
      <w:r w:rsidRPr="00DF4B58">
        <w:t xml:space="preserve">The first resource for Standard IV is a protocol for a school visit, conference and artifact review designed to gather information about the principal’s work building a healthy professional culture with primary focus on </w:t>
      </w:r>
      <w:r w:rsidRPr="0045742B">
        <w:t xml:space="preserve">Meetings </w:t>
      </w:r>
      <w:r w:rsidRPr="00DF4B58">
        <w:t xml:space="preserve">(IV-A-3), and secondary focus on </w:t>
      </w:r>
      <w:r w:rsidR="00381DBD">
        <w:t xml:space="preserve">Mission and Core Values (IV-A-2), </w:t>
      </w:r>
      <w:r w:rsidRPr="0045742B">
        <w:t>Communication Skills</w:t>
      </w:r>
      <w:r w:rsidRPr="00971C89">
        <w:t xml:space="preserve"> (IV-C-1) </w:t>
      </w:r>
      <w:r w:rsidR="00381DBD">
        <w:t xml:space="preserve">Shared Vision Development (IV-E-1) </w:t>
      </w:r>
      <w:r w:rsidRPr="00971C89">
        <w:t xml:space="preserve">and </w:t>
      </w:r>
      <w:r w:rsidRPr="0045742B">
        <w:t>Managing Conflict</w:t>
      </w:r>
      <w:r w:rsidRPr="00DF4B58">
        <w:t xml:space="preserve"> (IV-F). In this protocol, the superintendent observes the principal leading a meeting of a school team</w:t>
      </w:r>
      <w:r w:rsidR="00D164B2">
        <w:t xml:space="preserve"> or faculty</w:t>
      </w:r>
      <w:r w:rsidRPr="00DF4B58">
        <w:t xml:space="preserve"> and debriefs with the principal afterwards. This protocol makes optional use of a portion of </w:t>
      </w:r>
      <w:hyperlink r:id="rId20" w:history="1">
        <w:r w:rsidRPr="001017BB">
          <w:rPr>
            <w:rStyle w:val="Hyperlink"/>
          </w:rPr>
          <w:t>DESE’s Model Staff Feedback Survey</w:t>
        </w:r>
      </w:hyperlink>
      <w:r w:rsidR="001017BB">
        <w:t>.</w:t>
      </w:r>
    </w:p>
    <w:p w14:paraId="5DD0A4F5" w14:textId="776BE684" w:rsidR="00DF4B58" w:rsidRPr="00DF4B58" w:rsidRDefault="006E24C1" w:rsidP="00016EAB">
      <w:pPr>
        <w:spacing w:after="0"/>
        <w:rPr>
          <w:color w:val="17365D" w:themeColor="text2" w:themeShade="BF"/>
        </w:rPr>
      </w:pPr>
      <w:r>
        <w:rPr>
          <w:b/>
          <w:color w:val="17365D" w:themeColor="text2" w:themeShade="BF"/>
        </w:rPr>
        <w:t xml:space="preserve">School Visit </w:t>
      </w:r>
      <w:r w:rsidR="001017BB">
        <w:rPr>
          <w:b/>
          <w:color w:val="17365D" w:themeColor="text2" w:themeShade="BF"/>
        </w:rPr>
        <w:t xml:space="preserve">Protocol #4B    </w:t>
      </w:r>
      <w:r w:rsidR="00DF4B58" w:rsidRPr="0045742B">
        <w:rPr>
          <w:b/>
          <w:color w:val="17365D" w:themeColor="text2" w:themeShade="BF"/>
        </w:rPr>
        <w:t>Cultural Proficiency</w:t>
      </w:r>
      <w:r w:rsidR="00DF4B58" w:rsidRPr="001017BB">
        <w:rPr>
          <w:b/>
          <w:color w:val="17365D" w:themeColor="text2" w:themeShade="BF"/>
        </w:rPr>
        <w:t xml:space="preserve"> </w:t>
      </w:r>
      <w:r w:rsidR="00DF4B58" w:rsidRPr="001017BB">
        <w:rPr>
          <w:color w:val="17365D" w:themeColor="text2" w:themeShade="BF"/>
        </w:rPr>
        <w:t>(</w:t>
      </w:r>
      <w:r w:rsidR="0052127D" w:rsidRPr="001017BB">
        <w:rPr>
          <w:color w:val="17365D" w:themeColor="text2" w:themeShade="BF"/>
        </w:rPr>
        <w:t xml:space="preserve">A resource </w:t>
      </w:r>
      <w:r w:rsidR="00DF4B58" w:rsidRPr="001017BB">
        <w:rPr>
          <w:color w:val="17365D" w:themeColor="text2" w:themeShade="BF"/>
        </w:rPr>
        <w:t>for Standard IV)</w:t>
      </w:r>
      <w:r w:rsidR="00DF4B58" w:rsidRPr="001017BB">
        <w:rPr>
          <w:b/>
          <w:color w:val="17365D" w:themeColor="text2" w:themeShade="BF"/>
        </w:rPr>
        <w:t xml:space="preserve"> </w:t>
      </w:r>
      <w:r w:rsidR="001017BB" w:rsidRPr="001017BB">
        <w:rPr>
          <w:i/>
          <w:color w:val="17365D" w:themeColor="text2" w:themeShade="BF"/>
        </w:rPr>
        <w:t>– coming soon</w:t>
      </w:r>
    </w:p>
    <w:p w14:paraId="2855418B" w14:textId="53D21EEF" w:rsidR="008B2CF4" w:rsidRPr="00D20B24" w:rsidRDefault="008B2CF4" w:rsidP="008B2CF4">
      <w:pPr>
        <w:rPr>
          <w:sz w:val="24"/>
          <w:szCs w:val="24"/>
        </w:rPr>
      </w:pPr>
      <w:r w:rsidRPr="00D20B24">
        <w:t xml:space="preserve">The second resource for Standard IV is a school visit protocol designed to gather evidence about the effectiveness of the policies and practices in place to enable staff and students to interact effectively in a culturally responsive environment (IV-B). In this protocol, the superintendent and principal together observe students interacting with one another and with adults in public spaces, talk with a group of students and/or staff, and examine artifacts, policies and practices related to culturally responsive teaching and leading. This protocol makes optional use of portions of both the </w:t>
      </w:r>
      <w:hyperlink r:id="rId21" w:history="1">
        <w:r w:rsidRPr="001017BB">
          <w:rPr>
            <w:rStyle w:val="Hyperlink"/>
          </w:rPr>
          <w:t>DESE Model Student and Staff Feedback Surveys</w:t>
        </w:r>
      </w:hyperlink>
      <w:r w:rsidRPr="00D20B24">
        <w:t xml:space="preserve"> and DESE’s annual </w:t>
      </w:r>
      <w:hyperlink r:id="rId22" w:history="1">
        <w:r w:rsidRPr="001017BB">
          <w:rPr>
            <w:rStyle w:val="Hyperlink"/>
          </w:rPr>
          <w:t>VOCAL (Views of Climate and Learning) student survey</w:t>
        </w:r>
      </w:hyperlink>
      <w:r w:rsidRPr="00D20B24">
        <w:t>.</w:t>
      </w:r>
    </w:p>
    <w:p w14:paraId="69C0329B" w14:textId="77777777" w:rsidR="00744EEA" w:rsidRDefault="00744EEA" w:rsidP="0045742B">
      <w:pPr>
        <w:spacing w:after="240"/>
      </w:pPr>
    </w:p>
    <w:p w14:paraId="0D625E98" w14:textId="435DCECA" w:rsidR="008B2CF4" w:rsidRDefault="008B2CF4" w:rsidP="0045742B">
      <w:pPr>
        <w:spacing w:after="240"/>
      </w:pPr>
    </w:p>
    <w:sectPr w:rsidR="008B2CF4" w:rsidSect="000C0BC3">
      <w:headerReference w:type="default" r:id="rId23"/>
      <w:footerReference w:type="default" r:id="rId2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3E43A" w14:textId="77777777" w:rsidR="0058103A" w:rsidRDefault="0058103A" w:rsidP="000D2E6C">
      <w:pPr>
        <w:spacing w:after="0" w:line="240" w:lineRule="auto"/>
      </w:pPr>
      <w:r>
        <w:separator/>
      </w:r>
    </w:p>
  </w:endnote>
  <w:endnote w:type="continuationSeparator" w:id="0">
    <w:p w14:paraId="03AD8C39" w14:textId="77777777" w:rsidR="0058103A" w:rsidRDefault="0058103A" w:rsidP="000D2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olBoran">
    <w:altName w:val="Leelawadee UI"/>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8B244" w14:textId="77777777" w:rsidR="00D164B2" w:rsidRDefault="00D164B2">
    <w:pPr>
      <w:pStyle w:val="Footer"/>
    </w:pPr>
    <w:r>
      <w:ptab w:relativeTo="margin" w:alignment="center" w:leader="none"/>
    </w:r>
    <w:r>
      <w:t xml:space="preserve">For specific information or additional support in these efforts, contact </w:t>
    </w:r>
    <w:hyperlink r:id="rId1" w:history="1">
      <w:r w:rsidRPr="0042406B">
        <w:rPr>
          <w:rStyle w:val="Hyperlink"/>
        </w:rPr>
        <w:t>educatordevelopment@doe.mass.edu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55E85" w14:textId="77777777" w:rsidR="0058103A" w:rsidRDefault="0058103A" w:rsidP="000D2E6C">
      <w:pPr>
        <w:spacing w:after="0" w:line="240" w:lineRule="auto"/>
      </w:pPr>
      <w:r>
        <w:separator/>
      </w:r>
    </w:p>
  </w:footnote>
  <w:footnote w:type="continuationSeparator" w:id="0">
    <w:p w14:paraId="48FBC38F" w14:textId="77777777" w:rsidR="0058103A" w:rsidRDefault="0058103A" w:rsidP="000D2E6C">
      <w:pPr>
        <w:spacing w:after="0" w:line="240" w:lineRule="auto"/>
      </w:pPr>
      <w:r>
        <w:continuationSeparator/>
      </w:r>
    </w:p>
  </w:footnote>
  <w:footnote w:id="1">
    <w:p w14:paraId="7982E12F" w14:textId="7D26793F" w:rsidR="00D164B2" w:rsidRDefault="00D164B2" w:rsidP="008C5F34">
      <w:pPr>
        <w:pStyle w:val="FootnoteText"/>
      </w:pPr>
      <w:r w:rsidRPr="00B07CF0">
        <w:rPr>
          <w:rStyle w:val="FootnoteReference"/>
          <w:sz w:val="18"/>
        </w:rPr>
        <w:footnoteRef/>
      </w:r>
      <w:r w:rsidRPr="00B07CF0">
        <w:rPr>
          <w:sz w:val="18"/>
        </w:rPr>
        <w:t xml:space="preserve"> </w:t>
      </w:r>
      <w:hyperlink r:id="rId1" w:history="1">
        <w:r w:rsidR="001017BB" w:rsidRPr="008B10AF">
          <w:rPr>
            <w:rStyle w:val="Hyperlink"/>
            <w:sz w:val="18"/>
          </w:rPr>
          <w:t>2017-2018 Views of Instruction, State Standards, Teaching, and Assessment (VISTA) Survey</w:t>
        </w:r>
      </w:hyperlink>
    </w:p>
  </w:footnote>
  <w:footnote w:id="2">
    <w:p w14:paraId="2D05B76B" w14:textId="77777777" w:rsidR="00D164B2" w:rsidRDefault="00D164B2" w:rsidP="008C5F34">
      <w:pPr>
        <w:pStyle w:val="FootnoteText"/>
      </w:pPr>
      <w:r w:rsidRPr="00B07CF0">
        <w:rPr>
          <w:rStyle w:val="FootnoteReference"/>
          <w:sz w:val="18"/>
          <w:szCs w:val="18"/>
        </w:rPr>
        <w:footnoteRef/>
      </w:r>
      <w:r w:rsidRPr="00B07CF0">
        <w:rPr>
          <w:sz w:val="18"/>
          <w:szCs w:val="18"/>
        </w:rPr>
        <w:t xml:space="preserve"> 2018 VISTA Principal Survey – All Districts, pp. 27-28 and 2018 VISTA Superintendent Survey – All Districts, pp. 23-24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68" w:type="dxa"/>
      <w:tblBorders>
        <w:bottom w:val="single" w:sz="12" w:space="0" w:color="154786"/>
      </w:tblBorders>
      <w:tblLook w:val="04A0" w:firstRow="1" w:lastRow="0" w:firstColumn="1" w:lastColumn="0" w:noHBand="0" w:noVBand="1"/>
    </w:tblPr>
    <w:tblGrid>
      <w:gridCol w:w="6462"/>
      <w:gridCol w:w="3906"/>
    </w:tblGrid>
    <w:tr w:rsidR="00D164B2" w:rsidRPr="000962EA" w14:paraId="6382B2CE" w14:textId="77777777" w:rsidTr="005653C2">
      <w:trPr>
        <w:trHeight w:val="1350"/>
      </w:trPr>
      <w:tc>
        <w:tcPr>
          <w:tcW w:w="6462" w:type="dxa"/>
          <w:shd w:val="clear" w:color="auto" w:fill="FFFFFF"/>
          <w:vAlign w:val="center"/>
        </w:tcPr>
        <w:p w14:paraId="23F6CDF4" w14:textId="77777777" w:rsidR="00D164B2" w:rsidRPr="000962EA" w:rsidRDefault="00D164B2" w:rsidP="005653C2">
          <w:pPr>
            <w:pStyle w:val="Header"/>
            <w:rPr>
              <w:color w:val="1F497D" w:themeColor="text2"/>
              <w:sz w:val="48"/>
            </w:rPr>
          </w:pPr>
          <w:r w:rsidRPr="000962EA">
            <w:rPr>
              <w:color w:val="1F497D" w:themeColor="text2"/>
              <w:sz w:val="48"/>
            </w:rPr>
            <w:t xml:space="preserve">Educator </w:t>
          </w:r>
          <w:r>
            <w:rPr>
              <w:color w:val="1F497D" w:themeColor="text2"/>
              <w:sz w:val="48"/>
            </w:rPr>
            <w:t>Evaluation</w:t>
          </w:r>
          <w:r w:rsidRPr="000962EA">
            <w:rPr>
              <w:color w:val="1F497D" w:themeColor="text2"/>
              <w:sz w:val="48"/>
            </w:rPr>
            <w:t xml:space="preserve"> </w:t>
          </w:r>
        </w:p>
        <w:p w14:paraId="4E47DFCF" w14:textId="77777777" w:rsidR="00D164B2" w:rsidRPr="000D2E6C" w:rsidRDefault="00D164B2" w:rsidP="005653C2">
          <w:pPr>
            <w:pStyle w:val="Header"/>
            <w:rPr>
              <w:b/>
              <w:color w:val="E36C0A" w:themeColor="accent6" w:themeShade="BF"/>
              <w:sz w:val="28"/>
            </w:rPr>
          </w:pPr>
          <w:r w:rsidRPr="008C5F34">
            <w:rPr>
              <w:b/>
              <w:color w:val="E36C0A" w:themeColor="accent6" w:themeShade="BF"/>
              <w:sz w:val="28"/>
            </w:rPr>
            <w:t>Reinvigorating the principal evaluation process in Massachusetts</w:t>
          </w:r>
        </w:p>
      </w:tc>
      <w:tc>
        <w:tcPr>
          <w:tcW w:w="3906" w:type="dxa"/>
        </w:tcPr>
        <w:p w14:paraId="3661DDB1" w14:textId="32A09606" w:rsidR="00D164B2" w:rsidRPr="000962EA" w:rsidRDefault="001017BB" w:rsidP="0028456A">
          <w:pPr>
            <w:pStyle w:val="Header"/>
            <w:jc w:val="right"/>
          </w:pPr>
          <w:r>
            <w:rPr>
              <w:noProof/>
            </w:rPr>
            <w:drawing>
              <wp:inline distT="0" distB="0" distL="0" distR="0" wp14:anchorId="2C84B0E4" wp14:editId="382D0834">
                <wp:extent cx="1524000" cy="624840"/>
                <wp:effectExtent l="0" t="0" r="0" b="3810"/>
                <wp:docPr id="2"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24840"/>
                        </a:xfrm>
                        <a:prstGeom prst="rect">
                          <a:avLst/>
                        </a:prstGeom>
                        <a:noFill/>
                        <a:ln>
                          <a:noFill/>
                        </a:ln>
                      </pic:spPr>
                    </pic:pic>
                  </a:graphicData>
                </a:graphic>
              </wp:inline>
            </w:drawing>
          </w:r>
        </w:p>
      </w:tc>
    </w:tr>
  </w:tbl>
  <w:p w14:paraId="28126B12" w14:textId="77777777" w:rsidR="00D164B2" w:rsidRDefault="00D16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B888"/>
      </v:shape>
    </w:pict>
  </w:numPicBullet>
  <w:abstractNum w:abstractNumId="0" w15:restartNumberingAfterBreak="0">
    <w:nsid w:val="00D04922"/>
    <w:multiLevelType w:val="hybridMultilevel"/>
    <w:tmpl w:val="DD06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C4ACD"/>
    <w:multiLevelType w:val="hybridMultilevel"/>
    <w:tmpl w:val="C0CE4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42120"/>
    <w:multiLevelType w:val="hybridMultilevel"/>
    <w:tmpl w:val="AB963BEC"/>
    <w:lvl w:ilvl="0" w:tplc="06F2E742">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90195B"/>
    <w:multiLevelType w:val="hybridMultilevel"/>
    <w:tmpl w:val="FB882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709AF"/>
    <w:multiLevelType w:val="hybridMultilevel"/>
    <w:tmpl w:val="620AA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E4011"/>
    <w:multiLevelType w:val="hybridMultilevel"/>
    <w:tmpl w:val="26C850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D3FB4"/>
    <w:multiLevelType w:val="hybridMultilevel"/>
    <w:tmpl w:val="46268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F62F9"/>
    <w:multiLevelType w:val="hybridMultilevel"/>
    <w:tmpl w:val="EB5491A2"/>
    <w:lvl w:ilvl="0" w:tplc="39B6667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F7FAB"/>
    <w:multiLevelType w:val="hybridMultilevel"/>
    <w:tmpl w:val="2A6E43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06033"/>
    <w:multiLevelType w:val="hybridMultilevel"/>
    <w:tmpl w:val="83AC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92F0D"/>
    <w:multiLevelType w:val="hybridMultilevel"/>
    <w:tmpl w:val="AC0254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28290B"/>
    <w:multiLevelType w:val="hybridMultilevel"/>
    <w:tmpl w:val="6554CC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F1B96"/>
    <w:multiLevelType w:val="hybridMultilevel"/>
    <w:tmpl w:val="6660F7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F0B28"/>
    <w:multiLevelType w:val="hybridMultilevel"/>
    <w:tmpl w:val="DE18E8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040EA"/>
    <w:multiLevelType w:val="hybridMultilevel"/>
    <w:tmpl w:val="0E483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104648"/>
    <w:multiLevelType w:val="hybridMultilevel"/>
    <w:tmpl w:val="06D4710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337CB1"/>
    <w:multiLevelType w:val="hybridMultilevel"/>
    <w:tmpl w:val="A5A65E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45F85"/>
    <w:multiLevelType w:val="hybridMultilevel"/>
    <w:tmpl w:val="57E0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1602ED"/>
    <w:multiLevelType w:val="hybridMultilevel"/>
    <w:tmpl w:val="EA7674CC"/>
    <w:lvl w:ilvl="0" w:tplc="0409000F">
      <w:start w:val="1"/>
      <w:numFmt w:val="decimal"/>
      <w:lvlText w:val="%1."/>
      <w:lvlJc w:val="left"/>
      <w:pPr>
        <w:ind w:left="768" w:hanging="360"/>
      </w:pPr>
      <w:rPr>
        <w:rFonts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652D4C77"/>
    <w:multiLevelType w:val="hybridMultilevel"/>
    <w:tmpl w:val="57640C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B47D4B"/>
    <w:multiLevelType w:val="hybridMultilevel"/>
    <w:tmpl w:val="F28C7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4F4DB0"/>
    <w:multiLevelType w:val="hybridMultilevel"/>
    <w:tmpl w:val="1E1ED3B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23386"/>
    <w:multiLevelType w:val="hybridMultilevel"/>
    <w:tmpl w:val="A310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E6768"/>
    <w:multiLevelType w:val="hybridMultilevel"/>
    <w:tmpl w:val="6184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2"/>
  </w:num>
  <w:num w:numId="4">
    <w:abstractNumId w:val="3"/>
  </w:num>
  <w:num w:numId="5">
    <w:abstractNumId w:val="16"/>
  </w:num>
  <w:num w:numId="6">
    <w:abstractNumId w:val="22"/>
  </w:num>
  <w:num w:numId="7">
    <w:abstractNumId w:val="23"/>
  </w:num>
  <w:num w:numId="8">
    <w:abstractNumId w:val="2"/>
  </w:num>
  <w:num w:numId="9">
    <w:abstractNumId w:val="18"/>
  </w:num>
  <w:num w:numId="10">
    <w:abstractNumId w:val="9"/>
  </w:num>
  <w:num w:numId="11">
    <w:abstractNumId w:val="7"/>
  </w:num>
  <w:num w:numId="12">
    <w:abstractNumId w:val="15"/>
  </w:num>
  <w:num w:numId="13">
    <w:abstractNumId w:val="11"/>
  </w:num>
  <w:num w:numId="14">
    <w:abstractNumId w:val="13"/>
  </w:num>
  <w:num w:numId="15">
    <w:abstractNumId w:val="19"/>
  </w:num>
  <w:num w:numId="16">
    <w:abstractNumId w:val="1"/>
  </w:num>
  <w:num w:numId="17">
    <w:abstractNumId w:val="6"/>
  </w:num>
  <w:num w:numId="18">
    <w:abstractNumId w:val="8"/>
  </w:num>
  <w:num w:numId="19">
    <w:abstractNumId w:val="21"/>
  </w:num>
  <w:num w:numId="20">
    <w:abstractNumId w:val="5"/>
  </w:num>
  <w:num w:numId="21">
    <w:abstractNumId w:val="10"/>
  </w:num>
  <w:num w:numId="22">
    <w:abstractNumId w:val="14"/>
  </w:num>
  <w:num w:numId="23">
    <w:abstractNumId w:val="2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F83"/>
    <w:rsid w:val="00016B9A"/>
    <w:rsid w:val="00016EAB"/>
    <w:rsid w:val="00026D5C"/>
    <w:rsid w:val="00037554"/>
    <w:rsid w:val="00041AEF"/>
    <w:rsid w:val="00052216"/>
    <w:rsid w:val="00054145"/>
    <w:rsid w:val="00074F2D"/>
    <w:rsid w:val="00080568"/>
    <w:rsid w:val="00096A0F"/>
    <w:rsid w:val="000A6F26"/>
    <w:rsid w:val="000B1723"/>
    <w:rsid w:val="000C0BC3"/>
    <w:rsid w:val="000C45B4"/>
    <w:rsid w:val="000D2E6C"/>
    <w:rsid w:val="000D6ECE"/>
    <w:rsid w:val="000E6515"/>
    <w:rsid w:val="000F0F2E"/>
    <w:rsid w:val="000F1381"/>
    <w:rsid w:val="001017BB"/>
    <w:rsid w:val="00112E7B"/>
    <w:rsid w:val="00115170"/>
    <w:rsid w:val="001246C4"/>
    <w:rsid w:val="001261FE"/>
    <w:rsid w:val="0015656C"/>
    <w:rsid w:val="0015696E"/>
    <w:rsid w:val="00164517"/>
    <w:rsid w:val="001671BC"/>
    <w:rsid w:val="0019636E"/>
    <w:rsid w:val="001A0182"/>
    <w:rsid w:val="001A1E43"/>
    <w:rsid w:val="001C5842"/>
    <w:rsid w:val="001D1A03"/>
    <w:rsid w:val="001D1BFC"/>
    <w:rsid w:val="001F0D09"/>
    <w:rsid w:val="00212946"/>
    <w:rsid w:val="002425C5"/>
    <w:rsid w:val="00245FB3"/>
    <w:rsid w:val="00250225"/>
    <w:rsid w:val="0025646A"/>
    <w:rsid w:val="00261878"/>
    <w:rsid w:val="00283DE9"/>
    <w:rsid w:val="0028456A"/>
    <w:rsid w:val="00295840"/>
    <w:rsid w:val="002A472D"/>
    <w:rsid w:val="002B1F38"/>
    <w:rsid w:val="002C3EC1"/>
    <w:rsid w:val="002E0436"/>
    <w:rsid w:val="002E5448"/>
    <w:rsid w:val="002F0E3A"/>
    <w:rsid w:val="003176DF"/>
    <w:rsid w:val="00366740"/>
    <w:rsid w:val="00381DBD"/>
    <w:rsid w:val="00384A69"/>
    <w:rsid w:val="00387417"/>
    <w:rsid w:val="003B7960"/>
    <w:rsid w:val="003E0E63"/>
    <w:rsid w:val="003F2FF4"/>
    <w:rsid w:val="00427A91"/>
    <w:rsid w:val="00431ED7"/>
    <w:rsid w:val="0045742B"/>
    <w:rsid w:val="00464875"/>
    <w:rsid w:val="00482F37"/>
    <w:rsid w:val="00484416"/>
    <w:rsid w:val="00493726"/>
    <w:rsid w:val="004B5D3D"/>
    <w:rsid w:val="004C6518"/>
    <w:rsid w:val="004E1D8A"/>
    <w:rsid w:val="00500E03"/>
    <w:rsid w:val="0052127D"/>
    <w:rsid w:val="00524324"/>
    <w:rsid w:val="00524D90"/>
    <w:rsid w:val="00532D89"/>
    <w:rsid w:val="005653C2"/>
    <w:rsid w:val="0058103A"/>
    <w:rsid w:val="005C32CE"/>
    <w:rsid w:val="005D1DD1"/>
    <w:rsid w:val="005D2CEB"/>
    <w:rsid w:val="005D5EAE"/>
    <w:rsid w:val="005F543C"/>
    <w:rsid w:val="00600CEC"/>
    <w:rsid w:val="00602D01"/>
    <w:rsid w:val="00610E1C"/>
    <w:rsid w:val="00614402"/>
    <w:rsid w:val="00614EFE"/>
    <w:rsid w:val="00630023"/>
    <w:rsid w:val="0063281F"/>
    <w:rsid w:val="00640DF6"/>
    <w:rsid w:val="00645358"/>
    <w:rsid w:val="00684C0C"/>
    <w:rsid w:val="00693303"/>
    <w:rsid w:val="006B1AB9"/>
    <w:rsid w:val="006C5222"/>
    <w:rsid w:val="006C5320"/>
    <w:rsid w:val="006E24C1"/>
    <w:rsid w:val="006E34A4"/>
    <w:rsid w:val="006F7D5A"/>
    <w:rsid w:val="00703145"/>
    <w:rsid w:val="00720E08"/>
    <w:rsid w:val="00744EEA"/>
    <w:rsid w:val="007452BC"/>
    <w:rsid w:val="00772259"/>
    <w:rsid w:val="007809D6"/>
    <w:rsid w:val="007B6585"/>
    <w:rsid w:val="007C77CF"/>
    <w:rsid w:val="007E7E85"/>
    <w:rsid w:val="008018D2"/>
    <w:rsid w:val="00803B81"/>
    <w:rsid w:val="008047C5"/>
    <w:rsid w:val="00821DEF"/>
    <w:rsid w:val="008251D1"/>
    <w:rsid w:val="008322C0"/>
    <w:rsid w:val="0083505D"/>
    <w:rsid w:val="0084191A"/>
    <w:rsid w:val="0085078F"/>
    <w:rsid w:val="00864FB1"/>
    <w:rsid w:val="0089790F"/>
    <w:rsid w:val="008B2CF4"/>
    <w:rsid w:val="008B5B70"/>
    <w:rsid w:val="008C5F34"/>
    <w:rsid w:val="008C6975"/>
    <w:rsid w:val="008D3AFD"/>
    <w:rsid w:val="008F0D35"/>
    <w:rsid w:val="008F1861"/>
    <w:rsid w:val="00927B94"/>
    <w:rsid w:val="00932F1C"/>
    <w:rsid w:val="009374A2"/>
    <w:rsid w:val="00941282"/>
    <w:rsid w:val="00955F83"/>
    <w:rsid w:val="00971C89"/>
    <w:rsid w:val="009A5088"/>
    <w:rsid w:val="009A6647"/>
    <w:rsid w:val="009B3CD4"/>
    <w:rsid w:val="009F1B2B"/>
    <w:rsid w:val="009F4DE3"/>
    <w:rsid w:val="009F638F"/>
    <w:rsid w:val="00A24B65"/>
    <w:rsid w:val="00A32164"/>
    <w:rsid w:val="00A53147"/>
    <w:rsid w:val="00A6221C"/>
    <w:rsid w:val="00A869DA"/>
    <w:rsid w:val="00AA4998"/>
    <w:rsid w:val="00AA6281"/>
    <w:rsid w:val="00AD0DAE"/>
    <w:rsid w:val="00AE5642"/>
    <w:rsid w:val="00B06686"/>
    <w:rsid w:val="00B21E49"/>
    <w:rsid w:val="00B62377"/>
    <w:rsid w:val="00B7386A"/>
    <w:rsid w:val="00B923FE"/>
    <w:rsid w:val="00B92628"/>
    <w:rsid w:val="00BB272B"/>
    <w:rsid w:val="00BB7928"/>
    <w:rsid w:val="00BC138E"/>
    <w:rsid w:val="00BC4780"/>
    <w:rsid w:val="00BD5155"/>
    <w:rsid w:val="00C26B1F"/>
    <w:rsid w:val="00C774B1"/>
    <w:rsid w:val="00C80916"/>
    <w:rsid w:val="00C876D4"/>
    <w:rsid w:val="00C91BA7"/>
    <w:rsid w:val="00CA54B6"/>
    <w:rsid w:val="00CB23B2"/>
    <w:rsid w:val="00CC03C7"/>
    <w:rsid w:val="00CE2432"/>
    <w:rsid w:val="00CF0ADE"/>
    <w:rsid w:val="00D04130"/>
    <w:rsid w:val="00D04478"/>
    <w:rsid w:val="00D16427"/>
    <w:rsid w:val="00D164B2"/>
    <w:rsid w:val="00D573F6"/>
    <w:rsid w:val="00D70FE2"/>
    <w:rsid w:val="00D72EAB"/>
    <w:rsid w:val="00D836A1"/>
    <w:rsid w:val="00D971F6"/>
    <w:rsid w:val="00DC7EF0"/>
    <w:rsid w:val="00DF4B58"/>
    <w:rsid w:val="00E31A62"/>
    <w:rsid w:val="00E34AA1"/>
    <w:rsid w:val="00E47363"/>
    <w:rsid w:val="00E9691B"/>
    <w:rsid w:val="00EC76C1"/>
    <w:rsid w:val="00ED723F"/>
    <w:rsid w:val="00F02860"/>
    <w:rsid w:val="00F05ED7"/>
    <w:rsid w:val="00F14BFC"/>
    <w:rsid w:val="00F353E8"/>
    <w:rsid w:val="00F404EB"/>
    <w:rsid w:val="00F532EF"/>
    <w:rsid w:val="00F6238E"/>
    <w:rsid w:val="00FA23FA"/>
    <w:rsid w:val="00FC55EB"/>
    <w:rsid w:val="00FD09DB"/>
    <w:rsid w:val="00FD76A3"/>
    <w:rsid w:val="7CBDD26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6D6386"/>
  <w15:docId w15:val="{F60D277B-3653-43AB-8565-66201A18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155"/>
  </w:style>
  <w:style w:type="paragraph" w:styleId="Heading2">
    <w:name w:val="heading 2"/>
    <w:basedOn w:val="Normal"/>
    <w:next w:val="Normal"/>
    <w:link w:val="Heading2Char"/>
    <w:uiPriority w:val="9"/>
    <w:unhideWhenUsed/>
    <w:qFormat/>
    <w:rsid w:val="002C3EC1"/>
    <w:pPr>
      <w:keepNext/>
      <w:keepLines/>
      <w:spacing w:before="40" w:after="0"/>
      <w:jc w:val="center"/>
      <w:outlineLvl w:val="1"/>
    </w:pPr>
    <w:rPr>
      <w:rFonts w:eastAsiaTheme="majorEastAsia" w:cstheme="minorHAns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363"/>
    <w:pPr>
      <w:ind w:left="720"/>
      <w:contextualSpacing/>
    </w:pPr>
  </w:style>
  <w:style w:type="character" w:styleId="Hyperlink">
    <w:name w:val="Hyperlink"/>
    <w:basedOn w:val="DefaultParagraphFont"/>
    <w:uiPriority w:val="99"/>
    <w:unhideWhenUsed/>
    <w:rsid w:val="00CF0ADE"/>
    <w:rPr>
      <w:color w:val="0000FF" w:themeColor="hyperlink"/>
      <w:u w:val="single"/>
    </w:rPr>
  </w:style>
  <w:style w:type="table" w:styleId="TableGrid">
    <w:name w:val="Table Grid"/>
    <w:basedOn w:val="TableNormal"/>
    <w:uiPriority w:val="59"/>
    <w:rsid w:val="006B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E6C"/>
  </w:style>
  <w:style w:type="paragraph" w:styleId="Footer">
    <w:name w:val="footer"/>
    <w:basedOn w:val="Normal"/>
    <w:link w:val="FooterChar"/>
    <w:uiPriority w:val="99"/>
    <w:unhideWhenUsed/>
    <w:rsid w:val="000D2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E6C"/>
  </w:style>
  <w:style w:type="paragraph" w:styleId="BalloonText">
    <w:name w:val="Balloon Text"/>
    <w:basedOn w:val="Normal"/>
    <w:link w:val="BalloonTextChar"/>
    <w:uiPriority w:val="99"/>
    <w:semiHidden/>
    <w:unhideWhenUsed/>
    <w:rsid w:val="000D2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E6C"/>
    <w:rPr>
      <w:rFonts w:ascii="Tahoma" w:hAnsi="Tahoma" w:cs="Tahoma"/>
      <w:sz w:val="16"/>
      <w:szCs w:val="16"/>
    </w:rPr>
  </w:style>
  <w:style w:type="character" w:styleId="CommentReference">
    <w:name w:val="annotation reference"/>
    <w:basedOn w:val="DefaultParagraphFont"/>
    <w:uiPriority w:val="99"/>
    <w:semiHidden/>
    <w:unhideWhenUsed/>
    <w:rsid w:val="00864FB1"/>
    <w:rPr>
      <w:sz w:val="16"/>
      <w:szCs w:val="16"/>
    </w:rPr>
  </w:style>
  <w:style w:type="paragraph" w:styleId="CommentText">
    <w:name w:val="annotation text"/>
    <w:basedOn w:val="Normal"/>
    <w:link w:val="CommentTextChar"/>
    <w:uiPriority w:val="99"/>
    <w:semiHidden/>
    <w:unhideWhenUsed/>
    <w:rsid w:val="00864FB1"/>
    <w:pPr>
      <w:spacing w:line="240" w:lineRule="auto"/>
    </w:pPr>
    <w:rPr>
      <w:sz w:val="20"/>
      <w:szCs w:val="20"/>
    </w:rPr>
  </w:style>
  <w:style w:type="character" w:customStyle="1" w:styleId="CommentTextChar">
    <w:name w:val="Comment Text Char"/>
    <w:basedOn w:val="DefaultParagraphFont"/>
    <w:link w:val="CommentText"/>
    <w:uiPriority w:val="99"/>
    <w:semiHidden/>
    <w:rsid w:val="00864FB1"/>
    <w:rPr>
      <w:sz w:val="20"/>
      <w:szCs w:val="20"/>
    </w:rPr>
  </w:style>
  <w:style w:type="paragraph" w:styleId="CommentSubject">
    <w:name w:val="annotation subject"/>
    <w:basedOn w:val="CommentText"/>
    <w:next w:val="CommentText"/>
    <w:link w:val="CommentSubjectChar"/>
    <w:uiPriority w:val="99"/>
    <w:semiHidden/>
    <w:unhideWhenUsed/>
    <w:rsid w:val="00864FB1"/>
    <w:rPr>
      <w:b/>
      <w:bCs/>
    </w:rPr>
  </w:style>
  <w:style w:type="character" w:customStyle="1" w:styleId="CommentSubjectChar">
    <w:name w:val="Comment Subject Char"/>
    <w:basedOn w:val="CommentTextChar"/>
    <w:link w:val="CommentSubject"/>
    <w:uiPriority w:val="99"/>
    <w:semiHidden/>
    <w:rsid w:val="00864FB1"/>
    <w:rPr>
      <w:b/>
      <w:bCs/>
      <w:sz w:val="20"/>
      <w:szCs w:val="20"/>
    </w:rPr>
  </w:style>
  <w:style w:type="paragraph" w:styleId="FootnoteText">
    <w:name w:val="footnote text"/>
    <w:basedOn w:val="Normal"/>
    <w:link w:val="FootnoteTextChar"/>
    <w:uiPriority w:val="99"/>
    <w:semiHidden/>
    <w:unhideWhenUsed/>
    <w:rsid w:val="008C5F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F34"/>
    <w:rPr>
      <w:sz w:val="20"/>
      <w:szCs w:val="20"/>
    </w:rPr>
  </w:style>
  <w:style w:type="character" w:styleId="FootnoteReference">
    <w:name w:val="footnote reference"/>
    <w:basedOn w:val="DefaultParagraphFont"/>
    <w:uiPriority w:val="99"/>
    <w:unhideWhenUsed/>
    <w:rsid w:val="008C5F34"/>
    <w:rPr>
      <w:vertAlign w:val="superscript"/>
    </w:rPr>
  </w:style>
  <w:style w:type="table" w:customStyle="1" w:styleId="GridTable4-Accent11">
    <w:name w:val="Grid Table 4 - Accent 11"/>
    <w:basedOn w:val="TableNormal"/>
    <w:uiPriority w:val="49"/>
    <w:rsid w:val="002E544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tenseQuote">
    <w:name w:val="Intense Quote"/>
    <w:basedOn w:val="Normal"/>
    <w:next w:val="Normal"/>
    <w:link w:val="IntenseQuoteChar"/>
    <w:uiPriority w:val="30"/>
    <w:qFormat/>
    <w:rsid w:val="002E544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E5448"/>
    <w:rPr>
      <w:i/>
      <w:iCs/>
      <w:color w:val="4F81BD" w:themeColor="accent1"/>
    </w:rPr>
  </w:style>
  <w:style w:type="character" w:styleId="IntenseEmphasis">
    <w:name w:val="Intense Emphasis"/>
    <w:basedOn w:val="DefaultParagraphFont"/>
    <w:uiPriority w:val="21"/>
    <w:qFormat/>
    <w:rsid w:val="002E5448"/>
    <w:rPr>
      <w:i/>
      <w:iCs/>
      <w:color w:val="4F81BD" w:themeColor="accent1"/>
    </w:rPr>
  </w:style>
  <w:style w:type="character" w:customStyle="1" w:styleId="Heading2Char">
    <w:name w:val="Heading 2 Char"/>
    <w:basedOn w:val="DefaultParagraphFont"/>
    <w:link w:val="Heading2"/>
    <w:uiPriority w:val="9"/>
    <w:rsid w:val="002C3EC1"/>
    <w:rPr>
      <w:rFonts w:eastAsiaTheme="majorEastAsia" w:cstheme="minorHAnsi"/>
      <w:b/>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e.mass.edu/edeval/resources/rubrics/" TargetMode="External"/><Relationship Id="rId18" Type="http://schemas.openxmlformats.org/officeDocument/2006/relationships/hyperlink" Target="http://www.doe.mass.edu/edeval/resources/supervisor/protocol-family-engagement.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oe.mass.edu/edeval/feedback/" TargetMode="External"/><Relationship Id="rId7" Type="http://schemas.openxmlformats.org/officeDocument/2006/relationships/styles" Target="styles.xml"/><Relationship Id="rId12" Type="http://schemas.openxmlformats.org/officeDocument/2006/relationships/hyperlink" Target="http://www.doe.mass.edu/edeval/resources/rubrics/" TargetMode="External"/><Relationship Id="rId17" Type="http://schemas.openxmlformats.org/officeDocument/2006/relationships/hyperlink" Target="http://www.doe.mass.edu/edeval/resources/supervisor/protocol-school-culture.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oe.mass.edu/edeval/resources/supervisor/protocol-observations-feedback.pdf" TargetMode="External"/><Relationship Id="rId20" Type="http://schemas.openxmlformats.org/officeDocument/2006/relationships/hyperlink" Target="http://www.doe.mass.edu/edeval/feedbac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doe.mass.edu/edeval/resources/supervisor/school-visit-framework.pdf"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doe.mass.edu/edeval/resources/supervisor/protocol-prof-cultur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e.mass.edu/edeval/model/PartIII_AppxA.pdf" TargetMode="External"/><Relationship Id="rId22" Type="http://schemas.openxmlformats.org/officeDocument/2006/relationships/hyperlink" Target="file:///C:\Users\sclancy\AppData\Local\Microsoft\Windows\INetCache\Content.Outlook\5C0VP4VT\VOCAL%20(Views%20of%20Climate%20and%20Learning)%20student%20surve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ducatordevelopment@doe.mass.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research/vista/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DESE-231-54185</_dlc_DocId>
    <_dlc_DocIdUrl xmlns="733efe1c-5bbe-4968-87dc-d400e65c879f">
      <Url>https://sharepoint.doemass.org/ese/webteam/cps/_layouts/DocIdRedir.aspx?ID=DESE-231-54185</Url>
      <Description>DESE-231-54185</Description>
    </_dlc_DocIdUrl>
  </documentManagement>
</p:propertie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A89F0-160A-484C-8900-A12662286FCD}">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888C1D02-7FC0-40BC-AE65-F06EAE3B0055}">
  <ds:schemaRefs>
    <ds:schemaRef ds:uri="http://schemas.microsoft.com/sharepoint/v3/contenttype/forms"/>
  </ds:schemaRefs>
</ds:datastoreItem>
</file>

<file path=customXml/itemProps3.xml><?xml version="1.0" encoding="utf-8"?>
<ds:datastoreItem xmlns:ds="http://schemas.openxmlformats.org/officeDocument/2006/customXml" ds:itemID="{BDD7E967-EB1D-4E54-BC78-212E7BE64A6C}">
  <ds:schemaRefs>
    <ds:schemaRef ds:uri="http://schemas.microsoft.com/sharepoint/events"/>
  </ds:schemaRefs>
</ds:datastoreItem>
</file>

<file path=customXml/itemProps4.xml><?xml version="1.0" encoding="utf-8"?>
<ds:datastoreItem xmlns:ds="http://schemas.openxmlformats.org/officeDocument/2006/customXml" ds:itemID="{84606FEC-A011-4118-AD07-4B12B9C3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DA4845-42B9-40A4-B1C7-563EA3D7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2220</Words>
  <Characters>12945</Characters>
  <Application>Microsoft Office Word</Application>
  <DocSecurity>0</DocSecurity>
  <Lines>219</Lines>
  <Paragraphs>104</Paragraphs>
  <ScaleCrop>false</ScaleCrop>
  <HeadingPairs>
    <vt:vector size="2" baseType="variant">
      <vt:variant>
        <vt:lpstr>Title</vt:lpstr>
      </vt:variant>
      <vt:variant>
        <vt:i4>1</vt:i4>
      </vt:variant>
    </vt:vector>
  </HeadingPairs>
  <TitlesOfParts>
    <vt:vector size="1" baseType="lpstr">
      <vt:lpstr>Evaluating Principals Brief</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Principals Brief</dc:title>
  <dc:creator>DESE</dc:creator>
  <cp:lastModifiedBy>Zou, Dong (EOE)</cp:lastModifiedBy>
  <cp:revision>4</cp:revision>
  <cp:lastPrinted>2015-12-04T21:03:00Z</cp:lastPrinted>
  <dcterms:created xsi:type="dcterms:W3CDTF">2019-09-03T18:49:00Z</dcterms:created>
  <dcterms:modified xsi:type="dcterms:W3CDTF">2019-09-04T15:53:00Z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4 2019</vt:lpwstr>
  </property>
</Properties>
</file>