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8592" w14:textId="6FDD8EED" w:rsidR="00780388" w:rsidRPr="004A59A7" w:rsidRDefault="00780388" w:rsidP="00780388">
      <w:pPr>
        <w:pStyle w:val="Heading1"/>
        <w:rPr>
          <w:rFonts w:asciiTheme="minorHAnsi" w:hAnsiTheme="minorHAnsi" w:cstheme="minorHAnsi"/>
          <w:sz w:val="32"/>
          <w:szCs w:val="32"/>
        </w:rPr>
      </w:pPr>
      <w:bookmarkStart w:id="0" w:name="_Toc4074673"/>
      <w:r w:rsidRPr="004A59A7">
        <w:rPr>
          <w:rFonts w:asciiTheme="minorHAnsi" w:hAnsiTheme="minorHAnsi" w:cstheme="minorHAnsi"/>
          <w:sz w:val="32"/>
          <w:szCs w:val="32"/>
        </w:rPr>
        <w:t>Crosswalk of CAP’s Seven Essential Elements to PST Indicators</w:t>
      </w:r>
      <w:bookmarkEnd w:id="0"/>
      <w:r w:rsidRPr="004A59A7">
        <w:rPr>
          <w:rFonts w:asciiTheme="minorHAnsi" w:hAnsiTheme="minorHAnsi" w:cstheme="minorHAnsi"/>
          <w:sz w:val="32"/>
          <w:szCs w:val="32"/>
        </w:rPr>
        <w:t xml:space="preserve"> </w:t>
      </w:r>
    </w:p>
    <w:p w14:paraId="21C10D57" w14:textId="4A474D27" w:rsidR="004A59A7" w:rsidRPr="004A59A7" w:rsidRDefault="004A59A7" w:rsidP="004A59A7">
      <w:pPr>
        <w:rPr>
          <w:rFonts w:asciiTheme="minorHAnsi" w:hAnsiTheme="minorHAnsi" w:cstheme="minorHAnsi"/>
          <w:szCs w:val="24"/>
        </w:rPr>
      </w:pPr>
      <w:r w:rsidRPr="004A59A7">
        <w:rPr>
          <w:rFonts w:asciiTheme="minorHAnsi" w:hAnsiTheme="minorHAnsi" w:cstheme="minorHAnsi"/>
          <w:szCs w:val="24"/>
        </w:rPr>
        <w:t xml:space="preserve">The following table crosswalks the Indicators identified at the “demonstrate” level of practice in the PST Guidelines to the Seven Essential Elements assessed in CAP. </w:t>
      </w:r>
      <w:r w:rsidRPr="004A59A7">
        <w:rPr>
          <w:rFonts w:asciiTheme="minorHAnsi" w:eastAsia="Times New Roman" w:hAnsiTheme="minorHAnsi" w:cstheme="minorHAnsi"/>
          <w:b/>
          <w:szCs w:val="24"/>
        </w:rPr>
        <w:t>(</w:t>
      </w:r>
    </w:p>
    <w:p w14:paraId="01C03CFE" w14:textId="77777777" w:rsidR="004A59A7" w:rsidRPr="004A59A7" w:rsidRDefault="004A59A7" w:rsidP="004A59A7">
      <w:pPr>
        <w:rPr>
          <w:rFonts w:asciiTheme="minorHAnsi" w:hAnsiTheme="minorHAnsi" w:cstheme="minorHAnsi"/>
          <w:szCs w:val="24"/>
        </w:rPr>
      </w:pPr>
    </w:p>
    <w:tbl>
      <w:tblPr>
        <w:tblpPr w:leftFromText="180" w:rightFromText="180" w:vertAnchor="text" w:horzAnchor="page" w:tblpX="1189" w:tblpY="1"/>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4680"/>
      </w:tblGrid>
      <w:tr w:rsidR="00780388" w:rsidRPr="004A59A7" w14:paraId="28EBB142" w14:textId="77777777" w:rsidTr="00D95D6B">
        <w:tc>
          <w:tcPr>
            <w:tcW w:w="10368" w:type="dxa"/>
            <w:gridSpan w:val="2"/>
            <w:shd w:val="clear" w:color="auto" w:fill="F2DBDB"/>
            <w:vAlign w:val="center"/>
          </w:tcPr>
          <w:p w14:paraId="1A4A2149" w14:textId="79EE6937" w:rsidR="00780388" w:rsidRPr="004A59A7" w:rsidRDefault="00780388" w:rsidP="00D95D6B">
            <w:pPr>
              <w:widowControl/>
              <w:rPr>
                <w:rFonts w:asciiTheme="minorHAnsi" w:eastAsia="Times New Roman" w:hAnsiTheme="minorHAnsi" w:cstheme="minorHAnsi"/>
                <w:szCs w:val="24"/>
              </w:rPr>
            </w:pPr>
            <w:bookmarkStart w:id="1" w:name="_Appendix_G:_Measuring"/>
            <w:bookmarkStart w:id="2" w:name="_Appendix_L:_Measuring"/>
            <w:bookmarkStart w:id="3" w:name="_Appendix_L:_Measuring_1"/>
            <w:bookmarkStart w:id="4" w:name="_Appendix_L:_Measuring_2"/>
            <w:bookmarkStart w:id="5" w:name="_Appendix_H:_CAP"/>
            <w:bookmarkStart w:id="6" w:name="_Appendix_M:_CAP"/>
            <w:bookmarkStart w:id="7" w:name="_Appendix_M:_CAP_1"/>
            <w:bookmarkEnd w:id="1"/>
            <w:bookmarkEnd w:id="2"/>
            <w:bookmarkEnd w:id="3"/>
            <w:bookmarkEnd w:id="4"/>
            <w:bookmarkEnd w:id="5"/>
            <w:bookmarkEnd w:id="6"/>
            <w:bookmarkEnd w:id="7"/>
            <w:r w:rsidRPr="004A59A7">
              <w:rPr>
                <w:rFonts w:asciiTheme="minorHAnsi" w:eastAsia="Times New Roman" w:hAnsiTheme="minorHAnsi" w:cstheme="minorHAnsi"/>
                <w:b/>
                <w:szCs w:val="24"/>
              </w:rPr>
              <w:t>1) Curriculum, Planning, and Assessment Standard</w:t>
            </w:r>
            <w:r w:rsidRPr="004A59A7">
              <w:rPr>
                <w:rFonts w:asciiTheme="minorHAnsi" w:eastAsia="Times New Roman" w:hAnsiTheme="minorHAnsi" w:cstheme="minorHAnsi"/>
                <w:szCs w:val="24"/>
              </w:rPr>
              <w:t>: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tc>
      </w:tr>
      <w:tr w:rsidR="00780388" w:rsidRPr="004A59A7" w14:paraId="2A6B94BC" w14:textId="77777777" w:rsidTr="00D95D6B">
        <w:tc>
          <w:tcPr>
            <w:tcW w:w="5688" w:type="dxa"/>
            <w:shd w:val="clear" w:color="auto" w:fill="E5B8B7"/>
            <w:vAlign w:val="center"/>
          </w:tcPr>
          <w:p w14:paraId="74FBEC3E" w14:textId="77777777" w:rsidR="00780388" w:rsidRPr="004A59A7" w:rsidRDefault="00780388" w:rsidP="00D95D6B">
            <w:pPr>
              <w:widowControl/>
              <w:jc w:val="center"/>
              <w:rPr>
                <w:rFonts w:asciiTheme="minorHAnsi" w:eastAsia="Times New Roman" w:hAnsiTheme="minorHAnsi" w:cstheme="minorHAnsi"/>
                <w:b/>
                <w:szCs w:val="24"/>
              </w:rPr>
            </w:pPr>
            <w:r w:rsidRPr="004A59A7">
              <w:rPr>
                <w:rFonts w:asciiTheme="minorHAnsi" w:eastAsia="Times New Roman" w:hAnsiTheme="minorHAnsi" w:cstheme="minorHAnsi"/>
                <w:b/>
                <w:szCs w:val="24"/>
              </w:rPr>
              <w:t>Indicator</w:t>
            </w:r>
          </w:p>
        </w:tc>
        <w:tc>
          <w:tcPr>
            <w:tcW w:w="4680" w:type="dxa"/>
            <w:shd w:val="clear" w:color="auto" w:fill="E5B8B7"/>
          </w:tcPr>
          <w:p w14:paraId="7FA2FA5C"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b/>
                <w:szCs w:val="24"/>
              </w:rPr>
              <w:t>Essential Element in CAP</w:t>
            </w:r>
          </w:p>
        </w:tc>
      </w:tr>
      <w:tr w:rsidR="00780388" w:rsidRPr="004A59A7" w14:paraId="6E7227E3" w14:textId="77777777" w:rsidTr="00D95D6B">
        <w:tc>
          <w:tcPr>
            <w:tcW w:w="5688" w:type="dxa"/>
            <w:shd w:val="clear" w:color="auto" w:fill="E5B8B7"/>
            <w:vAlign w:val="center"/>
          </w:tcPr>
          <w:p w14:paraId="7C35A6C4"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 xml:space="preserve">(a)  Curriculum and Planning indicator: Knows the subject matter well, has a good grasp of child development and how students learn, and selects, adapts as necessary, and implements effective and rigorous standards-aligned curricular materials consisting of well-structured units and lessons with measurable outcomes. [Note: This language reflects </w:t>
            </w:r>
            <w:proofErr w:type="spellStart"/>
            <w:r w:rsidRPr="004A59A7">
              <w:rPr>
                <w:rFonts w:asciiTheme="minorHAnsi" w:eastAsia="Times New Roman" w:hAnsiTheme="minorHAnsi" w:cstheme="minorHAnsi"/>
                <w:szCs w:val="24"/>
              </w:rPr>
              <w:t>propsed</w:t>
            </w:r>
            <w:proofErr w:type="spellEnd"/>
            <w:r w:rsidRPr="004A59A7">
              <w:rPr>
                <w:rFonts w:asciiTheme="minorHAnsi" w:eastAsia="Times New Roman" w:hAnsiTheme="minorHAnsi" w:cstheme="minorHAnsi"/>
                <w:szCs w:val="24"/>
              </w:rPr>
              <w:t xml:space="preserve"> updates to the PST Guidelines to ensure alignment with the MA Model Teacher Rubric.]</w:t>
            </w:r>
          </w:p>
        </w:tc>
        <w:tc>
          <w:tcPr>
            <w:tcW w:w="4680" w:type="dxa"/>
            <w:shd w:val="clear" w:color="auto" w:fill="E5B8B7"/>
            <w:vAlign w:val="center"/>
          </w:tcPr>
          <w:p w14:paraId="314BAF6E"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1.A.1 Subject Matter Knowledge</w:t>
            </w:r>
          </w:p>
          <w:p w14:paraId="3F95DD1D" w14:textId="77777777" w:rsidR="00780388" w:rsidRPr="004A59A7" w:rsidRDefault="00780388" w:rsidP="00D95D6B">
            <w:pPr>
              <w:widowControl/>
              <w:ind w:left="-108"/>
              <w:jc w:val="center"/>
              <w:rPr>
                <w:rFonts w:asciiTheme="minorHAnsi" w:eastAsia="Times New Roman" w:hAnsiTheme="minorHAnsi" w:cstheme="minorHAnsi"/>
                <w:szCs w:val="24"/>
              </w:rPr>
            </w:pPr>
          </w:p>
          <w:p w14:paraId="73506651"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1.A.3  Well-Structured Units and Lessons</w:t>
            </w:r>
          </w:p>
        </w:tc>
      </w:tr>
      <w:tr w:rsidR="00780388" w:rsidRPr="004A59A7" w14:paraId="6A698B25" w14:textId="77777777" w:rsidTr="00D95D6B">
        <w:tc>
          <w:tcPr>
            <w:tcW w:w="5688" w:type="dxa"/>
            <w:shd w:val="clear" w:color="auto" w:fill="E5B8B7"/>
            <w:vAlign w:val="center"/>
          </w:tcPr>
          <w:p w14:paraId="2C71100D"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(b)  Assessment indicator: Uses a variety of informal and formal methods of assessment to measure student learning, growth, and understanding, develop differentiated and enhanced learning experiences, and improve future instruction.</w:t>
            </w:r>
          </w:p>
        </w:tc>
        <w:tc>
          <w:tcPr>
            <w:tcW w:w="4680" w:type="dxa"/>
            <w:shd w:val="clear" w:color="auto" w:fill="E5B8B7"/>
            <w:vAlign w:val="center"/>
          </w:tcPr>
          <w:p w14:paraId="08817B72"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1.B.2  Adjustments to Practice</w:t>
            </w:r>
          </w:p>
        </w:tc>
      </w:tr>
      <w:tr w:rsidR="00780388" w:rsidRPr="004A59A7" w14:paraId="206F3751" w14:textId="77777777" w:rsidTr="00D95D6B">
        <w:tc>
          <w:tcPr>
            <w:tcW w:w="5688" w:type="dxa"/>
            <w:shd w:val="clear" w:color="auto" w:fill="E5B8B7"/>
            <w:vAlign w:val="center"/>
          </w:tcPr>
          <w:p w14:paraId="6E0BF643"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SEI (a) Uses instructional planning, materials, and student engagement approaches that support students of diverse cultural and linguistic backgrounds, strengths, and challenges.</w:t>
            </w:r>
          </w:p>
        </w:tc>
        <w:tc>
          <w:tcPr>
            <w:tcW w:w="4680" w:type="dxa"/>
            <w:shd w:val="clear" w:color="auto" w:fill="E5B8B7"/>
            <w:vAlign w:val="center"/>
          </w:tcPr>
          <w:p w14:paraId="5BF350CA"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1.A.3  Well-Structured Units and Lessons</w:t>
            </w:r>
          </w:p>
        </w:tc>
      </w:tr>
      <w:tr w:rsidR="00780388" w:rsidRPr="004A59A7" w14:paraId="3AC45785" w14:textId="77777777" w:rsidTr="00BB4669">
        <w:tc>
          <w:tcPr>
            <w:tcW w:w="5688" w:type="dxa"/>
            <w:tcBorders>
              <w:bottom w:val="nil"/>
            </w:tcBorders>
            <w:shd w:val="clear" w:color="auto" w:fill="E5B8B7"/>
            <w:vAlign w:val="center"/>
          </w:tcPr>
          <w:p w14:paraId="65A9E169"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 xml:space="preserve">SEI (c) Demonstrates knowledge of the difference between social and academic language and the importance of this difference in planning, </w:t>
            </w:r>
            <w:proofErr w:type="gramStart"/>
            <w:r w:rsidRPr="004A59A7">
              <w:rPr>
                <w:rFonts w:asciiTheme="minorHAnsi" w:eastAsia="Times New Roman" w:hAnsiTheme="minorHAnsi" w:cstheme="minorHAnsi"/>
                <w:szCs w:val="24"/>
              </w:rPr>
              <w:t>differentiating</w:t>
            </w:r>
            <w:proofErr w:type="gramEnd"/>
            <w:r w:rsidRPr="004A59A7">
              <w:rPr>
                <w:rFonts w:asciiTheme="minorHAnsi" w:eastAsia="Times New Roman" w:hAnsiTheme="minorHAnsi" w:cstheme="minorHAnsi"/>
                <w:szCs w:val="24"/>
              </w:rPr>
              <w:t xml:space="preserve"> and delivering effective instruction for English language learners at various levels of English language proficiency and literacy.  </w:t>
            </w:r>
          </w:p>
        </w:tc>
        <w:tc>
          <w:tcPr>
            <w:tcW w:w="4680" w:type="dxa"/>
            <w:tcBorders>
              <w:bottom w:val="nil"/>
            </w:tcBorders>
            <w:shd w:val="clear" w:color="auto" w:fill="E5B8B7"/>
            <w:vAlign w:val="center"/>
          </w:tcPr>
          <w:p w14:paraId="413961D2"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2.B.1  Safe Learning Environment</w:t>
            </w:r>
          </w:p>
          <w:p w14:paraId="516A859D" w14:textId="77777777" w:rsidR="00780388" w:rsidRPr="004A59A7" w:rsidRDefault="00780388" w:rsidP="00D95D6B">
            <w:pPr>
              <w:widowControl/>
              <w:ind w:left="-108"/>
              <w:jc w:val="center"/>
              <w:rPr>
                <w:rFonts w:asciiTheme="minorHAnsi" w:eastAsia="Times New Roman" w:hAnsiTheme="minorHAnsi" w:cstheme="minorHAnsi"/>
                <w:b/>
                <w:szCs w:val="24"/>
              </w:rPr>
            </w:pPr>
          </w:p>
          <w:p w14:paraId="7E94A715"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p w14:paraId="27DAC2AC" w14:textId="77777777" w:rsidR="00780388" w:rsidRPr="004A59A7" w:rsidRDefault="00780388" w:rsidP="00D95D6B">
            <w:pPr>
              <w:widowControl/>
              <w:ind w:left="-108"/>
              <w:jc w:val="center"/>
              <w:rPr>
                <w:rFonts w:asciiTheme="minorHAnsi" w:eastAsia="Times New Roman" w:hAnsiTheme="minorHAnsi" w:cstheme="minorHAnsi"/>
                <w:szCs w:val="24"/>
              </w:rPr>
            </w:pPr>
          </w:p>
          <w:p w14:paraId="0E6B05A6"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2.E.1  High Expectations</w:t>
            </w:r>
          </w:p>
        </w:tc>
      </w:tr>
      <w:tr w:rsidR="00BB4669" w:rsidRPr="004A59A7" w14:paraId="68DF430F" w14:textId="77777777" w:rsidTr="00BB4669">
        <w:tc>
          <w:tcPr>
            <w:tcW w:w="10368" w:type="dxa"/>
            <w:gridSpan w:val="2"/>
            <w:tcBorders>
              <w:top w:val="nil"/>
              <w:left w:val="nil"/>
              <w:bottom w:val="nil"/>
              <w:right w:val="nil"/>
            </w:tcBorders>
            <w:shd w:val="clear" w:color="auto" w:fill="auto"/>
            <w:vAlign w:val="center"/>
          </w:tcPr>
          <w:p w14:paraId="33903E33" w14:textId="77777777" w:rsidR="00BB4669" w:rsidRDefault="00BB4669" w:rsidP="00D95D6B">
            <w:pPr>
              <w:widowControl/>
              <w:ind w:left="-108"/>
              <w:jc w:val="center"/>
              <w:rPr>
                <w:rFonts w:asciiTheme="minorHAnsi" w:eastAsia="Times New Roman" w:hAnsiTheme="minorHAnsi" w:cstheme="minorHAnsi"/>
                <w:szCs w:val="24"/>
              </w:rPr>
            </w:pPr>
          </w:p>
          <w:p w14:paraId="364A92B6" w14:textId="77777777" w:rsidR="00BB4669" w:rsidRDefault="00BB4669" w:rsidP="00D95D6B">
            <w:pPr>
              <w:widowControl/>
              <w:ind w:left="-108"/>
              <w:jc w:val="center"/>
              <w:rPr>
                <w:rFonts w:asciiTheme="minorHAnsi" w:eastAsia="Times New Roman" w:hAnsiTheme="minorHAnsi" w:cstheme="minorHAnsi"/>
                <w:szCs w:val="24"/>
              </w:rPr>
            </w:pPr>
          </w:p>
          <w:p w14:paraId="09B84D8D" w14:textId="77777777" w:rsidR="00BB4669" w:rsidRDefault="00BB4669" w:rsidP="00D95D6B">
            <w:pPr>
              <w:widowControl/>
              <w:ind w:left="-108"/>
              <w:jc w:val="center"/>
              <w:rPr>
                <w:rFonts w:asciiTheme="minorHAnsi" w:eastAsia="Times New Roman" w:hAnsiTheme="minorHAnsi" w:cstheme="minorHAnsi"/>
                <w:szCs w:val="24"/>
              </w:rPr>
            </w:pPr>
          </w:p>
          <w:p w14:paraId="20C7C597" w14:textId="77777777" w:rsidR="00BB4669" w:rsidRDefault="00BB4669" w:rsidP="00D95D6B">
            <w:pPr>
              <w:widowControl/>
              <w:ind w:left="-108"/>
              <w:jc w:val="center"/>
              <w:rPr>
                <w:rFonts w:asciiTheme="minorHAnsi" w:eastAsia="Times New Roman" w:hAnsiTheme="minorHAnsi" w:cstheme="minorHAnsi"/>
                <w:szCs w:val="24"/>
              </w:rPr>
            </w:pPr>
          </w:p>
          <w:p w14:paraId="130CB097" w14:textId="7E83C920" w:rsidR="00BB4669" w:rsidRPr="004A59A7" w:rsidRDefault="00BB4669" w:rsidP="00D95D6B">
            <w:pPr>
              <w:widowControl/>
              <w:ind w:left="-108"/>
              <w:jc w:val="center"/>
              <w:rPr>
                <w:rFonts w:asciiTheme="minorHAnsi" w:eastAsia="Times New Roman" w:hAnsiTheme="minorHAnsi" w:cstheme="minorHAnsi"/>
                <w:szCs w:val="24"/>
              </w:rPr>
            </w:pPr>
          </w:p>
        </w:tc>
      </w:tr>
      <w:tr w:rsidR="00780388" w:rsidRPr="004A59A7" w14:paraId="470225AB" w14:textId="77777777" w:rsidTr="00BB4669">
        <w:tc>
          <w:tcPr>
            <w:tcW w:w="10368" w:type="dxa"/>
            <w:gridSpan w:val="2"/>
            <w:tcBorders>
              <w:top w:val="single" w:sz="4" w:space="0" w:color="auto"/>
            </w:tcBorders>
            <w:shd w:val="clear" w:color="auto" w:fill="EAF1DD"/>
            <w:vAlign w:val="center"/>
          </w:tcPr>
          <w:p w14:paraId="13D3FF9F"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b/>
                <w:szCs w:val="24"/>
                <w:shd w:val="clear" w:color="auto" w:fill="EAF1DD"/>
              </w:rPr>
              <w:lastRenderedPageBreak/>
              <w:t>(2) Teaching All Students Standard:</w:t>
            </w:r>
            <w:r w:rsidRPr="004A59A7">
              <w:rPr>
                <w:rFonts w:asciiTheme="minorHAnsi" w:eastAsia="Times New Roman" w:hAnsiTheme="minorHAnsi" w:cstheme="minorHAnsi"/>
                <w:szCs w:val="24"/>
                <w:shd w:val="clear" w:color="auto" w:fill="EAF1DD"/>
              </w:rPr>
              <w:t xml:space="preserve"> Promotes the learning and growth of all students through instructional practices that establish high expectations, create a safe and effective classroom </w:t>
            </w:r>
            <w:r w:rsidRPr="004A59A7">
              <w:rPr>
                <w:rFonts w:asciiTheme="minorHAnsi" w:eastAsia="Times New Roman" w:hAnsiTheme="minorHAnsi" w:cstheme="minorHAnsi"/>
                <w:szCs w:val="24"/>
              </w:rPr>
              <w:t>environment, and demonstrate cultural proficiency.</w:t>
            </w:r>
          </w:p>
        </w:tc>
      </w:tr>
      <w:tr w:rsidR="00780388" w:rsidRPr="004A59A7" w14:paraId="4D4F9A6C" w14:textId="77777777" w:rsidTr="00D95D6B">
        <w:tc>
          <w:tcPr>
            <w:tcW w:w="5688" w:type="dxa"/>
            <w:shd w:val="clear" w:color="auto" w:fill="D6E3BC"/>
            <w:vAlign w:val="center"/>
          </w:tcPr>
          <w:p w14:paraId="386BDFB9" w14:textId="77777777" w:rsidR="00780388" w:rsidRPr="004A59A7" w:rsidRDefault="00780388" w:rsidP="00D95D6B">
            <w:pPr>
              <w:widowControl/>
              <w:jc w:val="center"/>
              <w:rPr>
                <w:rFonts w:asciiTheme="minorHAnsi" w:eastAsia="Times New Roman" w:hAnsiTheme="minorHAnsi" w:cstheme="minorHAnsi"/>
                <w:b/>
                <w:szCs w:val="24"/>
              </w:rPr>
            </w:pPr>
            <w:r w:rsidRPr="004A59A7">
              <w:rPr>
                <w:rFonts w:asciiTheme="minorHAnsi" w:eastAsia="Times New Roman" w:hAnsiTheme="minorHAnsi" w:cstheme="minorHAnsi"/>
                <w:b/>
                <w:szCs w:val="24"/>
              </w:rPr>
              <w:t>Indicator</w:t>
            </w:r>
          </w:p>
        </w:tc>
        <w:tc>
          <w:tcPr>
            <w:tcW w:w="4680" w:type="dxa"/>
            <w:shd w:val="clear" w:color="auto" w:fill="D6E3BC"/>
          </w:tcPr>
          <w:p w14:paraId="1D728471"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b/>
                <w:szCs w:val="24"/>
              </w:rPr>
              <w:t>Essential Element in CAP</w:t>
            </w:r>
          </w:p>
        </w:tc>
      </w:tr>
      <w:tr w:rsidR="00780388" w:rsidRPr="004A59A7" w14:paraId="571E7DBB" w14:textId="77777777" w:rsidTr="00D95D6B">
        <w:tc>
          <w:tcPr>
            <w:tcW w:w="5688" w:type="dxa"/>
            <w:shd w:val="clear" w:color="auto" w:fill="D6E3BC"/>
            <w:vAlign w:val="center"/>
          </w:tcPr>
          <w:p w14:paraId="01E403FE"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(a)  Instruction indicator: Uses instructional practices that reflect high expectations regarding content and quality of effort and work, engage all students, and are personalized to accommodate diverse learning styles, needs, interests, and levels of readiness.</w:t>
            </w:r>
          </w:p>
        </w:tc>
        <w:tc>
          <w:tcPr>
            <w:tcW w:w="4680" w:type="dxa"/>
            <w:shd w:val="clear" w:color="auto" w:fill="D6E3BC"/>
            <w:vAlign w:val="center"/>
          </w:tcPr>
          <w:p w14:paraId="2379EA30"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1.A.1 Subject Matter Knowledge</w:t>
            </w:r>
          </w:p>
          <w:p w14:paraId="1719EEC9" w14:textId="77777777" w:rsidR="00780388" w:rsidRPr="004A59A7" w:rsidRDefault="00780388" w:rsidP="00D95D6B">
            <w:pPr>
              <w:widowControl/>
              <w:ind w:left="-108"/>
              <w:jc w:val="center"/>
              <w:rPr>
                <w:rFonts w:asciiTheme="minorHAnsi" w:eastAsia="Times New Roman" w:hAnsiTheme="minorHAnsi" w:cstheme="minorHAnsi"/>
                <w:szCs w:val="24"/>
              </w:rPr>
            </w:pPr>
          </w:p>
          <w:p w14:paraId="58EA5A1A"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p w14:paraId="318F836B" w14:textId="77777777" w:rsidR="00780388" w:rsidRPr="004A59A7" w:rsidRDefault="00780388" w:rsidP="00D95D6B">
            <w:pPr>
              <w:widowControl/>
              <w:ind w:left="-108"/>
              <w:jc w:val="center"/>
              <w:rPr>
                <w:rFonts w:asciiTheme="minorHAnsi" w:eastAsia="Times New Roman" w:hAnsiTheme="minorHAnsi" w:cstheme="minorHAnsi"/>
                <w:szCs w:val="24"/>
              </w:rPr>
            </w:pPr>
          </w:p>
          <w:p w14:paraId="69B16FE4"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2.E.1  High Expectations</w:t>
            </w:r>
          </w:p>
        </w:tc>
      </w:tr>
      <w:tr w:rsidR="00780388" w:rsidRPr="004A59A7" w14:paraId="78FB76C8" w14:textId="77777777" w:rsidTr="00D95D6B">
        <w:tc>
          <w:tcPr>
            <w:tcW w:w="5688" w:type="dxa"/>
            <w:shd w:val="clear" w:color="auto" w:fill="D6E3BC"/>
            <w:vAlign w:val="center"/>
          </w:tcPr>
          <w:p w14:paraId="47CA4B18"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(b)  Learning Environment indicator: Creates and maintains a safe and collaborative learning environment that values diversity and motivates students to take academic risks, challenge themselves, and claim ownership of their learning.</w:t>
            </w:r>
          </w:p>
        </w:tc>
        <w:tc>
          <w:tcPr>
            <w:tcW w:w="4680" w:type="dxa"/>
            <w:shd w:val="clear" w:color="auto" w:fill="D6E3BC"/>
            <w:vAlign w:val="center"/>
          </w:tcPr>
          <w:p w14:paraId="36AFC198"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1.A.3:  Well-Structured Units and Lessons</w:t>
            </w:r>
          </w:p>
          <w:p w14:paraId="0FA2B0F3" w14:textId="77777777" w:rsidR="00780388" w:rsidRPr="004A59A7" w:rsidRDefault="00780388" w:rsidP="00D95D6B">
            <w:pPr>
              <w:widowControl/>
              <w:ind w:left="-108"/>
              <w:jc w:val="center"/>
              <w:rPr>
                <w:rFonts w:asciiTheme="minorHAnsi" w:eastAsia="Times New Roman" w:hAnsiTheme="minorHAnsi" w:cstheme="minorHAnsi"/>
                <w:szCs w:val="24"/>
              </w:rPr>
            </w:pPr>
          </w:p>
          <w:p w14:paraId="6F6B0DC0"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2.B.1  Safe Learning Environment</w:t>
            </w:r>
          </w:p>
        </w:tc>
      </w:tr>
      <w:tr w:rsidR="00780388" w:rsidRPr="004A59A7" w14:paraId="0A472F0A" w14:textId="77777777" w:rsidTr="00D95D6B">
        <w:trPr>
          <w:trHeight w:val="1178"/>
        </w:trPr>
        <w:tc>
          <w:tcPr>
            <w:tcW w:w="5688" w:type="dxa"/>
            <w:shd w:val="clear" w:color="auto" w:fill="D6E3BC"/>
            <w:vAlign w:val="center"/>
          </w:tcPr>
          <w:p w14:paraId="6208D68F"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c)  Cultural Proficiency indicator: Actively creates and maintains an environment in which students' diverse backgrounds, identities, strengths, and challenges are respected.</w:t>
            </w:r>
          </w:p>
        </w:tc>
        <w:tc>
          <w:tcPr>
            <w:tcW w:w="4680" w:type="dxa"/>
            <w:shd w:val="clear" w:color="auto" w:fill="D6E3BC"/>
            <w:vAlign w:val="center"/>
          </w:tcPr>
          <w:p w14:paraId="081C0831"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p w14:paraId="3672E3EB" w14:textId="77777777" w:rsidR="00780388" w:rsidRPr="004A59A7" w:rsidRDefault="00780388" w:rsidP="00D95D6B">
            <w:pPr>
              <w:widowControl/>
              <w:ind w:left="-108"/>
              <w:jc w:val="center"/>
              <w:rPr>
                <w:rFonts w:asciiTheme="minorHAnsi" w:eastAsia="Times New Roman" w:hAnsiTheme="minorHAnsi" w:cstheme="minorHAnsi"/>
                <w:szCs w:val="24"/>
              </w:rPr>
            </w:pPr>
          </w:p>
          <w:p w14:paraId="709E76F9"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2.B.1  Safe Learning Environment</w:t>
            </w:r>
          </w:p>
        </w:tc>
      </w:tr>
      <w:tr w:rsidR="00780388" w:rsidRPr="004A59A7" w14:paraId="1DBF31B3" w14:textId="77777777" w:rsidTr="00D95D6B">
        <w:tc>
          <w:tcPr>
            <w:tcW w:w="5688" w:type="dxa"/>
            <w:shd w:val="clear" w:color="auto" w:fill="D6E3BC"/>
            <w:vAlign w:val="center"/>
          </w:tcPr>
          <w:p w14:paraId="67E43A6B"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(d)  Expectations indicator: Plans and implements lessons that set clear and high expectations and make knowledge accessible for all students.</w:t>
            </w:r>
          </w:p>
        </w:tc>
        <w:tc>
          <w:tcPr>
            <w:tcW w:w="4680" w:type="dxa"/>
            <w:shd w:val="clear" w:color="auto" w:fill="D6E3BC"/>
            <w:vAlign w:val="center"/>
          </w:tcPr>
          <w:p w14:paraId="39A20605"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1.A.1 Subject Matter Knowledge</w:t>
            </w:r>
          </w:p>
          <w:p w14:paraId="17CDBDEB" w14:textId="77777777" w:rsidR="00780388" w:rsidRPr="004A59A7" w:rsidRDefault="00780388" w:rsidP="00D95D6B">
            <w:pPr>
              <w:widowControl/>
              <w:ind w:left="-108"/>
              <w:jc w:val="center"/>
              <w:rPr>
                <w:rFonts w:asciiTheme="minorHAnsi" w:eastAsia="Times New Roman" w:hAnsiTheme="minorHAnsi" w:cstheme="minorHAnsi"/>
                <w:szCs w:val="24"/>
              </w:rPr>
            </w:pPr>
          </w:p>
          <w:p w14:paraId="4AFB9A84"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p w14:paraId="316391FF" w14:textId="77777777" w:rsidR="00780388" w:rsidRPr="004A59A7" w:rsidRDefault="00780388" w:rsidP="00D95D6B">
            <w:pPr>
              <w:widowControl/>
              <w:ind w:left="-108"/>
              <w:jc w:val="center"/>
              <w:rPr>
                <w:rFonts w:asciiTheme="minorHAnsi" w:eastAsia="Times New Roman" w:hAnsiTheme="minorHAnsi" w:cstheme="minorHAnsi"/>
                <w:szCs w:val="24"/>
              </w:rPr>
            </w:pPr>
          </w:p>
          <w:p w14:paraId="53E4A785"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2.E.1  High Expectations</w:t>
            </w:r>
          </w:p>
          <w:p w14:paraId="05FB88E3" w14:textId="77777777" w:rsidR="00780388" w:rsidRPr="004A59A7" w:rsidRDefault="00780388" w:rsidP="00D95D6B">
            <w:pPr>
              <w:widowControl/>
              <w:ind w:left="-108"/>
              <w:jc w:val="center"/>
              <w:rPr>
                <w:rFonts w:asciiTheme="minorHAnsi" w:eastAsia="Times New Roman" w:hAnsiTheme="minorHAnsi" w:cstheme="minorHAnsi"/>
                <w:szCs w:val="24"/>
              </w:rPr>
            </w:pPr>
          </w:p>
        </w:tc>
      </w:tr>
      <w:tr w:rsidR="00780388" w:rsidRPr="004A59A7" w14:paraId="4655048E" w14:textId="77777777" w:rsidTr="00D95D6B">
        <w:tc>
          <w:tcPr>
            <w:tcW w:w="5688" w:type="dxa"/>
            <w:shd w:val="clear" w:color="auto" w:fill="D6E3BC"/>
            <w:vAlign w:val="center"/>
          </w:tcPr>
          <w:p w14:paraId="4AE27392"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(f)  Classroom Management Indicator:  Employs a variety of classroom management strategies to monitor, modify, and motivate positive student behavior and to establish and maintain consistent routines and procedures.</w:t>
            </w:r>
          </w:p>
        </w:tc>
        <w:tc>
          <w:tcPr>
            <w:tcW w:w="4680" w:type="dxa"/>
            <w:shd w:val="clear" w:color="auto" w:fill="D6E3BC"/>
            <w:vAlign w:val="center"/>
          </w:tcPr>
          <w:p w14:paraId="6C78962E"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1.A.3:  Well-Structured Units and Lessons</w:t>
            </w:r>
          </w:p>
          <w:p w14:paraId="6926635C" w14:textId="77777777" w:rsidR="00780388" w:rsidRPr="004A59A7" w:rsidRDefault="00780388" w:rsidP="00D95D6B">
            <w:pPr>
              <w:widowControl/>
              <w:ind w:left="-108"/>
              <w:jc w:val="center"/>
              <w:rPr>
                <w:rFonts w:asciiTheme="minorHAnsi" w:eastAsia="Times New Roman" w:hAnsiTheme="minorHAnsi" w:cstheme="minorHAnsi"/>
                <w:szCs w:val="24"/>
              </w:rPr>
            </w:pPr>
          </w:p>
          <w:p w14:paraId="00BEBBFC"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p w14:paraId="303E53D1" w14:textId="77777777" w:rsidR="00780388" w:rsidRPr="004A59A7" w:rsidRDefault="00780388" w:rsidP="00D95D6B">
            <w:pPr>
              <w:widowControl/>
              <w:ind w:left="-108"/>
              <w:jc w:val="center"/>
              <w:rPr>
                <w:rFonts w:asciiTheme="minorHAnsi" w:eastAsia="Times New Roman" w:hAnsiTheme="minorHAnsi" w:cstheme="minorHAnsi"/>
                <w:szCs w:val="24"/>
              </w:rPr>
            </w:pPr>
          </w:p>
          <w:p w14:paraId="62224547"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2.B.1  Safe Learning Environment</w:t>
            </w:r>
          </w:p>
          <w:p w14:paraId="57C89DA7" w14:textId="77777777" w:rsidR="00780388" w:rsidRPr="004A59A7" w:rsidRDefault="00780388" w:rsidP="00D95D6B">
            <w:pPr>
              <w:widowControl/>
              <w:ind w:left="-108"/>
              <w:jc w:val="center"/>
              <w:rPr>
                <w:rFonts w:asciiTheme="minorHAnsi" w:eastAsia="Times New Roman" w:hAnsiTheme="minorHAnsi" w:cstheme="minorHAnsi"/>
                <w:szCs w:val="24"/>
              </w:rPr>
            </w:pPr>
          </w:p>
        </w:tc>
      </w:tr>
      <w:tr w:rsidR="00780388" w:rsidRPr="004A59A7" w14:paraId="41067457" w14:textId="77777777" w:rsidTr="00D95D6B">
        <w:trPr>
          <w:trHeight w:val="728"/>
        </w:trPr>
        <w:tc>
          <w:tcPr>
            <w:tcW w:w="5688" w:type="dxa"/>
            <w:shd w:val="clear" w:color="auto" w:fill="D6E3BC"/>
            <w:vAlign w:val="center"/>
          </w:tcPr>
          <w:p w14:paraId="469CA336"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SEI (b) Uses effective strategies and techniques for making content accessible to English language learners.</w:t>
            </w:r>
          </w:p>
        </w:tc>
        <w:tc>
          <w:tcPr>
            <w:tcW w:w="4680" w:type="dxa"/>
            <w:shd w:val="clear" w:color="auto" w:fill="D6E3BC"/>
            <w:vAlign w:val="center"/>
          </w:tcPr>
          <w:p w14:paraId="022E307A"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tc>
      </w:tr>
      <w:tr w:rsidR="00780388" w:rsidRPr="004A59A7" w14:paraId="7D8248BE" w14:textId="77777777" w:rsidTr="002F272F">
        <w:tc>
          <w:tcPr>
            <w:tcW w:w="5688" w:type="dxa"/>
            <w:tcBorders>
              <w:bottom w:val="nil"/>
            </w:tcBorders>
            <w:shd w:val="clear" w:color="auto" w:fill="D6E3BC"/>
            <w:vAlign w:val="center"/>
          </w:tcPr>
          <w:p w14:paraId="2FA9F40B"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 xml:space="preserve">SEI (d) Creates and maintains a safe collaborative learning environment that values diversity and motivates students to meet high standards of conduct, effort, and performance. </w:t>
            </w:r>
          </w:p>
        </w:tc>
        <w:tc>
          <w:tcPr>
            <w:tcW w:w="4680" w:type="dxa"/>
            <w:tcBorders>
              <w:bottom w:val="nil"/>
            </w:tcBorders>
            <w:shd w:val="clear" w:color="auto" w:fill="D6E3BC"/>
            <w:vAlign w:val="center"/>
          </w:tcPr>
          <w:p w14:paraId="26040A96"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p w14:paraId="0416E600" w14:textId="77777777" w:rsidR="00780388" w:rsidRPr="004A59A7" w:rsidRDefault="00780388" w:rsidP="00D95D6B">
            <w:pPr>
              <w:widowControl/>
              <w:ind w:left="-108"/>
              <w:jc w:val="center"/>
              <w:rPr>
                <w:rFonts w:asciiTheme="minorHAnsi" w:eastAsia="Times New Roman" w:hAnsiTheme="minorHAnsi" w:cstheme="minorHAnsi"/>
                <w:szCs w:val="24"/>
              </w:rPr>
            </w:pPr>
          </w:p>
        </w:tc>
      </w:tr>
      <w:tr w:rsidR="00780388" w:rsidRPr="004A59A7" w14:paraId="10252723" w14:textId="77777777" w:rsidTr="002F272F">
        <w:tc>
          <w:tcPr>
            <w:tcW w:w="10368" w:type="dxa"/>
            <w:gridSpan w:val="2"/>
            <w:tcBorders>
              <w:top w:val="nil"/>
              <w:left w:val="nil"/>
              <w:bottom w:val="nil"/>
              <w:right w:val="nil"/>
            </w:tcBorders>
            <w:shd w:val="clear" w:color="auto" w:fill="auto"/>
            <w:vAlign w:val="center"/>
          </w:tcPr>
          <w:p w14:paraId="66189787" w14:textId="77777777" w:rsidR="00BB4669" w:rsidRDefault="00BB4669" w:rsidP="00BB4669">
            <w:pPr>
              <w:widowControl/>
              <w:rPr>
                <w:rFonts w:asciiTheme="minorHAnsi" w:eastAsia="Times New Roman" w:hAnsiTheme="minorHAnsi" w:cstheme="minorHAnsi"/>
                <w:b/>
                <w:szCs w:val="24"/>
              </w:rPr>
            </w:pPr>
          </w:p>
          <w:p w14:paraId="453C9660" w14:textId="458954CE" w:rsidR="00BB4669" w:rsidRDefault="00BB4669" w:rsidP="00D95D6B">
            <w:pPr>
              <w:widowControl/>
              <w:ind w:left="-108"/>
              <w:rPr>
                <w:rFonts w:asciiTheme="minorHAnsi" w:eastAsia="Times New Roman" w:hAnsiTheme="minorHAnsi" w:cstheme="minorHAnsi"/>
                <w:b/>
                <w:szCs w:val="24"/>
              </w:rPr>
            </w:pPr>
          </w:p>
          <w:p w14:paraId="40873E53" w14:textId="1F6EC7AD" w:rsidR="00BB4669" w:rsidRDefault="00BB4669" w:rsidP="00D95D6B">
            <w:pPr>
              <w:widowControl/>
              <w:ind w:left="-108"/>
              <w:rPr>
                <w:rFonts w:asciiTheme="minorHAnsi" w:eastAsia="Times New Roman" w:hAnsiTheme="minorHAnsi" w:cstheme="minorHAnsi"/>
                <w:b/>
                <w:szCs w:val="24"/>
              </w:rPr>
            </w:pPr>
          </w:p>
          <w:p w14:paraId="77EF034C" w14:textId="7FAFB174" w:rsidR="00BB4669" w:rsidRDefault="00BB4669" w:rsidP="00D95D6B">
            <w:pPr>
              <w:widowControl/>
              <w:ind w:left="-108"/>
              <w:rPr>
                <w:rFonts w:asciiTheme="minorHAnsi" w:eastAsia="Times New Roman" w:hAnsiTheme="minorHAnsi" w:cstheme="minorHAnsi"/>
                <w:b/>
                <w:szCs w:val="24"/>
              </w:rPr>
            </w:pPr>
          </w:p>
          <w:p w14:paraId="0E0714C3" w14:textId="77777777" w:rsidR="002F272F" w:rsidRDefault="002F272F" w:rsidP="002F272F">
            <w:pPr>
              <w:widowControl/>
              <w:rPr>
                <w:rFonts w:asciiTheme="minorHAnsi" w:eastAsia="Times New Roman" w:hAnsiTheme="minorHAnsi" w:cstheme="minorHAnsi"/>
                <w:b/>
                <w:szCs w:val="24"/>
              </w:rPr>
            </w:pPr>
          </w:p>
          <w:p w14:paraId="0A2D8A73" w14:textId="604F7B8C" w:rsidR="00BB4669" w:rsidRPr="004A59A7" w:rsidRDefault="00BB4669" w:rsidP="00BB4669">
            <w:pPr>
              <w:widowControl/>
              <w:rPr>
                <w:rFonts w:asciiTheme="minorHAnsi" w:eastAsia="Times New Roman" w:hAnsiTheme="minorHAnsi" w:cstheme="minorHAnsi"/>
                <w:b/>
                <w:szCs w:val="24"/>
              </w:rPr>
            </w:pPr>
          </w:p>
        </w:tc>
      </w:tr>
      <w:tr w:rsidR="002F272F" w:rsidRPr="004A59A7" w14:paraId="1B6B552F" w14:textId="77777777" w:rsidTr="002F272F">
        <w:tc>
          <w:tcPr>
            <w:tcW w:w="10368" w:type="dxa"/>
            <w:gridSpan w:val="2"/>
            <w:tcBorders>
              <w:top w:val="nil"/>
              <w:left w:val="nil"/>
              <w:bottom w:val="nil"/>
              <w:right w:val="nil"/>
            </w:tcBorders>
            <w:shd w:val="clear" w:color="auto" w:fill="auto"/>
            <w:vAlign w:val="center"/>
          </w:tcPr>
          <w:p w14:paraId="5460AA1F" w14:textId="77777777" w:rsidR="002F272F" w:rsidRDefault="002F272F" w:rsidP="00BB4669">
            <w:pPr>
              <w:widowControl/>
              <w:rPr>
                <w:rFonts w:asciiTheme="minorHAnsi" w:eastAsia="Times New Roman" w:hAnsiTheme="minorHAnsi" w:cstheme="minorHAnsi"/>
                <w:b/>
                <w:szCs w:val="24"/>
              </w:rPr>
            </w:pPr>
          </w:p>
        </w:tc>
      </w:tr>
      <w:tr w:rsidR="00780388" w:rsidRPr="004A59A7" w14:paraId="4D7BDDFB" w14:textId="77777777" w:rsidTr="002F272F">
        <w:tc>
          <w:tcPr>
            <w:tcW w:w="10368" w:type="dxa"/>
            <w:gridSpan w:val="2"/>
            <w:tcBorders>
              <w:top w:val="nil"/>
              <w:left w:val="single" w:sz="4" w:space="0" w:color="auto"/>
              <w:bottom w:val="single" w:sz="4" w:space="0" w:color="auto"/>
              <w:right w:val="single" w:sz="4" w:space="0" w:color="auto"/>
            </w:tcBorders>
            <w:shd w:val="clear" w:color="auto" w:fill="FDE9D9"/>
            <w:vAlign w:val="center"/>
          </w:tcPr>
          <w:p w14:paraId="7C5B1685" w14:textId="77777777" w:rsidR="00780388" w:rsidRPr="004A59A7" w:rsidRDefault="00780388" w:rsidP="00D95D6B">
            <w:pPr>
              <w:widowControl/>
              <w:ind w:left="-108"/>
              <w:rPr>
                <w:rFonts w:asciiTheme="minorHAnsi" w:eastAsia="Times New Roman" w:hAnsiTheme="minorHAnsi" w:cstheme="minorHAnsi"/>
                <w:szCs w:val="24"/>
              </w:rPr>
            </w:pPr>
            <w:r w:rsidRPr="004A59A7">
              <w:rPr>
                <w:rFonts w:asciiTheme="minorHAnsi" w:eastAsia="Times New Roman" w:hAnsiTheme="minorHAnsi" w:cstheme="minorHAnsi"/>
                <w:b/>
                <w:szCs w:val="24"/>
              </w:rPr>
              <w:lastRenderedPageBreak/>
              <w:t>(4) Professional Culture Standard:</w:t>
            </w:r>
            <w:r w:rsidRPr="004A59A7">
              <w:rPr>
                <w:rFonts w:asciiTheme="minorHAnsi" w:eastAsia="Times New Roman" w:hAnsiTheme="minorHAnsi" w:cstheme="minorHAnsi"/>
                <w:szCs w:val="24"/>
              </w:rPr>
              <w:t xml:space="preserve"> Promotes the learning and growth of all students through ethical, culturally proficient, skilled, and collaborative practice.</w:t>
            </w:r>
          </w:p>
        </w:tc>
      </w:tr>
      <w:tr w:rsidR="00780388" w:rsidRPr="004A59A7" w14:paraId="467164C0" w14:textId="77777777" w:rsidTr="00BB4669">
        <w:tc>
          <w:tcPr>
            <w:tcW w:w="5688" w:type="dxa"/>
            <w:tcBorders>
              <w:top w:val="single" w:sz="4" w:space="0" w:color="auto"/>
            </w:tcBorders>
            <w:shd w:val="clear" w:color="auto" w:fill="FDE9D9"/>
            <w:vAlign w:val="center"/>
          </w:tcPr>
          <w:p w14:paraId="23FFD528" w14:textId="77777777" w:rsidR="00780388" w:rsidRPr="004A59A7" w:rsidRDefault="00780388" w:rsidP="00D95D6B">
            <w:pPr>
              <w:widowControl/>
              <w:jc w:val="center"/>
              <w:rPr>
                <w:rFonts w:asciiTheme="minorHAnsi" w:eastAsia="Times New Roman" w:hAnsiTheme="minorHAnsi" w:cstheme="minorHAnsi"/>
                <w:b/>
                <w:szCs w:val="24"/>
              </w:rPr>
            </w:pPr>
            <w:r w:rsidRPr="004A59A7">
              <w:rPr>
                <w:rFonts w:asciiTheme="minorHAnsi" w:eastAsia="Times New Roman" w:hAnsiTheme="minorHAnsi" w:cstheme="minorHAnsi"/>
                <w:b/>
                <w:szCs w:val="24"/>
              </w:rPr>
              <w:t>Indicator</w:t>
            </w:r>
          </w:p>
        </w:tc>
        <w:tc>
          <w:tcPr>
            <w:tcW w:w="4680" w:type="dxa"/>
            <w:tcBorders>
              <w:top w:val="single" w:sz="4" w:space="0" w:color="auto"/>
            </w:tcBorders>
            <w:shd w:val="clear" w:color="auto" w:fill="FDE9D9"/>
            <w:vAlign w:val="center"/>
          </w:tcPr>
          <w:p w14:paraId="28A11362"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b/>
                <w:szCs w:val="24"/>
              </w:rPr>
              <w:t>Essential Element in CAP</w:t>
            </w:r>
          </w:p>
        </w:tc>
      </w:tr>
      <w:tr w:rsidR="00780388" w:rsidRPr="004A59A7" w14:paraId="1BCB5464" w14:textId="77777777" w:rsidTr="00D95D6B">
        <w:trPr>
          <w:trHeight w:val="2015"/>
        </w:trPr>
        <w:tc>
          <w:tcPr>
            <w:tcW w:w="5688" w:type="dxa"/>
            <w:shd w:val="clear" w:color="auto" w:fill="FBD4B4"/>
            <w:vAlign w:val="center"/>
          </w:tcPr>
          <w:p w14:paraId="073304E7"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(a)  Reflection indicator: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tc>
        <w:tc>
          <w:tcPr>
            <w:tcW w:w="4680" w:type="dxa"/>
            <w:shd w:val="clear" w:color="auto" w:fill="FBD4B4"/>
            <w:vAlign w:val="center"/>
          </w:tcPr>
          <w:p w14:paraId="4B4FBBA7" w14:textId="77777777" w:rsidR="00780388" w:rsidRPr="004A59A7" w:rsidRDefault="00780388" w:rsidP="00D95D6B">
            <w:pPr>
              <w:widowControl/>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4.A.1   Reflective Practice</w:t>
            </w:r>
          </w:p>
          <w:p w14:paraId="4CDED62D" w14:textId="77777777" w:rsidR="00780388" w:rsidRPr="004A59A7" w:rsidRDefault="00780388" w:rsidP="00D95D6B">
            <w:pPr>
              <w:widowControl/>
              <w:ind w:left="-108"/>
              <w:jc w:val="center"/>
              <w:rPr>
                <w:rFonts w:asciiTheme="minorHAnsi" w:eastAsia="Times New Roman" w:hAnsiTheme="minorHAnsi" w:cstheme="minorHAnsi"/>
                <w:szCs w:val="24"/>
              </w:rPr>
            </w:pPr>
          </w:p>
        </w:tc>
      </w:tr>
      <w:tr w:rsidR="00780388" w:rsidRPr="004A59A7" w14:paraId="1588DC88" w14:textId="77777777" w:rsidTr="00D95D6B">
        <w:tc>
          <w:tcPr>
            <w:tcW w:w="5688" w:type="dxa"/>
            <w:shd w:val="clear" w:color="auto" w:fill="FBD4B4"/>
            <w:vAlign w:val="center"/>
          </w:tcPr>
          <w:p w14:paraId="62714436" w14:textId="77777777" w:rsidR="00780388" w:rsidRPr="004A59A7" w:rsidRDefault="00780388" w:rsidP="00D95D6B">
            <w:pPr>
              <w:widowControl/>
              <w:rPr>
                <w:rFonts w:asciiTheme="minorHAnsi" w:eastAsia="Times New Roman" w:hAnsiTheme="minorHAnsi" w:cstheme="minorHAnsi"/>
                <w:szCs w:val="24"/>
              </w:rPr>
            </w:pPr>
            <w:r w:rsidRPr="004A59A7">
              <w:rPr>
                <w:rFonts w:asciiTheme="minorHAnsi" w:eastAsia="Times New Roman" w:hAnsiTheme="minorHAnsi" w:cstheme="minorHAnsi"/>
                <w:szCs w:val="24"/>
              </w:rPr>
              <w:t>(f)  Professional Responsibilities indicator: Is ethical and reliable, and meets routine responsibilities consistently.</w:t>
            </w:r>
          </w:p>
          <w:p w14:paraId="2E52BB30" w14:textId="77777777" w:rsidR="00780388" w:rsidRPr="004A59A7" w:rsidRDefault="00780388" w:rsidP="00D95D6B">
            <w:pPr>
              <w:widowControl/>
              <w:rPr>
                <w:rFonts w:asciiTheme="minorHAnsi" w:eastAsia="Times New Roman" w:hAnsiTheme="minorHAnsi" w:cstheme="minorHAnsi"/>
                <w:szCs w:val="24"/>
              </w:rPr>
            </w:pPr>
          </w:p>
        </w:tc>
        <w:tc>
          <w:tcPr>
            <w:tcW w:w="4680" w:type="dxa"/>
            <w:shd w:val="clear" w:color="auto" w:fill="FBD4B4"/>
            <w:vAlign w:val="center"/>
          </w:tcPr>
          <w:p w14:paraId="36E3E5AC" w14:textId="77777777" w:rsidR="00780388" w:rsidRPr="004A59A7" w:rsidRDefault="00780388" w:rsidP="00D95D6B">
            <w:pPr>
              <w:widowControl/>
              <w:spacing w:after="240"/>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1.A.1 Subject Matter Knowledge</w:t>
            </w:r>
          </w:p>
          <w:p w14:paraId="5FEECB07" w14:textId="77777777" w:rsidR="00780388" w:rsidRPr="004A59A7" w:rsidRDefault="00780388" w:rsidP="00D95D6B">
            <w:pPr>
              <w:widowControl/>
              <w:spacing w:after="240"/>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1.A.43   Well-Structured Units and Lessons:</w:t>
            </w:r>
          </w:p>
          <w:p w14:paraId="66EFB9AF" w14:textId="77777777" w:rsidR="00780388" w:rsidRPr="004A59A7" w:rsidRDefault="00780388" w:rsidP="00D95D6B">
            <w:pPr>
              <w:widowControl/>
              <w:spacing w:after="240"/>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1.B.2  Adjustments to Practice</w:t>
            </w:r>
          </w:p>
          <w:p w14:paraId="15B36F3B" w14:textId="77777777" w:rsidR="00780388" w:rsidRPr="004A59A7" w:rsidRDefault="00780388" w:rsidP="00D95D6B">
            <w:pPr>
              <w:widowControl/>
              <w:spacing w:after="240"/>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2.A.3  Meeting Diverse Needs</w:t>
            </w:r>
          </w:p>
          <w:p w14:paraId="1FBED931" w14:textId="77777777" w:rsidR="00780388" w:rsidRPr="004A59A7" w:rsidRDefault="00780388" w:rsidP="00D95D6B">
            <w:pPr>
              <w:widowControl/>
              <w:spacing w:after="240"/>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2.B.1  Safe Learning Environment</w:t>
            </w:r>
          </w:p>
          <w:p w14:paraId="779EED76" w14:textId="77777777" w:rsidR="00780388" w:rsidRPr="004A59A7" w:rsidRDefault="00780388" w:rsidP="00D95D6B">
            <w:pPr>
              <w:widowControl/>
              <w:spacing w:after="240"/>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2.E.1  High Expectations</w:t>
            </w:r>
          </w:p>
          <w:p w14:paraId="2708BEB5" w14:textId="77777777" w:rsidR="00780388" w:rsidRPr="004A59A7" w:rsidRDefault="00780388" w:rsidP="00D95D6B">
            <w:pPr>
              <w:widowControl/>
              <w:spacing w:after="240"/>
              <w:ind w:left="-108"/>
              <w:jc w:val="center"/>
              <w:rPr>
                <w:rFonts w:asciiTheme="minorHAnsi" w:eastAsia="Times New Roman" w:hAnsiTheme="minorHAnsi" w:cstheme="minorHAnsi"/>
                <w:szCs w:val="24"/>
              </w:rPr>
            </w:pPr>
            <w:r w:rsidRPr="004A59A7">
              <w:rPr>
                <w:rFonts w:asciiTheme="minorHAnsi" w:eastAsia="Times New Roman" w:hAnsiTheme="minorHAnsi" w:cstheme="minorHAnsi"/>
                <w:szCs w:val="24"/>
              </w:rPr>
              <w:t>4.A.1   Reflective Practice</w:t>
            </w:r>
          </w:p>
        </w:tc>
      </w:tr>
    </w:tbl>
    <w:p w14:paraId="3E80F86A" w14:textId="77777777" w:rsidR="00780388" w:rsidRPr="004A59A7" w:rsidRDefault="00780388" w:rsidP="00780388">
      <w:pPr>
        <w:pStyle w:val="Heading1"/>
        <w:rPr>
          <w:rFonts w:asciiTheme="minorHAnsi" w:hAnsiTheme="minorHAnsi" w:cstheme="minorHAnsi"/>
          <w:sz w:val="24"/>
          <w:szCs w:val="24"/>
        </w:rPr>
        <w:sectPr w:rsidR="00780388" w:rsidRPr="004A59A7" w:rsidSect="00AE4C2C">
          <w:headerReference w:type="default" r:id="rId6"/>
          <w:pgSz w:w="12240" w:h="15840"/>
          <w:pgMar w:top="1440" w:right="1080" w:bottom="1440" w:left="1080" w:header="0" w:footer="548" w:gutter="0"/>
          <w:cols w:space="720"/>
        </w:sectPr>
      </w:pPr>
    </w:p>
    <w:p w14:paraId="0D767A51" w14:textId="77777777" w:rsidR="003509C9" w:rsidRPr="004A59A7" w:rsidRDefault="003509C9">
      <w:pPr>
        <w:rPr>
          <w:rFonts w:asciiTheme="minorHAnsi" w:hAnsiTheme="minorHAnsi" w:cstheme="minorHAnsi"/>
          <w:szCs w:val="24"/>
        </w:rPr>
      </w:pPr>
    </w:p>
    <w:sectPr w:rsidR="003509C9" w:rsidRPr="004A5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3B507" w14:textId="77777777" w:rsidR="00E47E37" w:rsidRDefault="00E47E37" w:rsidP="004A59A7">
      <w:r>
        <w:separator/>
      </w:r>
    </w:p>
  </w:endnote>
  <w:endnote w:type="continuationSeparator" w:id="0">
    <w:p w14:paraId="0C5BD737" w14:textId="77777777" w:rsidR="00E47E37" w:rsidRDefault="00E47E37" w:rsidP="004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4B644" w14:textId="77777777" w:rsidR="00E47E37" w:rsidRDefault="00E47E37" w:rsidP="004A59A7">
      <w:r>
        <w:separator/>
      </w:r>
    </w:p>
  </w:footnote>
  <w:footnote w:type="continuationSeparator" w:id="0">
    <w:p w14:paraId="23AF1FAF" w14:textId="77777777" w:rsidR="00E47E37" w:rsidRDefault="00E47E37" w:rsidP="004A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DE62" w14:textId="77777777" w:rsidR="00707710" w:rsidRDefault="00E47E37" w:rsidP="000538A5">
    <w:pPr>
      <w:pStyle w:val="Header"/>
      <w:jc w:val="right"/>
      <w:rPr>
        <w:szCs w:val="28"/>
      </w:rPr>
    </w:pPr>
  </w:p>
  <w:p w14:paraId="0C4E5AAD" w14:textId="16765435" w:rsidR="00707710" w:rsidRPr="002C7ABD" w:rsidRDefault="00E47E37" w:rsidP="002C7ABD">
    <w:pPr>
      <w:pStyle w:val="Header"/>
      <w:jc w:val="right"/>
      <w:rPr>
        <w:b/>
        <w:color w:val="44546A" w:themeColor="text2"/>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88"/>
    <w:rsid w:val="001A1517"/>
    <w:rsid w:val="002F272F"/>
    <w:rsid w:val="003509C9"/>
    <w:rsid w:val="004A59A7"/>
    <w:rsid w:val="006B2463"/>
    <w:rsid w:val="00780388"/>
    <w:rsid w:val="009B6063"/>
    <w:rsid w:val="00BB4669"/>
    <w:rsid w:val="00BF3077"/>
    <w:rsid w:val="00D70906"/>
    <w:rsid w:val="00E47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9F7B"/>
  <w15:chartTrackingRefBased/>
  <w15:docId w15:val="{E079F9C1-D713-487E-B090-F1AB13C5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88"/>
    <w:pPr>
      <w:widowControl w:val="0"/>
      <w:spacing w:after="0" w:line="240" w:lineRule="auto"/>
    </w:pPr>
    <w:rPr>
      <w:rFonts w:ascii="Calibri" w:eastAsia="Calibri" w:hAnsi="Calibri" w:cs="Times New Roman"/>
      <w:sz w:val="24"/>
    </w:rPr>
  </w:style>
  <w:style w:type="paragraph" w:styleId="Heading1">
    <w:name w:val="heading 1"/>
    <w:basedOn w:val="Normal"/>
    <w:next w:val="Normal"/>
    <w:link w:val="Heading1Char"/>
    <w:uiPriority w:val="9"/>
    <w:qFormat/>
    <w:rsid w:val="00780388"/>
    <w:pPr>
      <w:keepNext/>
      <w:keepLines/>
      <w:pBdr>
        <w:bottom w:val="single" w:sz="4" w:space="1" w:color="1F497D"/>
      </w:pBdr>
      <w:spacing w:before="480" w:after="24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388"/>
    <w:rPr>
      <w:rFonts w:ascii="Calibri" w:eastAsia="Times New Roman" w:hAnsi="Calibri" w:cs="Times New Roman"/>
      <w:b/>
      <w:bCs/>
      <w:color w:val="365F91"/>
      <w:sz w:val="28"/>
      <w:szCs w:val="28"/>
    </w:rPr>
  </w:style>
  <w:style w:type="paragraph" w:styleId="Header">
    <w:name w:val="header"/>
    <w:basedOn w:val="Normal"/>
    <w:link w:val="HeaderChar"/>
    <w:uiPriority w:val="99"/>
    <w:unhideWhenUsed/>
    <w:rsid w:val="00780388"/>
    <w:pPr>
      <w:tabs>
        <w:tab w:val="center" w:pos="4680"/>
        <w:tab w:val="right" w:pos="9360"/>
      </w:tabs>
    </w:pPr>
  </w:style>
  <w:style w:type="character" w:customStyle="1" w:styleId="HeaderChar">
    <w:name w:val="Header Char"/>
    <w:basedOn w:val="DefaultParagraphFont"/>
    <w:link w:val="Header"/>
    <w:uiPriority w:val="99"/>
    <w:rsid w:val="00780388"/>
    <w:rPr>
      <w:rFonts w:ascii="Calibri" w:eastAsia="Calibri" w:hAnsi="Calibri" w:cs="Times New Roman"/>
      <w:sz w:val="24"/>
    </w:rPr>
  </w:style>
  <w:style w:type="paragraph" w:styleId="Footer">
    <w:name w:val="footer"/>
    <w:basedOn w:val="Normal"/>
    <w:link w:val="FooterChar"/>
    <w:uiPriority w:val="99"/>
    <w:unhideWhenUsed/>
    <w:rsid w:val="004A59A7"/>
    <w:pPr>
      <w:tabs>
        <w:tab w:val="center" w:pos="4680"/>
        <w:tab w:val="right" w:pos="9360"/>
      </w:tabs>
    </w:pPr>
  </w:style>
  <w:style w:type="character" w:customStyle="1" w:styleId="FooterChar">
    <w:name w:val="Footer Char"/>
    <w:basedOn w:val="DefaultParagraphFont"/>
    <w:link w:val="Footer"/>
    <w:uiPriority w:val="99"/>
    <w:rsid w:val="004A59A7"/>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Crosswalk of CAP's Essential Elements to PST Indicators</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 of CAP's Essential Elements to PST Indicators</dc:title>
  <dc:subject/>
  <dc:creator>DESE</dc:creator>
  <cp:keywords/>
  <dc:description/>
  <cp:lastModifiedBy>Zou, Dong (EOE)</cp:lastModifiedBy>
  <cp:revision>3</cp:revision>
  <dcterms:created xsi:type="dcterms:W3CDTF">2022-07-14T20:22:00Z</dcterms:created>
  <dcterms:modified xsi:type="dcterms:W3CDTF">2022-07-14T20:47:00Z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vt:lpwstr>
  </property>
</Properties>
</file>