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sz w:val="24"/>
          <w:szCs w:val="24"/>
        </w:rPr>
        <w:alias w:val="Title"/>
        <w:tag w:val=""/>
        <w:id w:val="1560443447"/>
        <w:placeholder>
          <w:docPart w:val="A3AFEAC8F1D341F78A8EAD80A6BCD894"/>
        </w:placeholder>
        <w:dataBinding w:prefixMappings="xmlns:ns0='http://purl.org/dc/elements/1.1/' xmlns:ns1='http://schemas.openxmlformats.org/package/2006/metadata/core-properties' " w:xpath="/ns1:coreProperties[1]/ns0:title[1]" w:storeItemID="{6C3C8BC8-F283-45AE-878A-BAB7291924A1}"/>
        <w:text/>
      </w:sdtPr>
      <w:sdtEndPr/>
      <w:sdtContent>
        <w:p w14:paraId="6784501D" w14:textId="4C861D4F" w:rsidR="00860B4A" w:rsidRPr="007C4C0B" w:rsidRDefault="00B237A5" w:rsidP="004331C3">
          <w:pPr>
            <w:jc w:val="center"/>
            <w:rPr>
              <w:b/>
              <w:sz w:val="24"/>
              <w:szCs w:val="24"/>
            </w:rPr>
          </w:pPr>
          <w:r w:rsidRPr="002B55DD">
            <w:rPr>
              <w:b/>
              <w:sz w:val="24"/>
              <w:szCs w:val="24"/>
            </w:rPr>
            <w:t>Pre-Practicum Gateways – Frequently Asked Questions</w:t>
          </w:r>
        </w:p>
      </w:sdtContent>
    </w:sdt>
    <w:p w14:paraId="33394B99" w14:textId="549296F0" w:rsidR="0081367E" w:rsidRDefault="00F3468C" w:rsidP="0081367E">
      <w:pPr>
        <w:rPr>
          <w:b/>
        </w:rPr>
      </w:pPr>
      <w:hyperlink w:anchor="Whatis" w:history="1">
        <w:r w:rsidR="0081367E" w:rsidRPr="00E10400">
          <w:rPr>
            <w:rStyle w:val="Hyperlink"/>
            <w:b/>
          </w:rPr>
          <w:t>What is a Pre-Practicum Gateway?</w:t>
        </w:r>
      </w:hyperlink>
    </w:p>
    <w:p w14:paraId="0FC0C865" w14:textId="2967FD79" w:rsidR="0081367E" w:rsidRPr="000E4F70" w:rsidRDefault="00F3468C" w:rsidP="0081367E">
      <w:pPr>
        <w:rPr>
          <w:b/>
        </w:rPr>
      </w:pPr>
      <w:hyperlink w:anchor="whyare" w:history="1">
        <w:r w:rsidR="0081367E" w:rsidRPr="00E10400">
          <w:rPr>
            <w:rStyle w:val="Hyperlink"/>
            <w:b/>
          </w:rPr>
          <w:t xml:space="preserve">Why are the model </w:t>
        </w:r>
        <w:r w:rsidR="00015E9C" w:rsidRPr="00E10400">
          <w:rPr>
            <w:rStyle w:val="Hyperlink"/>
            <w:b/>
          </w:rPr>
          <w:t>g</w:t>
        </w:r>
        <w:r w:rsidR="0081367E" w:rsidRPr="00E10400">
          <w:rPr>
            <w:rStyle w:val="Hyperlink"/>
            <w:b/>
          </w:rPr>
          <w:t>ateways called “tasks” and not “assessments”?</w:t>
        </w:r>
      </w:hyperlink>
    </w:p>
    <w:p w14:paraId="03A7DEE1" w14:textId="745CE7D8" w:rsidR="0081367E" w:rsidRPr="000E4F70" w:rsidRDefault="00F3468C" w:rsidP="0081367E">
      <w:pPr>
        <w:rPr>
          <w:b/>
        </w:rPr>
      </w:pPr>
      <w:hyperlink w:anchor="whatisdeses" w:history="1">
        <w:r w:rsidR="0081367E" w:rsidRPr="00E10400">
          <w:rPr>
            <w:rStyle w:val="Hyperlink"/>
            <w:b/>
          </w:rPr>
          <w:t xml:space="preserve">What is DESE’s criteria for a high-quality </w:t>
        </w:r>
        <w:r w:rsidR="00015E9C" w:rsidRPr="00E10400">
          <w:rPr>
            <w:rStyle w:val="Hyperlink"/>
            <w:b/>
          </w:rPr>
          <w:t>g</w:t>
        </w:r>
        <w:r w:rsidR="0081367E" w:rsidRPr="00E10400">
          <w:rPr>
            <w:rStyle w:val="Hyperlink"/>
            <w:b/>
          </w:rPr>
          <w:t>ateway?</w:t>
        </w:r>
      </w:hyperlink>
    </w:p>
    <w:p w14:paraId="4D22CCB0" w14:textId="7B69D4F1" w:rsidR="0081367E" w:rsidRPr="000E4F70" w:rsidRDefault="00F3468C" w:rsidP="0081367E">
      <w:pPr>
        <w:rPr>
          <w:b/>
        </w:rPr>
      </w:pPr>
      <w:hyperlink w:anchor="aresosrequired" w:history="1">
        <w:r w:rsidR="0081367E" w:rsidRPr="00E10400">
          <w:rPr>
            <w:rStyle w:val="Hyperlink"/>
            <w:b/>
          </w:rPr>
          <w:t>Are Sponsoring Organizations required to use</w:t>
        </w:r>
        <w:r w:rsidR="000D752A">
          <w:rPr>
            <w:rStyle w:val="Hyperlink"/>
            <w:b/>
          </w:rPr>
          <w:t xml:space="preserve"> model</w:t>
        </w:r>
        <w:r w:rsidR="0081367E" w:rsidRPr="00E10400">
          <w:rPr>
            <w:rStyle w:val="Hyperlink"/>
            <w:b/>
          </w:rPr>
          <w:t xml:space="preserve"> </w:t>
        </w:r>
        <w:r w:rsidR="00015E9C" w:rsidRPr="00E10400">
          <w:rPr>
            <w:rStyle w:val="Hyperlink"/>
            <w:b/>
          </w:rPr>
          <w:t>gateways</w:t>
        </w:r>
        <w:r w:rsidR="0081367E" w:rsidRPr="00E10400">
          <w:rPr>
            <w:rStyle w:val="Hyperlink"/>
            <w:b/>
          </w:rPr>
          <w:t xml:space="preserve"> or submit the</w:t>
        </w:r>
        <w:r w:rsidR="00015E9C" w:rsidRPr="00E10400">
          <w:rPr>
            <w:rStyle w:val="Hyperlink"/>
            <w:b/>
          </w:rPr>
          <w:t>ir</w:t>
        </w:r>
        <w:r w:rsidR="0081367E" w:rsidRPr="00E10400">
          <w:rPr>
            <w:rStyle w:val="Hyperlink"/>
            <w:b/>
          </w:rPr>
          <w:t xml:space="preserve"> </w:t>
        </w:r>
        <w:r w:rsidR="00015E9C" w:rsidRPr="00E10400">
          <w:rPr>
            <w:rStyle w:val="Hyperlink"/>
            <w:b/>
          </w:rPr>
          <w:t>gateways</w:t>
        </w:r>
        <w:r w:rsidR="0081367E" w:rsidRPr="00E10400">
          <w:rPr>
            <w:rStyle w:val="Hyperlink"/>
            <w:b/>
          </w:rPr>
          <w:t xml:space="preserve"> for DESE approval?</w:t>
        </w:r>
      </w:hyperlink>
    </w:p>
    <w:p w14:paraId="007A0348" w14:textId="4B0AF2B9" w:rsidR="00015E9C" w:rsidRDefault="00F3468C" w:rsidP="00015E9C">
      <w:pPr>
        <w:rPr>
          <w:rStyle w:val="Hyperlink"/>
          <w:b/>
        </w:rPr>
      </w:pPr>
      <w:hyperlink w:anchor="when" w:history="1">
        <w:r w:rsidR="00015E9C" w:rsidRPr="00E10400">
          <w:rPr>
            <w:rStyle w:val="Hyperlink"/>
            <w:b/>
          </w:rPr>
          <w:t>When in pre-practicum should gateways be administered?</w:t>
        </w:r>
      </w:hyperlink>
    </w:p>
    <w:p w14:paraId="7E0E7D31" w14:textId="6E596DE3" w:rsidR="00C44C18" w:rsidRPr="00C44C18" w:rsidRDefault="00F3468C" w:rsidP="00015E9C">
      <w:pPr>
        <w:rPr>
          <w:b/>
          <w:bCs/>
          <w:color w:val="000000"/>
        </w:rPr>
      </w:pPr>
      <w:hyperlink w:anchor="dual" w:history="1">
        <w:r w:rsidR="00C44C18" w:rsidRPr="00C44C18">
          <w:rPr>
            <w:rStyle w:val="Hyperlink"/>
            <w:b/>
            <w:bCs/>
          </w:rPr>
          <w:t>How many gateways are required for candidates pursuing dual licensure?</w:t>
        </w:r>
      </w:hyperlink>
      <w:r w:rsidR="00C44C18">
        <w:rPr>
          <w:b/>
          <w:bCs/>
          <w:color w:val="000000"/>
        </w:rPr>
        <w:t xml:space="preserve"> </w:t>
      </w:r>
    </w:p>
    <w:p w14:paraId="1F560701" w14:textId="0FB6D1BD" w:rsidR="00015E9C" w:rsidRPr="000E4F70" w:rsidRDefault="00F3468C" w:rsidP="00015E9C">
      <w:pPr>
        <w:rPr>
          <w:b/>
        </w:rPr>
      </w:pPr>
      <w:hyperlink w:anchor="can" w:history="1">
        <w:r w:rsidR="00015E9C" w:rsidRPr="00E10400">
          <w:rPr>
            <w:rStyle w:val="Hyperlink"/>
            <w:b/>
          </w:rPr>
          <w:t>Can observations be used as gateways?</w:t>
        </w:r>
      </w:hyperlink>
    </w:p>
    <w:p w14:paraId="2DB31E8E" w14:textId="28774C75" w:rsidR="00015E9C" w:rsidRPr="000E4F70" w:rsidRDefault="00F3468C" w:rsidP="00015E9C">
      <w:pPr>
        <w:rPr>
          <w:b/>
        </w:rPr>
      </w:pPr>
      <w:hyperlink w:anchor="elem" w:history="1">
        <w:r w:rsidR="00015E9C" w:rsidRPr="00E10400">
          <w:rPr>
            <w:rStyle w:val="Hyperlink"/>
            <w:b/>
          </w:rPr>
          <w:t>Can gateways focus on elements other than those from the CAP rubric?</w:t>
        </w:r>
      </w:hyperlink>
    </w:p>
    <w:p w14:paraId="06154A96" w14:textId="21396F35" w:rsidR="00015E9C" w:rsidRPr="000E4F70" w:rsidRDefault="00F3468C" w:rsidP="00015E9C">
      <w:pPr>
        <w:rPr>
          <w:b/>
        </w:rPr>
      </w:pPr>
      <w:hyperlink w:anchor="data" w:history="1">
        <w:r w:rsidR="00015E9C" w:rsidRPr="00E10400">
          <w:rPr>
            <w:rStyle w:val="Hyperlink"/>
            <w:b/>
          </w:rPr>
          <w:t>Will DESE collect data from the gateways?</w:t>
        </w:r>
      </w:hyperlink>
    </w:p>
    <w:p w14:paraId="650EA29B" w14:textId="50E7CB8F" w:rsidR="00015E9C" w:rsidRPr="00860B4A" w:rsidRDefault="00F3468C" w:rsidP="00015E9C">
      <w:pPr>
        <w:rPr>
          <w:b/>
        </w:rPr>
      </w:pPr>
      <w:hyperlink w:anchor="howshould" w:history="1">
        <w:r w:rsidR="00015E9C" w:rsidRPr="00E10400">
          <w:rPr>
            <w:rStyle w:val="Hyperlink"/>
            <w:b/>
          </w:rPr>
          <w:t>How should Sponsoring Organizations that have partnerships with Community Colleges implement the gateway assessment requirement?</w:t>
        </w:r>
      </w:hyperlink>
    </w:p>
    <w:p w14:paraId="5B5BBE81" w14:textId="10CA0C13" w:rsidR="00015E9C" w:rsidRPr="007A419E" w:rsidRDefault="00F3468C" w:rsidP="00015E9C">
      <w:pPr>
        <w:rPr>
          <w:b/>
        </w:rPr>
      </w:pPr>
      <w:hyperlink w:anchor="waive" w:history="1">
        <w:r w:rsidR="00015E9C" w:rsidRPr="00E10400">
          <w:rPr>
            <w:rStyle w:val="Hyperlink"/>
            <w:b/>
          </w:rPr>
          <w:t>Can Sponsoring Organizations waive the requirement for gateways?</w:t>
        </w:r>
      </w:hyperlink>
    </w:p>
    <w:p w14:paraId="0A7754D8" w14:textId="77777777" w:rsidR="0081367E" w:rsidRDefault="0081367E" w:rsidP="0081367E"/>
    <w:p w14:paraId="5A025987" w14:textId="1874CF59" w:rsidR="00377F48" w:rsidRDefault="00377F48">
      <w:bookmarkStart w:id="0" w:name="Whatis"/>
      <w:r>
        <w:rPr>
          <w:b/>
        </w:rPr>
        <w:t>What is a Pre-Practicum Gateway?</w:t>
      </w:r>
    </w:p>
    <w:bookmarkEnd w:id="0"/>
    <w:p w14:paraId="6F2CF8D2" w14:textId="7331695C" w:rsidR="00AE7421" w:rsidRDefault="00AE7421" w:rsidP="005505C9">
      <w:pPr>
        <w:contextualSpacing/>
        <w:rPr>
          <w:rFonts w:cstheme="minorHAnsi"/>
        </w:rPr>
      </w:pPr>
      <w:r w:rsidRPr="00AE7421">
        <w:t xml:space="preserve">The </w:t>
      </w:r>
      <w:hyperlink r:id="rId12" w:history="1">
        <w:r w:rsidRPr="00AE7421">
          <w:rPr>
            <w:rStyle w:val="Hyperlink"/>
          </w:rPr>
          <w:t>Pre-Practicum Guidelines</w:t>
        </w:r>
      </w:hyperlink>
      <w:r w:rsidRPr="00AE7421">
        <w:t xml:space="preserve"> require that, beginning in the 2020-2021 school year, Sponsoring Organizations evaluate</w:t>
      </w:r>
      <w:r>
        <w:t xml:space="preserve"> initial licensure</w:t>
      </w:r>
      <w:r w:rsidRPr="00AE7421">
        <w:t xml:space="preserve"> teacher candidate performance in early field-based experiences (the “pre-practicum”) </w:t>
      </w:r>
      <w:r>
        <w:t xml:space="preserve">by administering at least two licensure-specific performance tasks, or “gateways.” </w:t>
      </w:r>
      <w:r w:rsidR="005505C9">
        <w:t xml:space="preserve">Gateways provide SOs with an opportunity to </w:t>
      </w:r>
      <w:r w:rsidR="005505C9" w:rsidRPr="005505C9">
        <w:t>1) identify at-risk candidates and provide them with the necessary supports and guidance to improve or exit the program (</w:t>
      </w:r>
      <w:r w:rsidR="005505C9">
        <w:t xml:space="preserve">The Candidate Criterion </w:t>
      </w:r>
      <w:r w:rsidR="005505C9" w:rsidRPr="005505C9">
        <w:t>4) and 2) monitor individual licensure programs to ensure that each is effective (</w:t>
      </w:r>
      <w:r w:rsidR="005505C9">
        <w:t>Continuous Improvement Criterion</w:t>
      </w:r>
      <w:r w:rsidR="005505C9" w:rsidRPr="005505C9">
        <w:t xml:space="preserve"> 1).</w:t>
      </w:r>
    </w:p>
    <w:p w14:paraId="16BF076C" w14:textId="77777777" w:rsidR="00C44C18" w:rsidRDefault="00C44C18" w:rsidP="00377F48">
      <w:pPr>
        <w:rPr>
          <w:rFonts w:cstheme="minorHAnsi"/>
        </w:rPr>
      </w:pPr>
    </w:p>
    <w:p w14:paraId="27316696" w14:textId="56F3B3C9" w:rsidR="00377F48" w:rsidRPr="00DA6C50" w:rsidRDefault="00377F48" w:rsidP="00377F48">
      <w:pPr>
        <w:rPr>
          <w:rFonts w:cstheme="minorHAnsi"/>
        </w:rPr>
      </w:pPr>
      <w:r w:rsidRPr="00DA6C50">
        <w:rPr>
          <w:rFonts w:cstheme="minorHAnsi"/>
        </w:rPr>
        <w:t xml:space="preserve">Per the </w:t>
      </w:r>
      <w:hyperlink r:id="rId13" w:history="1">
        <w:r w:rsidRPr="00CA2816">
          <w:rPr>
            <w:rStyle w:val="Hyperlink"/>
            <w:rFonts w:cstheme="minorHAnsi"/>
          </w:rPr>
          <w:t>Pre-Practicum Guidelines</w:t>
        </w:r>
      </w:hyperlink>
      <w:r w:rsidRPr="00DA6C50">
        <w:rPr>
          <w:rFonts w:cstheme="minorHAnsi"/>
        </w:rPr>
        <w:t xml:space="preserve">, </w:t>
      </w:r>
      <w:r w:rsidR="005505C9">
        <w:rPr>
          <w:rFonts w:cstheme="minorHAnsi"/>
        </w:rPr>
        <w:t>gateways must</w:t>
      </w:r>
      <w:r w:rsidRPr="00DA6C50">
        <w:rPr>
          <w:rFonts w:cstheme="minorHAnsi"/>
        </w:rPr>
        <w:t xml:space="preserve"> meet the following criteria:</w:t>
      </w:r>
    </w:p>
    <w:p w14:paraId="2D395A77" w14:textId="77777777" w:rsidR="00377F48" w:rsidRPr="00DA6C50" w:rsidRDefault="00377F48" w:rsidP="00377F48">
      <w:pPr>
        <w:pStyle w:val="ListParagraph"/>
        <w:numPr>
          <w:ilvl w:val="0"/>
          <w:numId w:val="2"/>
        </w:numPr>
        <w:rPr>
          <w:rFonts w:asciiTheme="minorHAnsi" w:hAnsiTheme="minorHAnsi" w:cstheme="minorHAnsi"/>
          <w:sz w:val="22"/>
          <w:szCs w:val="22"/>
        </w:rPr>
      </w:pPr>
      <w:r w:rsidRPr="00DA6C50">
        <w:rPr>
          <w:rFonts w:asciiTheme="minorHAnsi" w:hAnsiTheme="minorHAnsi" w:cstheme="minorHAnsi"/>
          <w:sz w:val="22"/>
          <w:szCs w:val="22"/>
        </w:rPr>
        <w:t>Involve a performance-based task assessing content-specific pedagogical skill (both PSTs and SMKs).</w:t>
      </w:r>
    </w:p>
    <w:p w14:paraId="0C505622" w14:textId="44C83B0B" w:rsidR="00377F48" w:rsidRPr="00DA6C50" w:rsidRDefault="00377F48" w:rsidP="00377F48">
      <w:pPr>
        <w:pStyle w:val="ListParagraph"/>
        <w:numPr>
          <w:ilvl w:val="0"/>
          <w:numId w:val="2"/>
        </w:numPr>
        <w:rPr>
          <w:rFonts w:asciiTheme="minorHAnsi" w:hAnsiTheme="minorHAnsi" w:cstheme="minorHAnsi"/>
          <w:sz w:val="22"/>
          <w:szCs w:val="22"/>
        </w:rPr>
      </w:pPr>
      <w:r w:rsidRPr="00DA6C50">
        <w:rPr>
          <w:rFonts w:asciiTheme="minorHAnsi" w:hAnsiTheme="minorHAnsi" w:cstheme="minorHAnsi"/>
          <w:sz w:val="22"/>
          <w:szCs w:val="22"/>
        </w:rPr>
        <w:t>Be administered consistently within an SO’s licensure program area. For example, any candidate enrolled in an SO’s Elementary 1-6 program</w:t>
      </w:r>
      <w:r w:rsidR="004B7E9A">
        <w:rPr>
          <w:rFonts w:asciiTheme="minorHAnsi" w:hAnsiTheme="minorHAnsi" w:cstheme="minorHAnsi"/>
          <w:sz w:val="22"/>
          <w:szCs w:val="22"/>
        </w:rPr>
        <w:t>, whether baccalaureate or post-baccalaureate,</w:t>
      </w:r>
      <w:r w:rsidRPr="00DA6C50">
        <w:rPr>
          <w:rFonts w:asciiTheme="minorHAnsi" w:hAnsiTheme="minorHAnsi" w:cstheme="minorHAnsi"/>
          <w:sz w:val="22"/>
          <w:szCs w:val="22"/>
        </w:rPr>
        <w:t xml:space="preserve"> will be expected to participate in and pass the same gateway assessment as identified by the SO, regardless of their courses or instructor assignment. Sponsoring Organizations may request to waive this requirement for individual candidates as needed. </w:t>
      </w:r>
    </w:p>
    <w:p w14:paraId="01051419" w14:textId="5F0F5F7A" w:rsidR="00377F48" w:rsidRPr="00DA6C50" w:rsidRDefault="00377F48" w:rsidP="00377F48">
      <w:pPr>
        <w:pStyle w:val="ListParagraph"/>
        <w:numPr>
          <w:ilvl w:val="0"/>
          <w:numId w:val="2"/>
        </w:numPr>
        <w:rPr>
          <w:rFonts w:asciiTheme="minorHAnsi" w:hAnsiTheme="minorHAnsi" w:cstheme="minorHAnsi"/>
          <w:sz w:val="22"/>
          <w:szCs w:val="22"/>
        </w:rPr>
      </w:pPr>
      <w:r w:rsidRPr="00DA6C50">
        <w:rPr>
          <w:rFonts w:asciiTheme="minorHAnsi" w:hAnsiTheme="minorHAnsi" w:cstheme="minorHAnsi"/>
          <w:sz w:val="22"/>
          <w:szCs w:val="22"/>
        </w:rPr>
        <w:t xml:space="preserve">Include clearly defined minimum performance standards that candidates must meet in order to pass the </w:t>
      </w:r>
      <w:r w:rsidR="006352D2">
        <w:rPr>
          <w:rFonts w:asciiTheme="minorHAnsi" w:hAnsiTheme="minorHAnsi" w:cstheme="minorHAnsi"/>
          <w:sz w:val="22"/>
          <w:szCs w:val="22"/>
        </w:rPr>
        <w:t>gateway</w:t>
      </w:r>
      <w:r w:rsidR="006352D2" w:rsidRPr="00DA6C50">
        <w:rPr>
          <w:rFonts w:asciiTheme="minorHAnsi" w:hAnsiTheme="minorHAnsi" w:cstheme="minorHAnsi"/>
          <w:sz w:val="22"/>
          <w:szCs w:val="22"/>
        </w:rPr>
        <w:t xml:space="preserve"> </w:t>
      </w:r>
      <w:r w:rsidRPr="00DA6C50">
        <w:rPr>
          <w:rFonts w:asciiTheme="minorHAnsi" w:hAnsiTheme="minorHAnsi" w:cstheme="minorHAnsi"/>
          <w:sz w:val="22"/>
          <w:szCs w:val="22"/>
        </w:rPr>
        <w:t xml:space="preserve">and ultimately advance beyond the pre-practicum.  </w:t>
      </w:r>
    </w:p>
    <w:p w14:paraId="3AE0A9F8" w14:textId="1D14C82C" w:rsidR="00377F48" w:rsidRDefault="00377F48" w:rsidP="00377F48"/>
    <w:p w14:paraId="414FF4F5" w14:textId="28CA9F7A" w:rsidR="00C44C18" w:rsidRDefault="00C44C18" w:rsidP="00377F48">
      <w:r>
        <w:lastRenderedPageBreak/>
        <w:t>In addition to the minimum requirements</w:t>
      </w:r>
      <w:r w:rsidR="000D752A">
        <w:t xml:space="preserve"> set forth in the guidelines</w:t>
      </w:r>
      <w:r>
        <w:t xml:space="preserve">, </w:t>
      </w:r>
      <w:r w:rsidRPr="00C44C18">
        <w:rPr>
          <w:i/>
          <w:iCs/>
        </w:rPr>
        <w:t>high-quality</w:t>
      </w:r>
      <w:r>
        <w:t xml:space="preserve"> gateways:</w:t>
      </w:r>
    </w:p>
    <w:p w14:paraId="0E7CBF50" w14:textId="77777777" w:rsidR="00C44C18" w:rsidRPr="00DA6C50" w:rsidRDefault="00C44C18" w:rsidP="00C44C18">
      <w:pPr>
        <w:pStyle w:val="ListParagraph"/>
        <w:numPr>
          <w:ilvl w:val="0"/>
          <w:numId w:val="1"/>
        </w:numPr>
        <w:spacing w:line="256" w:lineRule="auto"/>
        <w:rPr>
          <w:rFonts w:asciiTheme="minorHAnsi" w:hAnsiTheme="minorHAnsi" w:cstheme="minorHAnsi"/>
          <w:sz w:val="22"/>
          <w:szCs w:val="22"/>
        </w:rPr>
      </w:pPr>
      <w:r w:rsidRPr="00DA6C50">
        <w:rPr>
          <w:rFonts w:asciiTheme="minorHAnsi" w:hAnsiTheme="minorHAnsi" w:cstheme="minorHAnsi"/>
          <w:sz w:val="22"/>
          <w:szCs w:val="22"/>
        </w:rPr>
        <w:t>Assess individual, independent candidate performance such that it is possible to fully isolate candidate performance from that of peers, Supervising Practitioner, or others.</w:t>
      </w:r>
    </w:p>
    <w:p w14:paraId="62C416D5" w14:textId="51960FBB" w:rsidR="00C44C18" w:rsidRPr="00DA6C50" w:rsidRDefault="00C44C18" w:rsidP="00C44C18">
      <w:pPr>
        <w:pStyle w:val="ListParagraph"/>
        <w:numPr>
          <w:ilvl w:val="0"/>
          <w:numId w:val="1"/>
        </w:numPr>
        <w:spacing w:line="256" w:lineRule="auto"/>
        <w:rPr>
          <w:rFonts w:asciiTheme="minorHAnsi" w:hAnsiTheme="minorHAnsi" w:cstheme="minorHAnsi"/>
          <w:sz w:val="22"/>
          <w:szCs w:val="22"/>
        </w:rPr>
      </w:pPr>
      <w:r w:rsidRPr="00DA6C50">
        <w:rPr>
          <w:rFonts w:asciiTheme="minorHAnsi" w:hAnsiTheme="minorHAnsi" w:cstheme="minorHAnsi"/>
          <w:sz w:val="22"/>
          <w:szCs w:val="22"/>
        </w:rPr>
        <w:t xml:space="preserve">Assess pedagogical skill(s) embedded in the </w:t>
      </w:r>
      <w:hyperlink r:id="rId14" w:history="1">
        <w:r w:rsidRPr="00DA6C50">
          <w:rPr>
            <w:rStyle w:val="Hyperlink"/>
            <w:rFonts w:asciiTheme="minorHAnsi" w:hAnsiTheme="minorHAnsi" w:cstheme="minorHAnsi"/>
            <w:sz w:val="22"/>
            <w:szCs w:val="22"/>
          </w:rPr>
          <w:t>Professional Standards for Teachers</w:t>
        </w:r>
      </w:hyperlink>
      <w:r w:rsidRPr="00DA6C50">
        <w:rPr>
          <w:rFonts w:asciiTheme="minorHAnsi" w:hAnsiTheme="minorHAnsi" w:cstheme="minorHAnsi"/>
          <w:sz w:val="22"/>
          <w:szCs w:val="22"/>
        </w:rPr>
        <w:t xml:space="preserve"> that </w:t>
      </w:r>
      <w:r w:rsidRPr="00DA6C50">
        <w:rPr>
          <w:rFonts w:asciiTheme="minorHAnsi" w:hAnsiTheme="minorHAnsi" w:cstheme="minorHAnsi"/>
          <w:i/>
          <w:sz w:val="22"/>
          <w:szCs w:val="22"/>
        </w:rPr>
        <w:t>build towards</w:t>
      </w:r>
      <w:r w:rsidRPr="00DA6C50">
        <w:rPr>
          <w:rFonts w:asciiTheme="minorHAnsi" w:hAnsiTheme="minorHAnsi" w:cstheme="minorHAnsi"/>
          <w:sz w:val="22"/>
          <w:szCs w:val="22"/>
        </w:rPr>
        <w:t xml:space="preserve"> candidates’ ability to demonstrate readiness on the </w:t>
      </w:r>
      <w:hyperlink r:id="rId15" w:history="1">
        <w:r w:rsidRPr="00DA6C50">
          <w:rPr>
            <w:rStyle w:val="Hyperlink"/>
            <w:rFonts w:asciiTheme="minorHAnsi" w:hAnsiTheme="minorHAnsi" w:cstheme="minorHAnsi"/>
            <w:sz w:val="22"/>
            <w:szCs w:val="22"/>
          </w:rPr>
          <w:t>Candidate Assessment of Performance (CAP)'s essential elements</w:t>
        </w:r>
      </w:hyperlink>
      <w:r w:rsidRPr="00DA6C50">
        <w:rPr>
          <w:rStyle w:val="Hyperlink"/>
          <w:rFonts w:asciiTheme="minorHAnsi" w:hAnsiTheme="minorHAnsi" w:cstheme="minorHAnsi"/>
          <w:sz w:val="22"/>
          <w:szCs w:val="22"/>
        </w:rPr>
        <w:t>.</w:t>
      </w:r>
    </w:p>
    <w:p w14:paraId="17ACE11E" w14:textId="77777777" w:rsidR="00C44C18" w:rsidRPr="00DA6C50" w:rsidRDefault="00C44C18" w:rsidP="00C44C18">
      <w:pPr>
        <w:pStyle w:val="ListParagraph"/>
        <w:numPr>
          <w:ilvl w:val="0"/>
          <w:numId w:val="1"/>
        </w:numPr>
        <w:spacing w:line="256" w:lineRule="auto"/>
        <w:rPr>
          <w:rFonts w:asciiTheme="minorHAnsi" w:hAnsiTheme="minorHAnsi" w:cstheme="minorHAnsi"/>
          <w:sz w:val="22"/>
          <w:szCs w:val="22"/>
        </w:rPr>
      </w:pPr>
      <w:r w:rsidRPr="00DA6C50">
        <w:rPr>
          <w:rFonts w:asciiTheme="minorHAnsi" w:hAnsiTheme="minorHAnsi" w:cstheme="minorHAnsi"/>
          <w:sz w:val="22"/>
          <w:szCs w:val="22"/>
        </w:rPr>
        <w:t xml:space="preserve">Involve a discrete task representing a </w:t>
      </w:r>
      <w:r w:rsidRPr="00DA6C50">
        <w:rPr>
          <w:rFonts w:asciiTheme="minorHAnsi" w:hAnsiTheme="minorHAnsi" w:cstheme="minorHAnsi"/>
          <w:i/>
          <w:sz w:val="22"/>
          <w:szCs w:val="22"/>
        </w:rPr>
        <w:t>snapshot</w:t>
      </w:r>
      <w:r w:rsidRPr="00DA6C50">
        <w:rPr>
          <w:rFonts w:asciiTheme="minorHAnsi" w:hAnsiTheme="minorHAnsi" w:cstheme="minorHAnsi"/>
          <w:sz w:val="22"/>
          <w:szCs w:val="22"/>
        </w:rPr>
        <w:t xml:space="preserve"> of candidate performance during the pre-practicum and is </w:t>
      </w:r>
      <w:r w:rsidRPr="00DA6C50">
        <w:rPr>
          <w:rFonts w:asciiTheme="minorHAnsi" w:hAnsiTheme="minorHAnsi" w:cstheme="minorHAnsi"/>
          <w:sz w:val="22"/>
          <w:szCs w:val="22"/>
          <w:u w:val="single"/>
        </w:rPr>
        <w:t>not</w:t>
      </w:r>
      <w:r w:rsidRPr="00DA6C50">
        <w:rPr>
          <w:rFonts w:asciiTheme="minorHAnsi" w:hAnsiTheme="minorHAnsi" w:cstheme="minorHAnsi"/>
          <w:sz w:val="22"/>
          <w:szCs w:val="22"/>
        </w:rPr>
        <w:t xml:space="preserve"> a comprehensive, multi-point, long-term assessment (e.g. CAP).</w:t>
      </w:r>
    </w:p>
    <w:p w14:paraId="5E44F96A" w14:textId="0AAB0CBD" w:rsidR="00C44C18" w:rsidRPr="00DA6C50" w:rsidRDefault="00C44C18" w:rsidP="00C44C18">
      <w:pPr>
        <w:pStyle w:val="BodyText"/>
        <w:numPr>
          <w:ilvl w:val="0"/>
          <w:numId w:val="1"/>
        </w:numPr>
        <w:rPr>
          <w:rFonts w:asciiTheme="minorHAnsi" w:hAnsiTheme="minorHAnsi" w:cstheme="minorHAnsi"/>
          <w:i w:val="0"/>
          <w:sz w:val="22"/>
          <w:szCs w:val="22"/>
        </w:rPr>
      </w:pPr>
      <w:r w:rsidRPr="00DA6C50">
        <w:rPr>
          <w:rFonts w:asciiTheme="minorHAnsi" w:hAnsiTheme="minorHAnsi" w:cstheme="minorHAnsi"/>
          <w:i w:val="0"/>
          <w:sz w:val="22"/>
          <w:szCs w:val="22"/>
        </w:rPr>
        <w:t xml:space="preserve">Require candidate to demonstrate </w:t>
      </w:r>
      <w:hyperlink r:id="rId16" w:history="1">
        <w:r w:rsidRPr="00DA6C50">
          <w:rPr>
            <w:rStyle w:val="Hyperlink"/>
            <w:rFonts w:asciiTheme="minorHAnsi" w:hAnsiTheme="minorHAnsi" w:cstheme="minorHAnsi"/>
            <w:i w:val="0"/>
            <w:sz w:val="22"/>
            <w:szCs w:val="22"/>
          </w:rPr>
          <w:t>fluency in the subject-matter</w:t>
        </w:r>
      </w:hyperlink>
      <w:r w:rsidRPr="00DA6C50">
        <w:rPr>
          <w:rFonts w:asciiTheme="minorHAnsi" w:hAnsiTheme="minorHAnsi" w:cstheme="minorHAnsi"/>
          <w:i w:val="0"/>
          <w:sz w:val="22"/>
          <w:szCs w:val="22"/>
        </w:rPr>
        <w:t xml:space="preserve"> they are teaching.</w:t>
      </w:r>
    </w:p>
    <w:p w14:paraId="17213638" w14:textId="7D576DB3" w:rsidR="00C44C18" w:rsidRPr="00DA6C50" w:rsidRDefault="000D752A" w:rsidP="00C44C18">
      <w:pPr>
        <w:pStyle w:val="BodyText"/>
        <w:numPr>
          <w:ilvl w:val="0"/>
          <w:numId w:val="1"/>
        </w:numPr>
        <w:rPr>
          <w:rFonts w:asciiTheme="minorHAnsi" w:hAnsiTheme="minorHAnsi" w:cstheme="minorHAnsi"/>
          <w:i w:val="0"/>
          <w:sz w:val="22"/>
          <w:szCs w:val="22"/>
        </w:rPr>
      </w:pPr>
      <w:r>
        <w:rPr>
          <w:rFonts w:asciiTheme="minorHAnsi" w:hAnsiTheme="minorHAnsi" w:cstheme="minorHAnsi"/>
          <w:i w:val="0"/>
          <w:sz w:val="22"/>
          <w:szCs w:val="22"/>
        </w:rPr>
        <w:t>Are</w:t>
      </w:r>
      <w:r w:rsidR="00C44C18" w:rsidRPr="00DA6C50">
        <w:rPr>
          <w:rFonts w:asciiTheme="minorHAnsi" w:hAnsiTheme="minorHAnsi" w:cstheme="minorHAnsi"/>
          <w:i w:val="0"/>
          <w:sz w:val="22"/>
          <w:szCs w:val="22"/>
        </w:rPr>
        <w:t xml:space="preserve"> centered on an instructional task that is authentic and integral to the work of an effective educator in the licensure role.</w:t>
      </w:r>
    </w:p>
    <w:p w14:paraId="7029CC98" w14:textId="77777777" w:rsidR="00C44C18" w:rsidRPr="00DA6C50" w:rsidRDefault="00C44C18" w:rsidP="00C44C18">
      <w:pPr>
        <w:pStyle w:val="BodyText"/>
        <w:numPr>
          <w:ilvl w:val="0"/>
          <w:numId w:val="1"/>
        </w:numPr>
        <w:rPr>
          <w:rFonts w:asciiTheme="minorHAnsi" w:hAnsiTheme="minorHAnsi" w:cstheme="minorHAnsi"/>
          <w:i w:val="0"/>
          <w:sz w:val="22"/>
          <w:szCs w:val="22"/>
        </w:rPr>
      </w:pPr>
      <w:r w:rsidRPr="00DA6C50">
        <w:rPr>
          <w:rFonts w:asciiTheme="minorHAnsi" w:hAnsiTheme="minorHAnsi" w:cstheme="minorHAnsi"/>
          <w:i w:val="0"/>
          <w:sz w:val="22"/>
          <w:szCs w:val="22"/>
        </w:rPr>
        <w:t>Include a scoring guide that sets minimum thresholds of performance that are sufficiently rigorous to assess readiness for the practicum.</w:t>
      </w:r>
    </w:p>
    <w:p w14:paraId="2DB832AC" w14:textId="77777777" w:rsidR="00C44C18" w:rsidRDefault="00C44C18" w:rsidP="00377F48"/>
    <w:p w14:paraId="6A8D4607" w14:textId="72AE8B21" w:rsidR="0096489B" w:rsidRPr="000E4F70" w:rsidRDefault="0096489B">
      <w:pPr>
        <w:rPr>
          <w:b/>
        </w:rPr>
      </w:pPr>
      <w:bookmarkStart w:id="1" w:name="whyare"/>
      <w:r w:rsidRPr="000E4F70">
        <w:rPr>
          <w:b/>
        </w:rPr>
        <w:t xml:space="preserve">Why are the model </w:t>
      </w:r>
      <w:r w:rsidR="007154CC">
        <w:rPr>
          <w:b/>
        </w:rPr>
        <w:t>gateways called</w:t>
      </w:r>
      <w:r w:rsidRPr="000E4F70">
        <w:rPr>
          <w:b/>
        </w:rPr>
        <w:t xml:space="preserve"> “tasks” and not “assessments</w:t>
      </w:r>
      <w:r w:rsidR="00E476D2" w:rsidRPr="000E4F70">
        <w:rPr>
          <w:b/>
        </w:rPr>
        <w:t>”</w:t>
      </w:r>
      <w:r w:rsidRPr="000E4F70">
        <w:rPr>
          <w:b/>
        </w:rPr>
        <w:t>?</w:t>
      </w:r>
    </w:p>
    <w:bookmarkEnd w:id="1"/>
    <w:p w14:paraId="48C469BD" w14:textId="7CFF1627" w:rsidR="0096489B" w:rsidRDefault="00C44C18">
      <w:r>
        <w:t>Gateways are called</w:t>
      </w:r>
      <w:r w:rsidR="007154CC">
        <w:t xml:space="preserve"> “tasks” rather than “assessments” in order to clarify the expectation that gateways </w:t>
      </w:r>
      <w:r w:rsidR="00DA6C50">
        <w:t>should assess candidate’s performance in discrete skills embedded in the Professional Standards for Teachers (PSTs) and Subject Matter Knowledge guidelines (SMKs) and represent</w:t>
      </w:r>
      <w:r w:rsidR="00DA6C50" w:rsidRPr="00DA6C50">
        <w:rPr>
          <w:rFonts w:cstheme="minorHAnsi"/>
        </w:rPr>
        <w:t xml:space="preserve"> a </w:t>
      </w:r>
      <w:r w:rsidR="00DA6C50" w:rsidRPr="00DA6C50">
        <w:rPr>
          <w:rFonts w:cstheme="minorHAnsi"/>
          <w:i/>
        </w:rPr>
        <w:t>snapshot</w:t>
      </w:r>
      <w:r w:rsidR="00DA6C50" w:rsidRPr="00DA6C50">
        <w:rPr>
          <w:rFonts w:cstheme="minorHAnsi"/>
        </w:rPr>
        <w:t xml:space="preserve"> of candidate performance during the pre-practicum</w:t>
      </w:r>
      <w:r w:rsidR="00DA6C50">
        <w:rPr>
          <w:rFonts w:cstheme="minorHAnsi"/>
        </w:rPr>
        <w:t xml:space="preserve">. Gateways are not intended to be </w:t>
      </w:r>
      <w:r w:rsidR="00DA6C50" w:rsidRPr="00DA6C50">
        <w:rPr>
          <w:rFonts w:cstheme="minorHAnsi"/>
        </w:rPr>
        <w:t>comprehensive, multi-point, long-term assessment</w:t>
      </w:r>
      <w:r w:rsidR="00DA6C50">
        <w:rPr>
          <w:rFonts w:cstheme="minorHAnsi"/>
        </w:rPr>
        <w:t>s</w:t>
      </w:r>
      <w:r w:rsidR="00DA6C50" w:rsidRPr="00DA6C50">
        <w:rPr>
          <w:rFonts w:cstheme="minorHAnsi"/>
        </w:rPr>
        <w:t xml:space="preserve"> </w:t>
      </w:r>
      <w:r w:rsidR="007154CC">
        <w:t>such as the Candidate Assessment of Performance (CAP)</w:t>
      </w:r>
      <w:r w:rsidR="00DA6C50">
        <w:t>.</w:t>
      </w:r>
    </w:p>
    <w:p w14:paraId="46FD2539" w14:textId="5BD8E1A0" w:rsidR="00E10400" w:rsidRPr="000E4F70" w:rsidRDefault="00E10400" w:rsidP="00E10400">
      <w:pPr>
        <w:rPr>
          <w:b/>
        </w:rPr>
      </w:pPr>
      <w:bookmarkStart w:id="2" w:name="aresosrequired"/>
      <w:r w:rsidRPr="000E4F70">
        <w:rPr>
          <w:b/>
        </w:rPr>
        <w:t xml:space="preserve">Are Sponsoring Organizations required to use </w:t>
      </w:r>
      <w:r w:rsidR="00C44C18">
        <w:rPr>
          <w:b/>
        </w:rPr>
        <w:t xml:space="preserve">model </w:t>
      </w:r>
      <w:r>
        <w:rPr>
          <w:b/>
        </w:rPr>
        <w:t>gateways</w:t>
      </w:r>
      <w:r w:rsidRPr="000E4F70">
        <w:rPr>
          <w:b/>
        </w:rPr>
        <w:t xml:space="preserve"> or submit</w:t>
      </w:r>
      <w:r>
        <w:rPr>
          <w:b/>
        </w:rPr>
        <w:t xml:space="preserve"> their gateways </w:t>
      </w:r>
      <w:r w:rsidRPr="000E4F70">
        <w:rPr>
          <w:b/>
        </w:rPr>
        <w:t>for DESE approval?</w:t>
      </w:r>
    </w:p>
    <w:bookmarkEnd w:id="2"/>
    <w:p w14:paraId="6AC0185B" w14:textId="2A54A45F" w:rsidR="00057E55" w:rsidRPr="00C44C18" w:rsidRDefault="00673319" w:rsidP="00722B42">
      <w:r>
        <w:t xml:space="preserve">No, SOs can use model </w:t>
      </w:r>
      <w:r w:rsidR="00E10400">
        <w:t>g</w:t>
      </w:r>
      <w:r w:rsidR="0081367E">
        <w:t>ateways</w:t>
      </w:r>
      <w:r>
        <w:t xml:space="preserve"> as desired or use alternatives. SOs are </w:t>
      </w:r>
      <w:r w:rsidRPr="00E10400">
        <w:rPr>
          <w:u w:val="single"/>
        </w:rPr>
        <w:t xml:space="preserve">not </w:t>
      </w:r>
      <w:r>
        <w:t xml:space="preserve">required to submit </w:t>
      </w:r>
      <w:r w:rsidR="00E10400">
        <w:t>g</w:t>
      </w:r>
      <w:r w:rsidR="0081367E">
        <w:t>ateways</w:t>
      </w:r>
      <w:r>
        <w:t xml:space="preserve"> for DESE’s approval but are encouraged to contribute </w:t>
      </w:r>
      <w:r w:rsidR="00CA2816">
        <w:t>g</w:t>
      </w:r>
      <w:r w:rsidR="0081367E">
        <w:t xml:space="preserve">ateways </w:t>
      </w:r>
      <w:r>
        <w:t>to the Bank for potential adoption across the Commonwealth.</w:t>
      </w:r>
      <w:r w:rsidR="005505C9">
        <w:t xml:space="preserve"> </w:t>
      </w:r>
      <w:r w:rsidR="00057E55">
        <w:t xml:space="preserve">SOs may select and/or design </w:t>
      </w:r>
      <w:r w:rsidR="0081367E">
        <w:t>g</w:t>
      </w:r>
      <w:r w:rsidR="00057E55">
        <w:t>ateways insofar as they meet the criteria set forth in the Guidelines.</w:t>
      </w:r>
    </w:p>
    <w:p w14:paraId="66735929" w14:textId="4911618B" w:rsidR="00722B42" w:rsidRPr="000E4F70" w:rsidRDefault="00722B42" w:rsidP="00722B42">
      <w:pPr>
        <w:rPr>
          <w:b/>
        </w:rPr>
      </w:pPr>
      <w:bookmarkStart w:id="3" w:name="when"/>
      <w:r w:rsidRPr="000E4F70">
        <w:rPr>
          <w:b/>
        </w:rPr>
        <w:t>When in pre</w:t>
      </w:r>
      <w:r w:rsidR="00057E55">
        <w:rPr>
          <w:b/>
        </w:rPr>
        <w:t xml:space="preserve">-practicum should </w:t>
      </w:r>
      <w:r w:rsidR="0081367E">
        <w:rPr>
          <w:b/>
        </w:rPr>
        <w:t>g</w:t>
      </w:r>
      <w:r w:rsidR="00057E55">
        <w:rPr>
          <w:b/>
        </w:rPr>
        <w:t xml:space="preserve">ateways </w:t>
      </w:r>
      <w:r w:rsidRPr="000E4F70">
        <w:rPr>
          <w:b/>
        </w:rPr>
        <w:t>be administered?</w:t>
      </w:r>
    </w:p>
    <w:bookmarkEnd w:id="3"/>
    <w:p w14:paraId="72306EA1" w14:textId="0682FB0D" w:rsidR="00722B42" w:rsidRDefault="00057E55">
      <w:r>
        <w:t xml:space="preserve">According to the Guidelines, </w:t>
      </w:r>
      <w:r w:rsidRPr="00057E55">
        <w:t>Sponsoring Organizations shall administer gateway</w:t>
      </w:r>
      <w:r w:rsidR="0081367E">
        <w:t>s</w:t>
      </w:r>
      <w:r w:rsidRPr="00057E55">
        <w:t xml:space="preserve"> to benchmark candidate readiness at least</w:t>
      </w:r>
      <w:r w:rsidR="006352D2">
        <w:t xml:space="preserve"> at</w:t>
      </w:r>
      <w:r w:rsidRPr="00057E55">
        <w:t xml:space="preserve"> two junctures prior to the practicum</w:t>
      </w:r>
      <w:r>
        <w:t>. The Guidelines do not specify when, prior to practicum, gateways must be administered.  SOs may consider administering gateway</w:t>
      </w:r>
      <w:r w:rsidR="00E10400">
        <w:t xml:space="preserve">s in line with the progression </w:t>
      </w:r>
      <w:r>
        <w:t>of pre-practicum from “Stage 1” activities to “Stage 2” activities</w:t>
      </w:r>
      <w:r w:rsidR="006352D2">
        <w:t xml:space="preserve"> (see the Guidelines for further context around these stages)</w:t>
      </w:r>
      <w:r>
        <w:t>.</w:t>
      </w:r>
    </w:p>
    <w:p w14:paraId="20ACAEFC" w14:textId="77777777" w:rsidR="00C44C18" w:rsidRDefault="00C44C18">
      <w:pPr>
        <w:rPr>
          <w:b/>
          <w:bCs/>
          <w:color w:val="000000"/>
        </w:rPr>
      </w:pPr>
      <w:bookmarkStart w:id="4" w:name="dual"/>
      <w:r>
        <w:rPr>
          <w:b/>
          <w:bCs/>
          <w:color w:val="000000"/>
        </w:rPr>
        <w:t xml:space="preserve">How many gateways are required for candidates pursuing dual licensure? </w:t>
      </w:r>
    </w:p>
    <w:bookmarkEnd w:id="4"/>
    <w:p w14:paraId="738FC8E3" w14:textId="6E1AA4CC" w:rsidR="00C44C18" w:rsidRPr="00C44C18" w:rsidRDefault="00C44C18">
      <w:pPr>
        <w:rPr>
          <w:color w:val="000000"/>
        </w:rPr>
      </w:pPr>
      <w:r>
        <w:rPr>
          <w:color w:val="000000"/>
        </w:rPr>
        <w:t xml:space="preserve">Candidates completing two separate programs for endorsement (Dual Licensure) will participate in gateway tasks at least two junctures before practicum for each licensure program. If/when a gateway task is assessing PSTs and SMKs that are </w:t>
      </w:r>
      <w:r>
        <w:rPr>
          <w:i/>
          <w:iCs/>
          <w:color w:val="000000"/>
        </w:rPr>
        <w:t>common to both licensure areas</w:t>
      </w:r>
      <w:r>
        <w:rPr>
          <w:color w:val="000000"/>
        </w:rPr>
        <w:t xml:space="preserve"> in a dual licensure program (e.g. Elementary and Moderate Disabilities), gateway task(s) may be used to benchmark candidate readiness in both licensure programs. However, no less than two must be implemented for any given candidate. (*Note: it is still the expectation that a gateway task be used consistently across respective </w:t>
      </w:r>
      <w:r>
        <w:rPr>
          <w:color w:val="000000"/>
        </w:rPr>
        <w:lastRenderedPageBreak/>
        <w:t>licensure programs (i.e. a gateway task should not be unique to dual licensure, nor developed specifically for an individual candidate pursuing dual licensure).)</w:t>
      </w:r>
    </w:p>
    <w:p w14:paraId="759A964E" w14:textId="4C79ECD5" w:rsidR="00722B42" w:rsidRPr="000E4F70" w:rsidRDefault="00722B42" w:rsidP="00C44C18">
      <w:pPr>
        <w:spacing w:before="240"/>
        <w:rPr>
          <w:b/>
        </w:rPr>
      </w:pPr>
      <w:bookmarkStart w:id="5" w:name="can"/>
      <w:r w:rsidRPr="000E4F70">
        <w:rPr>
          <w:b/>
        </w:rPr>
        <w:t>Can obser</w:t>
      </w:r>
      <w:r w:rsidR="00057E55">
        <w:rPr>
          <w:b/>
        </w:rPr>
        <w:t xml:space="preserve">vations be used as </w:t>
      </w:r>
      <w:r w:rsidR="0081367E">
        <w:rPr>
          <w:b/>
        </w:rPr>
        <w:t>g</w:t>
      </w:r>
      <w:r w:rsidR="00057E55">
        <w:rPr>
          <w:b/>
        </w:rPr>
        <w:t>ateways</w:t>
      </w:r>
      <w:r w:rsidRPr="000E4F70">
        <w:rPr>
          <w:b/>
        </w:rPr>
        <w:t>?</w:t>
      </w:r>
    </w:p>
    <w:bookmarkEnd w:id="5"/>
    <w:p w14:paraId="468516F0" w14:textId="77777777" w:rsidR="005A7F0A" w:rsidRPr="00057263" w:rsidRDefault="00057E55">
      <w:pPr>
        <w:rPr>
          <w:rFonts w:cstheme="minorHAnsi"/>
        </w:rPr>
      </w:pPr>
      <w:r w:rsidRPr="00057263">
        <w:rPr>
          <w:rFonts w:cstheme="minorHAnsi"/>
        </w:rPr>
        <w:t xml:space="preserve">Yes, </w:t>
      </w:r>
      <w:r w:rsidR="005A7F0A" w:rsidRPr="00057263">
        <w:rPr>
          <w:rFonts w:cstheme="minorHAnsi"/>
        </w:rPr>
        <w:t>one or more of the observations required in the Guidelines may also function as a gateway insofar as it meets the criteria set forth in the Guidelines, including:</w:t>
      </w:r>
    </w:p>
    <w:p w14:paraId="7ACDBE8A" w14:textId="77777777" w:rsidR="00722B42" w:rsidRPr="00057263" w:rsidRDefault="00057263" w:rsidP="005A7F0A">
      <w:pPr>
        <w:pStyle w:val="ListParagraph"/>
        <w:numPr>
          <w:ilvl w:val="0"/>
          <w:numId w:val="3"/>
        </w:numPr>
        <w:rPr>
          <w:rFonts w:asciiTheme="minorHAnsi" w:hAnsiTheme="minorHAnsi" w:cstheme="minorHAnsi"/>
          <w:sz w:val="22"/>
          <w:szCs w:val="22"/>
        </w:rPr>
      </w:pPr>
      <w:r w:rsidRPr="00057263">
        <w:rPr>
          <w:rFonts w:asciiTheme="minorHAnsi" w:hAnsiTheme="minorHAnsi" w:cstheme="minorHAnsi"/>
          <w:sz w:val="22"/>
          <w:szCs w:val="22"/>
        </w:rPr>
        <w:t>The observation/gateway a</w:t>
      </w:r>
      <w:r w:rsidR="005A7F0A" w:rsidRPr="00057263">
        <w:rPr>
          <w:rFonts w:asciiTheme="minorHAnsi" w:hAnsiTheme="minorHAnsi" w:cstheme="minorHAnsi"/>
          <w:sz w:val="22"/>
          <w:szCs w:val="22"/>
        </w:rPr>
        <w:t>ssess</w:t>
      </w:r>
      <w:r w:rsidRPr="00057263">
        <w:rPr>
          <w:rFonts w:asciiTheme="minorHAnsi" w:hAnsiTheme="minorHAnsi" w:cstheme="minorHAnsi"/>
          <w:sz w:val="22"/>
          <w:szCs w:val="22"/>
        </w:rPr>
        <w:t>es</w:t>
      </w:r>
      <w:r w:rsidR="005A7F0A" w:rsidRPr="00057263">
        <w:rPr>
          <w:rFonts w:asciiTheme="minorHAnsi" w:hAnsiTheme="minorHAnsi" w:cstheme="minorHAnsi"/>
          <w:sz w:val="22"/>
          <w:szCs w:val="22"/>
        </w:rPr>
        <w:t xml:space="preserve"> candidate practice of the PSTs and SMKs in PK-12 settings and/or with PK12 students;</w:t>
      </w:r>
    </w:p>
    <w:p w14:paraId="4213ADAB" w14:textId="77777777" w:rsidR="00057263" w:rsidRPr="00057263" w:rsidRDefault="005A7F0A" w:rsidP="00057263">
      <w:pPr>
        <w:pStyle w:val="ListParagraph"/>
        <w:numPr>
          <w:ilvl w:val="0"/>
          <w:numId w:val="3"/>
        </w:numPr>
        <w:rPr>
          <w:rFonts w:asciiTheme="minorHAnsi" w:hAnsiTheme="minorHAnsi" w:cstheme="minorHAnsi"/>
          <w:sz w:val="22"/>
          <w:szCs w:val="22"/>
        </w:rPr>
      </w:pPr>
      <w:r w:rsidRPr="00057263">
        <w:rPr>
          <w:rFonts w:asciiTheme="minorHAnsi" w:hAnsiTheme="minorHAnsi" w:cstheme="minorHAnsi"/>
          <w:sz w:val="22"/>
          <w:szCs w:val="22"/>
        </w:rPr>
        <w:t>The individuals responsible for providing feedback to candidates receive the training and support necessary to do so effectively;</w:t>
      </w:r>
      <w:r w:rsidR="00057263" w:rsidRPr="00057263">
        <w:rPr>
          <w:rFonts w:asciiTheme="minorHAnsi" w:hAnsiTheme="minorHAnsi" w:cstheme="minorHAnsi"/>
          <w:sz w:val="22"/>
          <w:szCs w:val="22"/>
        </w:rPr>
        <w:t xml:space="preserve"> </w:t>
      </w:r>
    </w:p>
    <w:p w14:paraId="07FA4494" w14:textId="77777777" w:rsidR="00057263" w:rsidRPr="00057263" w:rsidRDefault="00057263" w:rsidP="00057263">
      <w:pPr>
        <w:pStyle w:val="ListParagraph"/>
        <w:numPr>
          <w:ilvl w:val="0"/>
          <w:numId w:val="3"/>
        </w:numPr>
        <w:rPr>
          <w:rFonts w:asciiTheme="minorHAnsi" w:hAnsiTheme="minorHAnsi" w:cstheme="minorHAnsi"/>
          <w:sz w:val="22"/>
          <w:szCs w:val="22"/>
        </w:rPr>
      </w:pPr>
      <w:r w:rsidRPr="00057263">
        <w:rPr>
          <w:rFonts w:asciiTheme="minorHAnsi" w:hAnsiTheme="minorHAnsi" w:cstheme="minorHAnsi"/>
          <w:sz w:val="22"/>
          <w:szCs w:val="22"/>
        </w:rPr>
        <w:t>The observation rubric/scoring criteria is applied consistently across an SO’s licensure program area; and</w:t>
      </w:r>
    </w:p>
    <w:p w14:paraId="272591DF" w14:textId="77777777" w:rsidR="005A7F0A" w:rsidRPr="00057263" w:rsidRDefault="00057263" w:rsidP="00057263">
      <w:pPr>
        <w:pStyle w:val="ListParagraph"/>
        <w:numPr>
          <w:ilvl w:val="0"/>
          <w:numId w:val="3"/>
        </w:numPr>
        <w:rPr>
          <w:rFonts w:asciiTheme="minorHAnsi" w:hAnsiTheme="minorHAnsi" w:cstheme="minorHAnsi"/>
          <w:sz w:val="22"/>
          <w:szCs w:val="22"/>
        </w:rPr>
      </w:pPr>
      <w:r w:rsidRPr="00057263">
        <w:rPr>
          <w:rFonts w:asciiTheme="minorHAnsi" w:hAnsiTheme="minorHAnsi" w:cstheme="minorHAnsi"/>
          <w:sz w:val="22"/>
          <w:szCs w:val="22"/>
        </w:rPr>
        <w:t>The observation/gateway includes clearly defined minimum performance standards that candidates must meet in order to pass the assessment and ultimately advance beyond the pre-practicum.</w:t>
      </w:r>
    </w:p>
    <w:p w14:paraId="6759E303" w14:textId="77777777" w:rsidR="00057263" w:rsidRPr="005A7F0A" w:rsidRDefault="00057263" w:rsidP="00057263">
      <w:pPr>
        <w:pStyle w:val="ListParagraph"/>
        <w:ind w:left="825"/>
      </w:pPr>
    </w:p>
    <w:p w14:paraId="4C317CB0" w14:textId="26D83521" w:rsidR="00722B42" w:rsidRPr="000E4F70" w:rsidRDefault="004F39CE">
      <w:pPr>
        <w:rPr>
          <w:b/>
        </w:rPr>
      </w:pPr>
      <w:bookmarkStart w:id="6" w:name="elem"/>
      <w:r>
        <w:rPr>
          <w:b/>
        </w:rPr>
        <w:t xml:space="preserve">Can gateways </w:t>
      </w:r>
      <w:r w:rsidR="00057263">
        <w:rPr>
          <w:b/>
        </w:rPr>
        <w:t>focus</w:t>
      </w:r>
      <w:r w:rsidR="00722B42" w:rsidRPr="000E4F70">
        <w:rPr>
          <w:b/>
        </w:rPr>
        <w:t xml:space="preserve"> on elements other than those from the CAP rubric?</w:t>
      </w:r>
    </w:p>
    <w:bookmarkEnd w:id="6"/>
    <w:p w14:paraId="21893CCA" w14:textId="73F172B0" w:rsidR="00722B42" w:rsidRDefault="004F39CE" w:rsidP="00DA6C50">
      <w:r>
        <w:t xml:space="preserve">Yes. </w:t>
      </w:r>
      <w:r w:rsidR="00DA6C50">
        <w:t>Gateways</w:t>
      </w:r>
      <w:r>
        <w:t xml:space="preserve"> should</w:t>
      </w:r>
      <w:r w:rsidR="00DA6C50">
        <w:t xml:space="preserve"> assess candidate’s performance in discrete skills embedded in the Professional Standards for Teachers (PSTs)</w:t>
      </w:r>
      <w:r w:rsidR="00DA6C50" w:rsidRPr="00DA6C50">
        <w:t xml:space="preserve"> </w:t>
      </w:r>
      <w:r w:rsidR="00DA6C50">
        <w:t xml:space="preserve">and Subject Matter Knowledge guidelines (SMKs) that </w:t>
      </w:r>
      <w:r w:rsidR="00F27332">
        <w:t>build towards candidate readiness for CAP.</w:t>
      </w:r>
    </w:p>
    <w:p w14:paraId="44979E3E" w14:textId="77777777" w:rsidR="0096489B" w:rsidRPr="000E4F70" w:rsidRDefault="0096489B">
      <w:pPr>
        <w:rPr>
          <w:b/>
        </w:rPr>
      </w:pPr>
      <w:bookmarkStart w:id="7" w:name="data"/>
      <w:r w:rsidRPr="000E4F70">
        <w:rPr>
          <w:b/>
        </w:rPr>
        <w:t>Will DESE col</w:t>
      </w:r>
      <w:r w:rsidR="00057E55">
        <w:rPr>
          <w:b/>
        </w:rPr>
        <w:t>lect data from the gateways</w:t>
      </w:r>
      <w:r w:rsidRPr="000E4F70">
        <w:rPr>
          <w:b/>
        </w:rPr>
        <w:t>?</w:t>
      </w:r>
    </w:p>
    <w:bookmarkEnd w:id="7"/>
    <w:p w14:paraId="07551DFA" w14:textId="0E5208C2" w:rsidR="00CA2816" w:rsidRDefault="000E4F70" w:rsidP="001A089A">
      <w:r w:rsidRPr="000E4F70">
        <w:t xml:space="preserve">DESE </w:t>
      </w:r>
      <w:r w:rsidR="00E10400">
        <w:t>will not collect</w:t>
      </w:r>
      <w:r w:rsidRPr="000E4F70">
        <w:t xml:space="preserve"> gateway data in the way that we collect CAP data, but SOs </w:t>
      </w:r>
      <w:r w:rsidR="00673319">
        <w:t xml:space="preserve">are expected </w:t>
      </w:r>
      <w:r w:rsidRPr="000E4F70">
        <w:t xml:space="preserve">to </w:t>
      </w:r>
      <w:r w:rsidR="001A089A">
        <w:t xml:space="preserve">independently </w:t>
      </w:r>
      <w:r w:rsidRPr="000E4F70">
        <w:t>collect</w:t>
      </w:r>
      <w:r w:rsidR="00673319">
        <w:t xml:space="preserve"> and </w:t>
      </w:r>
      <w:r w:rsidRPr="000E4F70">
        <w:t>monitor th</w:t>
      </w:r>
      <w:r w:rsidR="00673319">
        <w:t>is</w:t>
      </w:r>
      <w:r w:rsidRPr="000E4F70">
        <w:t xml:space="preserve"> data in order to identify at risk candidates, monitor individual program effectiveness, and support continuous improvement.  </w:t>
      </w:r>
      <w:r w:rsidR="001A089A">
        <w:t>An SO may also cite gateway data in DESE’s formal review process.</w:t>
      </w:r>
    </w:p>
    <w:p w14:paraId="3D025576" w14:textId="1BD02232" w:rsidR="006E0ED0" w:rsidRPr="00860B4A" w:rsidRDefault="006E0ED0">
      <w:pPr>
        <w:rPr>
          <w:b/>
        </w:rPr>
      </w:pPr>
      <w:bookmarkStart w:id="8" w:name="howshould"/>
      <w:r w:rsidRPr="00860B4A">
        <w:rPr>
          <w:b/>
        </w:rPr>
        <w:t>How should Sponsoring Organizations that have partnerships with Community Colleges implement the gateway requirement?</w:t>
      </w:r>
    </w:p>
    <w:bookmarkEnd w:id="8"/>
    <w:p w14:paraId="1D957626" w14:textId="1BA6A7C5" w:rsidR="006E0ED0" w:rsidRPr="00F27332" w:rsidRDefault="006E0ED0" w:rsidP="006E0ED0">
      <w:r w:rsidRPr="00F27332">
        <w:t xml:space="preserve">While SOs have ultimate responsibility for evaluating candidate readiness for the practicum, </w:t>
      </w:r>
      <w:r w:rsidR="00E10400">
        <w:t xml:space="preserve">SOs </w:t>
      </w:r>
      <w:r w:rsidRPr="00F27332">
        <w:t>may partner with Community Colleges to administer agreed-upon gateway tasks in line with the expectations set forth in the Guidelines or else may elect to administer the gateway prior to the candidate beginning CAP.</w:t>
      </w:r>
    </w:p>
    <w:p w14:paraId="47E2D6D6" w14:textId="77777777" w:rsidR="0096489B" w:rsidRPr="007A419E" w:rsidRDefault="0096489B">
      <w:pPr>
        <w:rPr>
          <w:b/>
        </w:rPr>
      </w:pPr>
      <w:bookmarkStart w:id="9" w:name="waive"/>
      <w:r w:rsidRPr="007A419E">
        <w:rPr>
          <w:b/>
        </w:rPr>
        <w:t xml:space="preserve">Can </w:t>
      </w:r>
      <w:r w:rsidR="00722B42" w:rsidRPr="007A419E">
        <w:rPr>
          <w:b/>
        </w:rPr>
        <w:t xml:space="preserve">Sponsoring Organizations </w:t>
      </w:r>
      <w:r w:rsidRPr="007A419E">
        <w:rPr>
          <w:b/>
        </w:rPr>
        <w:t>waive t</w:t>
      </w:r>
      <w:r w:rsidR="00057263">
        <w:rPr>
          <w:b/>
        </w:rPr>
        <w:t>he requirement for gateways</w:t>
      </w:r>
      <w:r w:rsidRPr="007A419E">
        <w:rPr>
          <w:b/>
        </w:rPr>
        <w:t>?</w:t>
      </w:r>
    </w:p>
    <w:bookmarkEnd w:id="9"/>
    <w:p w14:paraId="66DA3CEC" w14:textId="3515045A" w:rsidR="005505C9" w:rsidRDefault="00057263">
      <w:r>
        <w:t xml:space="preserve">In accordance with the </w:t>
      </w:r>
      <w:r w:rsidRPr="00057263">
        <w:t>Regulations Governing Program Approval (</w:t>
      </w:r>
      <w:hyperlink r:id="rId17" w:history="1">
        <w:r w:rsidRPr="00057263">
          <w:rPr>
            <w:rStyle w:val="Hyperlink"/>
          </w:rPr>
          <w:t>603 CMR 7.03 (1) (b</w:t>
        </w:r>
      </w:hyperlink>
      <w:r w:rsidRPr="00057263">
        <w:t>)</w:t>
      </w:r>
      <w:r>
        <w:t xml:space="preserve">, SOs may waive gateway requirements for individual candidates but may not design a </w:t>
      </w:r>
      <w:r w:rsidR="005505C9">
        <w:t>program dependent upon a waiver.</w:t>
      </w:r>
    </w:p>
    <w:p w14:paraId="0955422C" w14:textId="77777777" w:rsidR="005505C9" w:rsidRDefault="005505C9">
      <w:pPr>
        <w:rPr>
          <w:i/>
        </w:rPr>
      </w:pPr>
    </w:p>
    <w:p w14:paraId="6175E443" w14:textId="0854BBBA" w:rsidR="0096715A" w:rsidRPr="005505C9" w:rsidRDefault="0096715A" w:rsidP="00132758">
      <w:pPr>
        <w:jc w:val="center"/>
        <w:rPr>
          <w:i/>
        </w:rPr>
      </w:pPr>
      <w:r w:rsidRPr="005505C9">
        <w:rPr>
          <w:i/>
        </w:rPr>
        <w:t xml:space="preserve">For more information, please see the </w:t>
      </w:r>
      <w:hyperlink r:id="rId18" w:history="1">
        <w:r w:rsidRPr="005505C9">
          <w:rPr>
            <w:rStyle w:val="Hyperlink"/>
            <w:i/>
          </w:rPr>
          <w:t>Pre-Practicum Guidelines</w:t>
        </w:r>
      </w:hyperlink>
      <w:r w:rsidRPr="005505C9">
        <w:rPr>
          <w:i/>
        </w:rPr>
        <w:t xml:space="preserve"> or contact </w:t>
      </w:r>
      <w:hyperlink r:id="rId19" w:history="1">
        <w:r w:rsidR="00B237A5">
          <w:rPr>
            <w:rStyle w:val="Hyperlink"/>
            <w:i/>
          </w:rPr>
          <w:t>educatorpreparation@mass.gov</w:t>
        </w:r>
      </w:hyperlink>
      <w:hyperlink r:id="rId20" w:history="1"/>
      <w:r w:rsidRPr="005505C9">
        <w:rPr>
          <w:i/>
        </w:rPr>
        <w:t>.</w:t>
      </w:r>
    </w:p>
    <w:sectPr w:rsidR="0096715A" w:rsidRPr="005505C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2118" w14:textId="77777777" w:rsidR="00F3468C" w:rsidRDefault="00F3468C" w:rsidP="007C4C0B">
      <w:pPr>
        <w:spacing w:after="0" w:line="240" w:lineRule="auto"/>
      </w:pPr>
      <w:r>
        <w:separator/>
      </w:r>
    </w:p>
  </w:endnote>
  <w:endnote w:type="continuationSeparator" w:id="0">
    <w:p w14:paraId="2E1AF217" w14:textId="77777777" w:rsidR="00F3468C" w:rsidRDefault="00F3468C" w:rsidP="007C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5288" w14:textId="41596879" w:rsidR="00C44C18" w:rsidRPr="00B237A5" w:rsidRDefault="00C44C18">
    <w:pPr>
      <w:pStyle w:val="Footer"/>
      <w:rPr>
        <w:color w:val="000000" w:themeColor="text1"/>
        <w:sz w:val="20"/>
        <w:szCs w:val="20"/>
      </w:rPr>
    </w:pPr>
    <w:r w:rsidRPr="00B237A5">
      <w:rPr>
        <w:color w:val="000000" w:themeColor="text1"/>
        <w:sz w:val="20"/>
        <w:szCs w:val="20"/>
      </w:rPr>
      <w:t>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6708" w14:textId="77777777" w:rsidR="00F3468C" w:rsidRDefault="00F3468C" w:rsidP="007C4C0B">
      <w:pPr>
        <w:spacing w:after="0" w:line="240" w:lineRule="auto"/>
      </w:pPr>
      <w:r>
        <w:separator/>
      </w:r>
    </w:p>
  </w:footnote>
  <w:footnote w:type="continuationSeparator" w:id="0">
    <w:p w14:paraId="6B4E30A8" w14:textId="77777777" w:rsidR="00F3468C" w:rsidRDefault="00F3468C" w:rsidP="007C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D04E" w14:textId="10E20111" w:rsidR="007C4C0B" w:rsidRDefault="007C4C0B" w:rsidP="007C4C0B">
    <w:pPr>
      <w:pStyle w:val="Header"/>
      <w:jc w:val="right"/>
    </w:pPr>
    <w:r>
      <w:rPr>
        <w:noProof/>
      </w:rPr>
      <w:drawing>
        <wp:inline distT="0" distB="0" distL="0" distR="0" wp14:anchorId="39963BF9" wp14:editId="3853DABC">
          <wp:extent cx="1076325" cy="522356"/>
          <wp:effectExtent l="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923" cy="5342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E1D68"/>
    <w:multiLevelType w:val="hybridMultilevel"/>
    <w:tmpl w:val="9576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2E75FB"/>
    <w:multiLevelType w:val="hybridMultilevel"/>
    <w:tmpl w:val="6B52B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A0E48"/>
    <w:multiLevelType w:val="hybridMultilevel"/>
    <w:tmpl w:val="170200F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45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7787E34"/>
    <w:multiLevelType w:val="hybridMultilevel"/>
    <w:tmpl w:val="AB1CEB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D0"/>
    <w:rsid w:val="00015E9C"/>
    <w:rsid w:val="000260D1"/>
    <w:rsid w:val="00057263"/>
    <w:rsid w:val="00057E55"/>
    <w:rsid w:val="000812F8"/>
    <w:rsid w:val="000D752A"/>
    <w:rsid w:val="000E14E0"/>
    <w:rsid w:val="000E4F70"/>
    <w:rsid w:val="00132758"/>
    <w:rsid w:val="001A089A"/>
    <w:rsid w:val="001B07D7"/>
    <w:rsid w:val="001C21E5"/>
    <w:rsid w:val="00243351"/>
    <w:rsid w:val="00306B6D"/>
    <w:rsid w:val="00367771"/>
    <w:rsid w:val="00377F48"/>
    <w:rsid w:val="00381904"/>
    <w:rsid w:val="004331C3"/>
    <w:rsid w:val="004B7E9A"/>
    <w:rsid w:val="004F39CE"/>
    <w:rsid w:val="00540D00"/>
    <w:rsid w:val="005505C9"/>
    <w:rsid w:val="005A7F0A"/>
    <w:rsid w:val="006352D2"/>
    <w:rsid w:val="00673319"/>
    <w:rsid w:val="00691919"/>
    <w:rsid w:val="006E0ED0"/>
    <w:rsid w:val="007154CC"/>
    <w:rsid w:val="00722B42"/>
    <w:rsid w:val="007A419E"/>
    <w:rsid w:val="007C4C0B"/>
    <w:rsid w:val="0081367E"/>
    <w:rsid w:val="00860B4A"/>
    <w:rsid w:val="00880136"/>
    <w:rsid w:val="008E5AC3"/>
    <w:rsid w:val="008F3A79"/>
    <w:rsid w:val="00927199"/>
    <w:rsid w:val="009500CF"/>
    <w:rsid w:val="0096489B"/>
    <w:rsid w:val="0096715A"/>
    <w:rsid w:val="00AE7421"/>
    <w:rsid w:val="00B237A5"/>
    <w:rsid w:val="00C44C18"/>
    <w:rsid w:val="00C624F7"/>
    <w:rsid w:val="00CA2816"/>
    <w:rsid w:val="00DA6C50"/>
    <w:rsid w:val="00DB6F3D"/>
    <w:rsid w:val="00DE10E5"/>
    <w:rsid w:val="00E10400"/>
    <w:rsid w:val="00E476D2"/>
    <w:rsid w:val="00E963CA"/>
    <w:rsid w:val="00EF1CC9"/>
    <w:rsid w:val="00F11441"/>
    <w:rsid w:val="00F27332"/>
    <w:rsid w:val="00F3468C"/>
    <w:rsid w:val="00F53C4F"/>
    <w:rsid w:val="00F67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FFE0"/>
  <w15:chartTrackingRefBased/>
  <w15:docId w15:val="{10505CE4-E5F1-40B3-A5D8-7DB94B6D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19E"/>
    <w:rPr>
      <w:color w:val="0563C1" w:themeColor="hyperlink"/>
      <w:u w:val="single"/>
    </w:rPr>
  </w:style>
  <w:style w:type="character" w:styleId="FollowedHyperlink">
    <w:name w:val="FollowedHyperlink"/>
    <w:basedOn w:val="DefaultParagraphFont"/>
    <w:uiPriority w:val="99"/>
    <w:semiHidden/>
    <w:unhideWhenUsed/>
    <w:rsid w:val="007A419E"/>
    <w:rPr>
      <w:color w:val="954F72" w:themeColor="followedHyperlink"/>
      <w:u w:val="single"/>
    </w:rPr>
  </w:style>
  <w:style w:type="paragraph" w:styleId="BodyText">
    <w:name w:val="Body Text"/>
    <w:basedOn w:val="Normal"/>
    <w:link w:val="BodyTextChar"/>
    <w:semiHidden/>
    <w:unhideWhenUsed/>
    <w:rsid w:val="007A419E"/>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semiHidden/>
    <w:rsid w:val="007A419E"/>
    <w:rPr>
      <w:rFonts w:ascii="Times New Roman" w:eastAsia="Times New Roman" w:hAnsi="Times New Roman" w:cs="Times New Roman"/>
      <w:i/>
      <w:sz w:val="20"/>
      <w:szCs w:val="20"/>
    </w:rPr>
  </w:style>
  <w:style w:type="paragraph" w:styleId="ListParagraph">
    <w:name w:val="List Paragraph"/>
    <w:basedOn w:val="Normal"/>
    <w:uiPriority w:val="1"/>
    <w:qFormat/>
    <w:rsid w:val="007A419E"/>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352D2"/>
    <w:rPr>
      <w:sz w:val="16"/>
      <w:szCs w:val="16"/>
    </w:rPr>
  </w:style>
  <w:style w:type="paragraph" w:styleId="CommentText">
    <w:name w:val="annotation text"/>
    <w:basedOn w:val="Normal"/>
    <w:link w:val="CommentTextChar"/>
    <w:uiPriority w:val="99"/>
    <w:semiHidden/>
    <w:unhideWhenUsed/>
    <w:rsid w:val="006352D2"/>
    <w:pPr>
      <w:spacing w:line="240" w:lineRule="auto"/>
    </w:pPr>
    <w:rPr>
      <w:sz w:val="20"/>
      <w:szCs w:val="20"/>
    </w:rPr>
  </w:style>
  <w:style w:type="character" w:customStyle="1" w:styleId="CommentTextChar">
    <w:name w:val="Comment Text Char"/>
    <w:basedOn w:val="DefaultParagraphFont"/>
    <w:link w:val="CommentText"/>
    <w:uiPriority w:val="99"/>
    <w:semiHidden/>
    <w:rsid w:val="006352D2"/>
    <w:rPr>
      <w:sz w:val="20"/>
      <w:szCs w:val="20"/>
    </w:rPr>
  </w:style>
  <w:style w:type="paragraph" w:styleId="CommentSubject">
    <w:name w:val="annotation subject"/>
    <w:basedOn w:val="CommentText"/>
    <w:next w:val="CommentText"/>
    <w:link w:val="CommentSubjectChar"/>
    <w:uiPriority w:val="99"/>
    <w:semiHidden/>
    <w:unhideWhenUsed/>
    <w:rsid w:val="006352D2"/>
    <w:rPr>
      <w:b/>
      <w:bCs/>
    </w:rPr>
  </w:style>
  <w:style w:type="character" w:customStyle="1" w:styleId="CommentSubjectChar">
    <w:name w:val="Comment Subject Char"/>
    <w:basedOn w:val="CommentTextChar"/>
    <w:link w:val="CommentSubject"/>
    <w:uiPriority w:val="99"/>
    <w:semiHidden/>
    <w:rsid w:val="006352D2"/>
    <w:rPr>
      <w:b/>
      <w:bCs/>
      <w:sz w:val="20"/>
      <w:szCs w:val="20"/>
    </w:rPr>
  </w:style>
  <w:style w:type="paragraph" w:styleId="BalloonText">
    <w:name w:val="Balloon Text"/>
    <w:basedOn w:val="Normal"/>
    <w:link w:val="BalloonTextChar"/>
    <w:uiPriority w:val="99"/>
    <w:semiHidden/>
    <w:unhideWhenUsed/>
    <w:rsid w:val="00635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2D2"/>
    <w:rPr>
      <w:rFonts w:ascii="Segoe UI" w:hAnsi="Segoe UI" w:cs="Segoe UI"/>
      <w:sz w:val="18"/>
      <w:szCs w:val="18"/>
    </w:rPr>
  </w:style>
  <w:style w:type="character" w:styleId="Strong">
    <w:name w:val="Strong"/>
    <w:basedOn w:val="DefaultParagraphFont"/>
    <w:uiPriority w:val="22"/>
    <w:qFormat/>
    <w:rsid w:val="00E963CA"/>
    <w:rPr>
      <w:b/>
      <w:bCs/>
    </w:rPr>
  </w:style>
  <w:style w:type="paragraph" w:styleId="Header">
    <w:name w:val="header"/>
    <w:basedOn w:val="Normal"/>
    <w:link w:val="HeaderChar"/>
    <w:uiPriority w:val="99"/>
    <w:unhideWhenUsed/>
    <w:rsid w:val="007C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0B"/>
  </w:style>
  <w:style w:type="paragraph" w:styleId="Footer">
    <w:name w:val="footer"/>
    <w:basedOn w:val="Normal"/>
    <w:link w:val="FooterChar"/>
    <w:uiPriority w:val="99"/>
    <w:unhideWhenUsed/>
    <w:rsid w:val="007C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0B"/>
  </w:style>
  <w:style w:type="paragraph" w:styleId="FootnoteText">
    <w:name w:val="footnote text"/>
    <w:basedOn w:val="Normal"/>
    <w:link w:val="FootnoteTextChar"/>
    <w:uiPriority w:val="99"/>
    <w:semiHidden/>
    <w:unhideWhenUsed/>
    <w:rsid w:val="00AE7421"/>
    <w:pPr>
      <w:spacing w:after="12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AE7421"/>
    <w:rPr>
      <w:rFonts w:ascii="Arial" w:hAnsi="Arial" w:cs="Arial"/>
      <w:sz w:val="20"/>
      <w:szCs w:val="20"/>
    </w:rPr>
  </w:style>
  <w:style w:type="character" w:styleId="FootnoteReference">
    <w:name w:val="footnote reference"/>
    <w:basedOn w:val="DefaultParagraphFont"/>
    <w:uiPriority w:val="99"/>
    <w:semiHidden/>
    <w:unhideWhenUsed/>
    <w:rsid w:val="00AE7421"/>
    <w:rPr>
      <w:vertAlign w:val="superscript"/>
    </w:rPr>
  </w:style>
  <w:style w:type="character" w:styleId="UnresolvedMention">
    <w:name w:val="Unresolved Mention"/>
    <w:basedOn w:val="DefaultParagraphFont"/>
    <w:uiPriority w:val="99"/>
    <w:semiHidden/>
    <w:unhideWhenUsed/>
    <w:rsid w:val="00C44C18"/>
    <w:rPr>
      <w:color w:val="605E5C"/>
      <w:shd w:val="clear" w:color="auto" w:fill="E1DFDD"/>
    </w:rPr>
  </w:style>
  <w:style w:type="character" w:styleId="PlaceholderText">
    <w:name w:val="Placeholder Text"/>
    <w:basedOn w:val="DefaultParagraphFont"/>
    <w:uiPriority w:val="99"/>
    <w:semiHidden/>
    <w:rsid w:val="00B237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838246">
      <w:bodyDiv w:val="1"/>
      <w:marLeft w:val="0"/>
      <w:marRight w:val="0"/>
      <w:marTop w:val="0"/>
      <w:marBottom w:val="0"/>
      <w:divBdr>
        <w:top w:val="none" w:sz="0" w:space="0" w:color="auto"/>
        <w:left w:val="none" w:sz="0" w:space="0" w:color="auto"/>
        <w:bottom w:val="none" w:sz="0" w:space="0" w:color="auto"/>
        <w:right w:val="none" w:sz="0" w:space="0" w:color="auto"/>
      </w:divBdr>
    </w:div>
    <w:div w:id="1576433187">
      <w:bodyDiv w:val="1"/>
      <w:marLeft w:val="0"/>
      <w:marRight w:val="0"/>
      <w:marTop w:val="0"/>
      <w:marBottom w:val="0"/>
      <w:divBdr>
        <w:top w:val="none" w:sz="0" w:space="0" w:color="auto"/>
        <w:left w:val="none" w:sz="0" w:space="0" w:color="auto"/>
        <w:bottom w:val="none" w:sz="0" w:space="0" w:color="auto"/>
        <w:right w:val="none" w:sz="0" w:space="0" w:color="auto"/>
      </w:divBdr>
    </w:div>
    <w:div w:id="15875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edprep/domains/field-based/pre-practicum.docx" TargetMode="External"/><Relationship Id="rId18" Type="http://schemas.openxmlformats.org/officeDocument/2006/relationships/hyperlink" Target="https://www.doe.mass.edu/edprep/domains/field-based/pre-practicum.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doe.mass.edu/edprep/domains/field-based/pre-practicum.docx" TargetMode="External"/><Relationship Id="rId17" Type="http://schemas.openxmlformats.org/officeDocument/2006/relationships/hyperlink" Target="http://www.doe.mass.edu/lawsregs/603cmr7.html?section=0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edprep/domains/instruction/smk-guidelines.docx" TargetMode="External"/><Relationship Id="rId20" Type="http://schemas.openxmlformats.org/officeDocument/2006/relationships/hyperlink" Target="mailto:educatorpreparation@doe.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doe.mass.edu/edprep/ca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ducatorpreparation@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dprep/resources/guidelines-advisories/teachers-guide.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AFEAC8F1D341F78A8EAD80A6BCD894"/>
        <w:category>
          <w:name w:val="General"/>
          <w:gallery w:val="placeholder"/>
        </w:category>
        <w:types>
          <w:type w:val="bbPlcHdr"/>
        </w:types>
        <w:behaviors>
          <w:behavior w:val="content"/>
        </w:behaviors>
        <w:guid w:val="{40056643-1EC6-45DB-97AA-AE0BDF091C3D}"/>
      </w:docPartPr>
      <w:docPartBody>
        <w:p w:rsidR="00BF5BD5" w:rsidRDefault="007B62A6">
          <w:r w:rsidRPr="00C562D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A6"/>
    <w:rsid w:val="007B62A6"/>
    <w:rsid w:val="007C2168"/>
    <w:rsid w:val="00BF5BD5"/>
    <w:rsid w:val="00C57D8F"/>
    <w:rsid w:val="00C72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2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DESE-231-73990</_dlc_DocId>
    <_dlc_DocIdUrl xmlns="733efe1c-5bbe-4968-87dc-d400e65c879f">
      <Url>https://sharepoint.doemass.org/ese/webteam/cps/_layouts/DocIdRedir.aspx?ID=DESE-231-73990</Url>
      <Description>DESE-231-73990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C38A-C0E3-4F62-A89C-1D8E8B66031D}">
  <ds:schemaRefs>
    <ds:schemaRef ds:uri="http://schemas.microsoft.com/sharepoint/v3/contenttype/forms"/>
  </ds:schemaRefs>
</ds:datastoreItem>
</file>

<file path=customXml/itemProps2.xml><?xml version="1.0" encoding="utf-8"?>
<ds:datastoreItem xmlns:ds="http://schemas.openxmlformats.org/officeDocument/2006/customXml" ds:itemID="{D2A23392-A6C6-4653-A29B-EAC4763ADE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D22C97E-86EC-4518-95E1-C50C2A0C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B031C-2134-4A5B-B56C-60B38D941321}">
  <ds:schemaRefs>
    <ds:schemaRef ds:uri="http://schemas.microsoft.com/sharepoint/events"/>
  </ds:schemaRefs>
</ds:datastoreItem>
</file>

<file path=customXml/itemProps5.xml><?xml version="1.0" encoding="utf-8"?>
<ds:datastoreItem xmlns:ds="http://schemas.openxmlformats.org/officeDocument/2006/customXml" ds:itemID="{7223D081-184C-4D51-A4FB-8FD4B94C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Pre-Practicum Gateways – Frequently Asked Questions</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Pre-Practicum Gateways – Frequently Asked Questions</dc:title>
  <dc:subject/>
  <dc:creator>DESE</dc:creator>
  <cp:keywords/>
  <dc:description/>
  <cp:lastModifiedBy>Zou, Dong (EOE)</cp:lastModifiedBy>
  <cp:revision>6</cp:revision>
  <dcterms:created xsi:type="dcterms:W3CDTF">2021-09-28T13:20:00Z</dcterms:created>
  <dcterms:modified xsi:type="dcterms:W3CDTF">2021-09-28T18:14:00Z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2021</vt:lpwstr>
  </property>
</Properties>
</file>