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72C3A9" w14:textId="77777777" w:rsidR="00942576" w:rsidRDefault="00942576" w:rsidP="00942576">
      <w:pPr>
        <w:spacing w:after="0"/>
        <w:jc w:val="center"/>
        <w:rPr>
          <w:b/>
          <w:sz w:val="20"/>
          <w:szCs w:val="20"/>
          <w:u w:val="single"/>
        </w:rPr>
      </w:pPr>
      <w:bookmarkStart w:id="0" w:name="_GoBack"/>
      <w:bookmarkEnd w:id="0"/>
    </w:p>
    <w:p w14:paraId="02D3D035" w14:textId="47CB1F0B" w:rsidR="00942576" w:rsidRDefault="00E91DB0" w:rsidP="00942576">
      <w:pPr>
        <w:spacing w:after="0"/>
        <w:jc w:val="center"/>
        <w:rPr>
          <w:rFonts w:cstheme="minorHAnsi"/>
          <w:b/>
          <w:sz w:val="20"/>
          <w:szCs w:val="20"/>
        </w:rPr>
      </w:pPr>
      <w:r>
        <w:rPr>
          <w:b/>
          <w:sz w:val="20"/>
          <w:szCs w:val="20"/>
          <w:u w:val="single"/>
        </w:rPr>
        <w:t>DE</w:t>
      </w:r>
      <w:r w:rsidR="00656010" w:rsidRPr="006C2E8C">
        <w:rPr>
          <w:b/>
          <w:sz w:val="20"/>
          <w:szCs w:val="20"/>
          <w:u w:val="single"/>
        </w:rPr>
        <w:t>SE Pre-Practicum Model Gateway</w:t>
      </w:r>
      <w:r w:rsidR="0001197A" w:rsidRPr="006C2E8C">
        <w:rPr>
          <w:b/>
          <w:sz w:val="20"/>
          <w:szCs w:val="20"/>
          <w:u w:val="single"/>
        </w:rPr>
        <w:t xml:space="preserve"> Task</w:t>
      </w:r>
      <w:r w:rsidR="00656010" w:rsidRPr="006C2E8C">
        <w:rPr>
          <w:b/>
          <w:sz w:val="20"/>
          <w:szCs w:val="20"/>
          <w:u w:val="single"/>
        </w:rPr>
        <w:t xml:space="preserve"> – </w:t>
      </w:r>
      <w:r w:rsidR="00942576">
        <w:rPr>
          <w:b/>
          <w:sz w:val="20"/>
          <w:szCs w:val="20"/>
          <w:u w:val="single"/>
        </w:rPr>
        <w:t>EVALUATION TOOL</w:t>
      </w:r>
    </w:p>
    <w:p w14:paraId="77082777" w14:textId="18CCC5FA" w:rsidR="00E91DB0" w:rsidRDefault="00E91DB0" w:rsidP="00942576">
      <w:pPr>
        <w:spacing w:after="0"/>
        <w:jc w:val="center"/>
        <w:rPr>
          <w:rFonts w:ascii="Open Sans" w:hAnsi="Open Sans"/>
          <w:color w:val="000000"/>
          <w:sz w:val="18"/>
          <w:szCs w:val="18"/>
        </w:rPr>
      </w:pPr>
      <w:r w:rsidRPr="00942576">
        <w:rPr>
          <w:rFonts w:cstheme="minorHAnsi"/>
          <w:b/>
          <w:sz w:val="20"/>
          <w:szCs w:val="20"/>
        </w:rPr>
        <w:t>[</w:t>
      </w:r>
      <w:r w:rsidRPr="00942576">
        <w:rPr>
          <w:rFonts w:cstheme="minorHAnsi"/>
          <w:color w:val="000000"/>
          <w:sz w:val="18"/>
          <w:szCs w:val="18"/>
        </w:rPr>
        <w:t xml:space="preserve">Bid # BD-19-1026-DOE02-DOE01-35818, Alternative ID#:  </w:t>
      </w:r>
      <w:r w:rsidRPr="00942576">
        <w:rPr>
          <w:rFonts w:cstheme="minorHAnsi"/>
          <w:bCs/>
          <w:color w:val="000000"/>
          <w:sz w:val="20"/>
          <w:szCs w:val="20"/>
        </w:rPr>
        <w:t>19MACISSC1]</w:t>
      </w:r>
    </w:p>
    <w:p w14:paraId="77ACF621" w14:textId="556D2155" w:rsidR="00942576" w:rsidRDefault="006C2E8C" w:rsidP="00942576">
      <w:pPr>
        <w:spacing w:after="0"/>
        <w:rPr>
          <w:b/>
          <w:sz w:val="20"/>
          <w:szCs w:val="20"/>
        </w:rPr>
      </w:pPr>
      <w:r w:rsidRPr="000779A4">
        <w:rPr>
          <w:b/>
          <w:sz w:val="20"/>
          <w:szCs w:val="20"/>
        </w:rPr>
        <w:t>Name of Bidder:</w:t>
      </w:r>
    </w:p>
    <w:p w14:paraId="62F980BD" w14:textId="77777777" w:rsidR="00942576" w:rsidRDefault="00942576" w:rsidP="00942576">
      <w:pPr>
        <w:spacing w:after="0"/>
        <w:rPr>
          <w:b/>
          <w:sz w:val="20"/>
          <w:szCs w:val="20"/>
        </w:rPr>
      </w:pPr>
      <w:r>
        <w:rPr>
          <w:b/>
          <w:sz w:val="20"/>
          <w:szCs w:val="20"/>
        </w:rPr>
        <w:t>Name of Review:</w:t>
      </w:r>
      <w:r w:rsidR="006C2E8C" w:rsidRPr="000779A4">
        <w:rPr>
          <w:b/>
          <w:sz w:val="20"/>
          <w:szCs w:val="20"/>
        </w:rPr>
        <w:t xml:space="preserve"> </w:t>
      </w:r>
      <w:r>
        <w:rPr>
          <w:b/>
          <w:sz w:val="20"/>
          <w:szCs w:val="20"/>
        </w:rPr>
        <w:tab/>
      </w:r>
      <w:r>
        <w:rPr>
          <w:b/>
          <w:sz w:val="20"/>
          <w:szCs w:val="20"/>
        </w:rPr>
        <w:tab/>
      </w:r>
      <w:r>
        <w:rPr>
          <w:b/>
          <w:sz w:val="20"/>
          <w:szCs w:val="20"/>
        </w:rPr>
        <w:tab/>
      </w:r>
    </w:p>
    <w:p w14:paraId="36143F59" w14:textId="6D1BEA54" w:rsidR="00942576" w:rsidRDefault="006C2E8C" w:rsidP="00942576">
      <w:pPr>
        <w:spacing w:after="0"/>
        <w:rPr>
          <w:b/>
          <w:sz w:val="20"/>
          <w:szCs w:val="20"/>
        </w:rPr>
      </w:pPr>
      <w:r w:rsidRPr="000779A4">
        <w:rPr>
          <w:b/>
          <w:sz w:val="20"/>
          <w:szCs w:val="20"/>
        </w:rPr>
        <w:t>Date Reviewed:</w:t>
      </w:r>
    </w:p>
    <w:p w14:paraId="7F79E975" w14:textId="77777777" w:rsidR="00942576" w:rsidRDefault="00942576" w:rsidP="00942576">
      <w:pPr>
        <w:spacing w:after="0"/>
        <w:rPr>
          <w:b/>
          <w:sz w:val="20"/>
          <w:szCs w:val="20"/>
        </w:rPr>
      </w:pPr>
    </w:p>
    <w:p w14:paraId="3DC72437" w14:textId="538DBC34" w:rsidR="00B120E6" w:rsidRPr="0001197A" w:rsidRDefault="006C2E8C" w:rsidP="00942576">
      <w:pPr>
        <w:spacing w:after="0"/>
        <w:rPr>
          <w:b/>
          <w:sz w:val="20"/>
          <w:szCs w:val="20"/>
        </w:rPr>
      </w:pPr>
      <w:r>
        <w:rPr>
          <w:b/>
          <w:sz w:val="20"/>
          <w:szCs w:val="20"/>
        </w:rPr>
        <w:t>Required conditions</w:t>
      </w:r>
      <w:r w:rsidR="00B120E6" w:rsidRPr="0001197A">
        <w:rPr>
          <w:b/>
          <w:sz w:val="20"/>
          <w:szCs w:val="20"/>
        </w:rPr>
        <w:t xml:space="preserve"> (</w:t>
      </w:r>
      <w:r>
        <w:rPr>
          <w:b/>
          <w:sz w:val="20"/>
          <w:szCs w:val="20"/>
        </w:rPr>
        <w:t>Gateway tasks must meet these initial requirements in order to be considered):</w:t>
      </w:r>
    </w:p>
    <w:p w14:paraId="7F1FDBCB" w14:textId="2AF88A73" w:rsidR="008A076E" w:rsidRPr="0001197A" w:rsidRDefault="00B120E6" w:rsidP="002D7E2E">
      <w:pPr>
        <w:pStyle w:val="ListParagraph"/>
        <w:numPr>
          <w:ilvl w:val="0"/>
          <w:numId w:val="3"/>
        </w:numPr>
        <w:rPr>
          <w:sz w:val="20"/>
          <w:szCs w:val="20"/>
        </w:rPr>
      </w:pPr>
      <w:r w:rsidRPr="0001197A">
        <w:rPr>
          <w:sz w:val="20"/>
          <w:szCs w:val="20"/>
        </w:rPr>
        <w:t xml:space="preserve">Gateway </w:t>
      </w:r>
      <w:r w:rsidR="00725694" w:rsidRPr="0001197A">
        <w:rPr>
          <w:sz w:val="20"/>
          <w:szCs w:val="20"/>
        </w:rPr>
        <w:t xml:space="preserve">assesses </w:t>
      </w:r>
      <w:r w:rsidR="00725694" w:rsidRPr="0001197A">
        <w:rPr>
          <w:i/>
          <w:sz w:val="20"/>
          <w:szCs w:val="20"/>
        </w:rPr>
        <w:t>individual, independent</w:t>
      </w:r>
      <w:r w:rsidRPr="0001197A">
        <w:rPr>
          <w:sz w:val="20"/>
          <w:szCs w:val="20"/>
        </w:rPr>
        <w:t xml:space="preserve"> candidate performance</w:t>
      </w:r>
      <w:r w:rsidR="00725694" w:rsidRPr="0001197A">
        <w:rPr>
          <w:sz w:val="20"/>
          <w:szCs w:val="20"/>
        </w:rPr>
        <w:t>. It is possible to fully isolate candidate performance from that of peers, S</w:t>
      </w:r>
      <w:r w:rsidR="00D43EE1" w:rsidRPr="0001197A">
        <w:rPr>
          <w:sz w:val="20"/>
          <w:szCs w:val="20"/>
        </w:rPr>
        <w:t>upervising Practitioner</w:t>
      </w:r>
      <w:r w:rsidR="00725694" w:rsidRPr="0001197A">
        <w:rPr>
          <w:sz w:val="20"/>
          <w:szCs w:val="20"/>
        </w:rPr>
        <w:t>, or others.</w:t>
      </w:r>
    </w:p>
    <w:p w14:paraId="39664DA3" w14:textId="45C90A7C" w:rsidR="00B120E6" w:rsidRPr="0001197A" w:rsidRDefault="008A076E" w:rsidP="002D7E2E">
      <w:pPr>
        <w:pStyle w:val="ListParagraph"/>
        <w:numPr>
          <w:ilvl w:val="0"/>
          <w:numId w:val="3"/>
        </w:numPr>
        <w:rPr>
          <w:sz w:val="20"/>
          <w:szCs w:val="20"/>
        </w:rPr>
      </w:pPr>
      <w:r w:rsidRPr="0001197A">
        <w:rPr>
          <w:sz w:val="20"/>
          <w:szCs w:val="20"/>
        </w:rPr>
        <w:t xml:space="preserve">Gateway involves a </w:t>
      </w:r>
      <w:r w:rsidR="00C13727" w:rsidRPr="0001197A">
        <w:rPr>
          <w:sz w:val="20"/>
          <w:szCs w:val="20"/>
        </w:rPr>
        <w:t>discrete</w:t>
      </w:r>
      <w:r w:rsidRPr="0001197A">
        <w:rPr>
          <w:sz w:val="20"/>
          <w:szCs w:val="20"/>
        </w:rPr>
        <w:t xml:space="preserve"> task</w:t>
      </w:r>
      <w:r w:rsidR="00C13727" w:rsidRPr="0001197A">
        <w:rPr>
          <w:sz w:val="20"/>
          <w:szCs w:val="20"/>
        </w:rPr>
        <w:t xml:space="preserve"> representing a </w:t>
      </w:r>
      <w:r w:rsidR="00C13727" w:rsidRPr="0001197A">
        <w:rPr>
          <w:i/>
          <w:sz w:val="20"/>
          <w:szCs w:val="20"/>
        </w:rPr>
        <w:t>snapshot</w:t>
      </w:r>
      <w:r w:rsidR="00C13727" w:rsidRPr="0001197A">
        <w:rPr>
          <w:sz w:val="20"/>
          <w:szCs w:val="20"/>
        </w:rPr>
        <w:t xml:space="preserve"> of candidate performance during the pre-practicum, not a comprehensive, multi-point, long-term assessment (e.</w:t>
      </w:r>
      <w:r w:rsidR="00834B09" w:rsidRPr="0001197A">
        <w:rPr>
          <w:sz w:val="20"/>
          <w:szCs w:val="20"/>
        </w:rPr>
        <w:t>g.</w:t>
      </w:r>
      <w:r w:rsidR="00C13727" w:rsidRPr="0001197A">
        <w:rPr>
          <w:sz w:val="20"/>
          <w:szCs w:val="20"/>
        </w:rPr>
        <w:t xml:space="preserve"> </w:t>
      </w:r>
      <w:r w:rsidR="00D43EE1" w:rsidRPr="0001197A">
        <w:rPr>
          <w:sz w:val="20"/>
          <w:szCs w:val="20"/>
        </w:rPr>
        <w:t>the Candidate Assessment of Performance).</w:t>
      </w:r>
    </w:p>
    <w:p w14:paraId="039F7C9A" w14:textId="47314F94" w:rsidR="00A56841" w:rsidRPr="00942576" w:rsidRDefault="00385781" w:rsidP="00942576">
      <w:pPr>
        <w:pStyle w:val="ListParagraph"/>
        <w:numPr>
          <w:ilvl w:val="0"/>
          <w:numId w:val="3"/>
        </w:numPr>
        <w:rPr>
          <w:sz w:val="20"/>
          <w:szCs w:val="20"/>
        </w:rPr>
      </w:pPr>
      <w:r w:rsidRPr="00385781">
        <w:rPr>
          <w:sz w:val="20"/>
          <w:szCs w:val="20"/>
        </w:rPr>
        <w:t>Assess</w:t>
      </w:r>
      <w:r w:rsidR="0085404F">
        <w:rPr>
          <w:sz w:val="20"/>
          <w:szCs w:val="20"/>
        </w:rPr>
        <w:t>es</w:t>
      </w:r>
      <w:r w:rsidRPr="00385781">
        <w:rPr>
          <w:sz w:val="20"/>
          <w:szCs w:val="20"/>
        </w:rPr>
        <w:t xml:space="preserve"> pedagogical skill(s) embedded in the </w:t>
      </w:r>
      <w:hyperlink r:id="rId12" w:history="1">
        <w:r w:rsidRPr="00385781">
          <w:rPr>
            <w:rStyle w:val="Hyperlink"/>
            <w:sz w:val="20"/>
            <w:szCs w:val="20"/>
          </w:rPr>
          <w:t>Professional Standards for Teachers</w:t>
        </w:r>
      </w:hyperlink>
      <w:r w:rsidRPr="00385781">
        <w:rPr>
          <w:sz w:val="20"/>
          <w:szCs w:val="20"/>
        </w:rPr>
        <w:t xml:space="preserve"> that </w:t>
      </w:r>
      <w:r w:rsidRPr="00385781">
        <w:rPr>
          <w:i/>
          <w:sz w:val="20"/>
          <w:szCs w:val="20"/>
        </w:rPr>
        <w:t>build towards</w:t>
      </w:r>
      <w:r w:rsidRPr="00385781">
        <w:rPr>
          <w:sz w:val="20"/>
          <w:szCs w:val="20"/>
        </w:rPr>
        <w:t xml:space="preserve"> candidates’ ability to demonstrate readiness on the </w:t>
      </w:r>
      <w:hyperlink r:id="rId13" w:history="1">
        <w:r w:rsidRPr="00385781">
          <w:rPr>
            <w:rStyle w:val="Hyperlink"/>
            <w:sz w:val="20"/>
            <w:szCs w:val="20"/>
          </w:rPr>
          <w:t>Candidate Assessment of Performance (CAP)'s essential elements</w:t>
        </w:r>
      </w:hyperlink>
      <w:r w:rsidRPr="00385781">
        <w:rPr>
          <w:rStyle w:val="Hyperlink"/>
          <w:sz w:val="20"/>
          <w:szCs w:val="20"/>
        </w:rPr>
        <w:t>.</w:t>
      </w:r>
    </w:p>
    <w:tbl>
      <w:tblPr>
        <w:tblStyle w:val="TableGrid"/>
        <w:tblW w:w="0" w:type="auto"/>
        <w:tblLook w:val="04A0" w:firstRow="1" w:lastRow="0" w:firstColumn="1" w:lastColumn="0" w:noHBand="0" w:noVBand="1"/>
        <w:tblDescription w:val="Criteria Weight Score Max. points  Awarded points&#10;  0 1 2 3 4 5  &#10;In order to successfully complete the gateway, candidates must demonstrate fluency in the subject-matter they are teaching x5 Task requires no subject-matter knowledge Task requires basic knowledge of the subject-matter Task requires candidates to know and apply essential content in one way Task requires candidates to know and apply essential content in multiple ways (functional knowledge) Task requires candidates to know and apply content in at least one way AND make vertical connections within content  Task requires candidates to know and apply content in multiple ways AND make vertical connections within content (fluency) 25 &#10;Gateway is centered on an instructional task that is authentic and integral to the work of an effective educator in the licensure role. x10 The gateway does not require a performance task. Licensed educators engage in this type of task rarely or not at all AND/OR task is not instructional  Licensed educators engage in this type of task occasionally but it is not integral to the work of an effective educator Licensed educators engage in this type of task regularly OR it is integral to the work of an effective educator Licensed educators engage in this type of task regularly AND it is integral to the work of an effective educator Licensed educators engage in this type of task daily AND it is integral to the work of an effective educator 50 &#10;Scoring guide for the gateway sets minimum thresholds of performance that are sufficiently rigorous to assess readiness for the practicum. x2 There is no scoring guide associated with the task Scoring guide does not set a clear minimum threshold Scoring guide lacks the specificity necessary for consistent calibration Scoring guide attempts to set a threshold but expectations are not clear or rigorous Scoring guide sets a threshold of performance that reflects some components of proficient practice Scoring guide sets a threshold of performance that clearly reflects proficient practice 10 &#10;Other Considerations (3 points each):&#10;• Incorporates a measure of actual student learning as a component of scoring&#10;• Includes scorer calibration supports and assurances&#10;• Includes clear implementation advice/guidance that allows for easy adoption&#10;• Demonstrates evidence of effective past use&#10;• Involves candidates’ ability to adapt as needed and use instructional materials and/or support English Learners and/or Students with Disabilities 15 &#10;TOTAL 100 &#10;"/>
      </w:tblPr>
      <w:tblGrid>
        <w:gridCol w:w="3244"/>
        <w:gridCol w:w="806"/>
        <w:gridCol w:w="2101"/>
        <w:gridCol w:w="2101"/>
        <w:gridCol w:w="2101"/>
        <w:gridCol w:w="2101"/>
        <w:gridCol w:w="2101"/>
        <w:gridCol w:w="2101"/>
        <w:gridCol w:w="1071"/>
        <w:gridCol w:w="983"/>
      </w:tblGrid>
      <w:tr w:rsidR="0001197A" w14:paraId="7A91923A" w14:textId="0892D269" w:rsidTr="000147B4">
        <w:trPr>
          <w:tblHeader/>
        </w:trPr>
        <w:tc>
          <w:tcPr>
            <w:tcW w:w="3244" w:type="dxa"/>
            <w:vMerge w:val="restart"/>
            <w:shd w:val="clear" w:color="auto" w:fill="DEEAF6" w:themeFill="accent1" w:themeFillTint="33"/>
            <w:vAlign w:val="center"/>
          </w:tcPr>
          <w:p w14:paraId="110F952D" w14:textId="77777777" w:rsidR="0001197A" w:rsidRPr="00942576" w:rsidRDefault="0001197A" w:rsidP="003E36E9">
            <w:pPr>
              <w:jc w:val="center"/>
              <w:rPr>
                <w:sz w:val="18"/>
                <w:szCs w:val="18"/>
              </w:rPr>
            </w:pPr>
            <w:r w:rsidRPr="00942576">
              <w:rPr>
                <w:sz w:val="18"/>
                <w:szCs w:val="18"/>
              </w:rPr>
              <w:t>Criteria</w:t>
            </w:r>
          </w:p>
        </w:tc>
        <w:tc>
          <w:tcPr>
            <w:tcW w:w="806" w:type="dxa"/>
            <w:vMerge w:val="restart"/>
            <w:shd w:val="clear" w:color="auto" w:fill="DEEAF6" w:themeFill="accent1" w:themeFillTint="33"/>
            <w:vAlign w:val="center"/>
          </w:tcPr>
          <w:p w14:paraId="1DDA93BA" w14:textId="77777777" w:rsidR="0001197A" w:rsidRPr="00942576" w:rsidRDefault="0001197A" w:rsidP="003E36E9">
            <w:pPr>
              <w:jc w:val="center"/>
              <w:rPr>
                <w:sz w:val="18"/>
                <w:szCs w:val="18"/>
              </w:rPr>
            </w:pPr>
            <w:r w:rsidRPr="00942576">
              <w:rPr>
                <w:sz w:val="18"/>
                <w:szCs w:val="18"/>
              </w:rPr>
              <w:t>Weight</w:t>
            </w:r>
          </w:p>
        </w:tc>
        <w:tc>
          <w:tcPr>
            <w:tcW w:w="12606" w:type="dxa"/>
            <w:gridSpan w:val="6"/>
            <w:shd w:val="clear" w:color="auto" w:fill="DEEAF6" w:themeFill="accent1" w:themeFillTint="33"/>
          </w:tcPr>
          <w:p w14:paraId="6561F8C5" w14:textId="77777777" w:rsidR="0001197A" w:rsidRPr="00942576" w:rsidRDefault="0001197A" w:rsidP="003E36E9">
            <w:pPr>
              <w:jc w:val="center"/>
              <w:rPr>
                <w:sz w:val="18"/>
                <w:szCs w:val="18"/>
              </w:rPr>
            </w:pPr>
            <w:r w:rsidRPr="00942576">
              <w:rPr>
                <w:sz w:val="18"/>
                <w:szCs w:val="18"/>
              </w:rPr>
              <w:t>Score</w:t>
            </w:r>
          </w:p>
        </w:tc>
        <w:tc>
          <w:tcPr>
            <w:tcW w:w="1071" w:type="dxa"/>
            <w:vMerge w:val="restart"/>
            <w:shd w:val="clear" w:color="auto" w:fill="DEEAF6" w:themeFill="accent1" w:themeFillTint="33"/>
          </w:tcPr>
          <w:p w14:paraId="428C208D" w14:textId="6727DCD9" w:rsidR="0001197A" w:rsidRPr="00942576" w:rsidRDefault="0001197A" w:rsidP="00942576">
            <w:pPr>
              <w:jc w:val="center"/>
              <w:rPr>
                <w:sz w:val="18"/>
                <w:szCs w:val="18"/>
              </w:rPr>
            </w:pPr>
            <w:r w:rsidRPr="00942576">
              <w:rPr>
                <w:sz w:val="18"/>
                <w:szCs w:val="18"/>
              </w:rPr>
              <w:t xml:space="preserve">Max. points </w:t>
            </w:r>
          </w:p>
        </w:tc>
        <w:tc>
          <w:tcPr>
            <w:tcW w:w="983" w:type="dxa"/>
            <w:vMerge w:val="restart"/>
            <w:shd w:val="clear" w:color="auto" w:fill="DEEAF6" w:themeFill="accent1" w:themeFillTint="33"/>
          </w:tcPr>
          <w:p w14:paraId="039EB368" w14:textId="06ACAF98" w:rsidR="0001197A" w:rsidRPr="00942576" w:rsidRDefault="0001197A" w:rsidP="003E36E9">
            <w:pPr>
              <w:jc w:val="center"/>
              <w:rPr>
                <w:sz w:val="18"/>
                <w:szCs w:val="18"/>
              </w:rPr>
            </w:pPr>
            <w:r w:rsidRPr="00942576">
              <w:rPr>
                <w:sz w:val="18"/>
                <w:szCs w:val="18"/>
              </w:rPr>
              <w:t>Awarded points</w:t>
            </w:r>
          </w:p>
        </w:tc>
      </w:tr>
      <w:tr w:rsidR="0001197A" w14:paraId="5129BE8B" w14:textId="7A55452A" w:rsidTr="000147B4">
        <w:trPr>
          <w:tblHeader/>
        </w:trPr>
        <w:tc>
          <w:tcPr>
            <w:tcW w:w="3244" w:type="dxa"/>
            <w:vMerge/>
            <w:shd w:val="clear" w:color="auto" w:fill="DEEAF6" w:themeFill="accent1" w:themeFillTint="33"/>
          </w:tcPr>
          <w:p w14:paraId="3DA3B428" w14:textId="77777777" w:rsidR="0001197A" w:rsidRPr="00942576" w:rsidRDefault="0001197A">
            <w:pPr>
              <w:rPr>
                <w:sz w:val="18"/>
                <w:szCs w:val="18"/>
              </w:rPr>
            </w:pPr>
          </w:p>
        </w:tc>
        <w:tc>
          <w:tcPr>
            <w:tcW w:w="806" w:type="dxa"/>
            <w:vMerge/>
            <w:shd w:val="clear" w:color="auto" w:fill="DEEAF6" w:themeFill="accent1" w:themeFillTint="33"/>
          </w:tcPr>
          <w:p w14:paraId="4C432A63" w14:textId="77777777" w:rsidR="0001197A" w:rsidRPr="00942576" w:rsidRDefault="0001197A">
            <w:pPr>
              <w:rPr>
                <w:sz w:val="18"/>
                <w:szCs w:val="18"/>
              </w:rPr>
            </w:pPr>
          </w:p>
        </w:tc>
        <w:tc>
          <w:tcPr>
            <w:tcW w:w="2101" w:type="dxa"/>
            <w:shd w:val="clear" w:color="auto" w:fill="DEEAF6" w:themeFill="accent1" w:themeFillTint="33"/>
          </w:tcPr>
          <w:p w14:paraId="47BDF939" w14:textId="77777777" w:rsidR="0001197A" w:rsidRPr="00942576" w:rsidRDefault="0001197A" w:rsidP="003E36E9">
            <w:pPr>
              <w:jc w:val="center"/>
              <w:rPr>
                <w:sz w:val="18"/>
                <w:szCs w:val="18"/>
              </w:rPr>
            </w:pPr>
            <w:r w:rsidRPr="00942576">
              <w:rPr>
                <w:sz w:val="18"/>
                <w:szCs w:val="18"/>
              </w:rPr>
              <w:t>0</w:t>
            </w:r>
          </w:p>
        </w:tc>
        <w:tc>
          <w:tcPr>
            <w:tcW w:w="2101" w:type="dxa"/>
            <w:shd w:val="clear" w:color="auto" w:fill="DEEAF6" w:themeFill="accent1" w:themeFillTint="33"/>
          </w:tcPr>
          <w:p w14:paraId="5E0ED0B4" w14:textId="77777777" w:rsidR="0001197A" w:rsidRPr="00942576" w:rsidRDefault="0001197A" w:rsidP="003E36E9">
            <w:pPr>
              <w:jc w:val="center"/>
              <w:rPr>
                <w:sz w:val="18"/>
                <w:szCs w:val="18"/>
              </w:rPr>
            </w:pPr>
            <w:r w:rsidRPr="00942576">
              <w:rPr>
                <w:sz w:val="18"/>
                <w:szCs w:val="18"/>
              </w:rPr>
              <w:t>1</w:t>
            </w:r>
          </w:p>
        </w:tc>
        <w:tc>
          <w:tcPr>
            <w:tcW w:w="2101" w:type="dxa"/>
            <w:shd w:val="clear" w:color="auto" w:fill="DEEAF6" w:themeFill="accent1" w:themeFillTint="33"/>
          </w:tcPr>
          <w:p w14:paraId="796970CA" w14:textId="77777777" w:rsidR="0001197A" w:rsidRPr="00942576" w:rsidRDefault="0001197A" w:rsidP="003E36E9">
            <w:pPr>
              <w:jc w:val="center"/>
              <w:rPr>
                <w:sz w:val="18"/>
                <w:szCs w:val="18"/>
              </w:rPr>
            </w:pPr>
            <w:r w:rsidRPr="00942576">
              <w:rPr>
                <w:sz w:val="18"/>
                <w:szCs w:val="18"/>
              </w:rPr>
              <w:t>2</w:t>
            </w:r>
          </w:p>
        </w:tc>
        <w:tc>
          <w:tcPr>
            <w:tcW w:w="2101" w:type="dxa"/>
            <w:shd w:val="clear" w:color="auto" w:fill="DEEAF6" w:themeFill="accent1" w:themeFillTint="33"/>
          </w:tcPr>
          <w:p w14:paraId="5D18E8B2" w14:textId="77777777" w:rsidR="0001197A" w:rsidRPr="00942576" w:rsidRDefault="0001197A" w:rsidP="003E36E9">
            <w:pPr>
              <w:jc w:val="center"/>
              <w:rPr>
                <w:sz w:val="18"/>
                <w:szCs w:val="18"/>
              </w:rPr>
            </w:pPr>
            <w:r w:rsidRPr="00942576">
              <w:rPr>
                <w:sz w:val="18"/>
                <w:szCs w:val="18"/>
              </w:rPr>
              <w:t>3</w:t>
            </w:r>
          </w:p>
        </w:tc>
        <w:tc>
          <w:tcPr>
            <w:tcW w:w="2101" w:type="dxa"/>
            <w:shd w:val="clear" w:color="auto" w:fill="DEEAF6" w:themeFill="accent1" w:themeFillTint="33"/>
          </w:tcPr>
          <w:p w14:paraId="1FA3E37C" w14:textId="77777777" w:rsidR="0001197A" w:rsidRPr="00942576" w:rsidRDefault="0001197A" w:rsidP="003E36E9">
            <w:pPr>
              <w:jc w:val="center"/>
              <w:rPr>
                <w:sz w:val="18"/>
                <w:szCs w:val="18"/>
              </w:rPr>
            </w:pPr>
            <w:r w:rsidRPr="00942576">
              <w:rPr>
                <w:sz w:val="18"/>
                <w:szCs w:val="18"/>
              </w:rPr>
              <w:t>4</w:t>
            </w:r>
          </w:p>
        </w:tc>
        <w:tc>
          <w:tcPr>
            <w:tcW w:w="2101" w:type="dxa"/>
            <w:shd w:val="clear" w:color="auto" w:fill="DEEAF6" w:themeFill="accent1" w:themeFillTint="33"/>
          </w:tcPr>
          <w:p w14:paraId="6D5AD852" w14:textId="77777777" w:rsidR="0001197A" w:rsidRPr="00942576" w:rsidRDefault="0001197A" w:rsidP="003E36E9">
            <w:pPr>
              <w:jc w:val="center"/>
              <w:rPr>
                <w:sz w:val="18"/>
                <w:szCs w:val="18"/>
              </w:rPr>
            </w:pPr>
            <w:r w:rsidRPr="00942576">
              <w:rPr>
                <w:sz w:val="18"/>
                <w:szCs w:val="18"/>
              </w:rPr>
              <w:t>5</w:t>
            </w:r>
          </w:p>
        </w:tc>
        <w:tc>
          <w:tcPr>
            <w:tcW w:w="1071" w:type="dxa"/>
            <w:vMerge/>
            <w:shd w:val="clear" w:color="auto" w:fill="DEEAF6" w:themeFill="accent1" w:themeFillTint="33"/>
          </w:tcPr>
          <w:p w14:paraId="143D72C6" w14:textId="77777777" w:rsidR="0001197A" w:rsidRPr="00942576" w:rsidRDefault="0001197A" w:rsidP="003E36E9">
            <w:pPr>
              <w:jc w:val="center"/>
              <w:rPr>
                <w:sz w:val="18"/>
                <w:szCs w:val="18"/>
              </w:rPr>
            </w:pPr>
          </w:p>
        </w:tc>
        <w:tc>
          <w:tcPr>
            <w:tcW w:w="983" w:type="dxa"/>
            <w:vMerge/>
            <w:shd w:val="clear" w:color="auto" w:fill="DEEAF6" w:themeFill="accent1" w:themeFillTint="33"/>
          </w:tcPr>
          <w:p w14:paraId="344B58CA" w14:textId="77777777" w:rsidR="0001197A" w:rsidRPr="00942576" w:rsidRDefault="0001197A" w:rsidP="003E36E9">
            <w:pPr>
              <w:jc w:val="center"/>
              <w:rPr>
                <w:sz w:val="18"/>
                <w:szCs w:val="18"/>
              </w:rPr>
            </w:pPr>
          </w:p>
        </w:tc>
      </w:tr>
      <w:tr w:rsidR="0001197A" w14:paraId="23F905A1" w14:textId="499A1307" w:rsidTr="000147B4">
        <w:trPr>
          <w:trHeight w:val="881"/>
          <w:tblHeader/>
        </w:trPr>
        <w:tc>
          <w:tcPr>
            <w:tcW w:w="3244" w:type="dxa"/>
            <w:vAlign w:val="center"/>
          </w:tcPr>
          <w:p w14:paraId="497FC4F8" w14:textId="77777777" w:rsidR="0001197A" w:rsidRPr="00942576" w:rsidRDefault="0001197A" w:rsidP="00690979">
            <w:pPr>
              <w:rPr>
                <w:sz w:val="18"/>
                <w:szCs w:val="18"/>
              </w:rPr>
            </w:pPr>
            <w:r w:rsidRPr="00942576">
              <w:rPr>
                <w:sz w:val="18"/>
                <w:szCs w:val="18"/>
              </w:rPr>
              <w:t xml:space="preserve">In order to successfully complete the gateway, candidates must demonstrate </w:t>
            </w:r>
            <w:hyperlink r:id="rId14" w:history="1">
              <w:r w:rsidRPr="00942576">
                <w:rPr>
                  <w:rStyle w:val="Hyperlink"/>
                  <w:sz w:val="18"/>
                  <w:szCs w:val="18"/>
                </w:rPr>
                <w:t>fluency in the subject-matter</w:t>
              </w:r>
            </w:hyperlink>
            <w:r w:rsidRPr="00942576">
              <w:rPr>
                <w:sz w:val="18"/>
                <w:szCs w:val="18"/>
              </w:rPr>
              <w:t xml:space="preserve"> they are teaching</w:t>
            </w:r>
          </w:p>
        </w:tc>
        <w:tc>
          <w:tcPr>
            <w:tcW w:w="806" w:type="dxa"/>
            <w:vAlign w:val="center"/>
          </w:tcPr>
          <w:p w14:paraId="45B43C34" w14:textId="6CA377A5" w:rsidR="0001197A" w:rsidRPr="00942576" w:rsidRDefault="0001197A" w:rsidP="00690979">
            <w:pPr>
              <w:jc w:val="center"/>
              <w:rPr>
                <w:sz w:val="18"/>
                <w:szCs w:val="18"/>
              </w:rPr>
            </w:pPr>
            <w:r w:rsidRPr="00942576">
              <w:rPr>
                <w:sz w:val="18"/>
                <w:szCs w:val="18"/>
              </w:rPr>
              <w:t>x5</w:t>
            </w:r>
          </w:p>
        </w:tc>
        <w:tc>
          <w:tcPr>
            <w:tcW w:w="2101" w:type="dxa"/>
            <w:vAlign w:val="center"/>
          </w:tcPr>
          <w:p w14:paraId="2E767620" w14:textId="77777777" w:rsidR="0001197A" w:rsidRPr="00942576" w:rsidRDefault="0001197A" w:rsidP="00690979">
            <w:pPr>
              <w:jc w:val="center"/>
              <w:rPr>
                <w:sz w:val="18"/>
                <w:szCs w:val="18"/>
              </w:rPr>
            </w:pPr>
            <w:r w:rsidRPr="00942576">
              <w:rPr>
                <w:sz w:val="18"/>
                <w:szCs w:val="18"/>
              </w:rPr>
              <w:t>Task requires no subject-matter knowledge</w:t>
            </w:r>
          </w:p>
        </w:tc>
        <w:tc>
          <w:tcPr>
            <w:tcW w:w="2101" w:type="dxa"/>
            <w:vAlign w:val="center"/>
          </w:tcPr>
          <w:p w14:paraId="119E7E4C" w14:textId="1CDA468A" w:rsidR="0001197A" w:rsidRPr="00942576" w:rsidRDefault="0001197A" w:rsidP="00690979">
            <w:pPr>
              <w:jc w:val="center"/>
              <w:rPr>
                <w:sz w:val="18"/>
                <w:szCs w:val="18"/>
              </w:rPr>
            </w:pPr>
            <w:r w:rsidRPr="00942576">
              <w:rPr>
                <w:sz w:val="18"/>
                <w:szCs w:val="18"/>
              </w:rPr>
              <w:t>Task requires basic knowledge of the subject-matter</w:t>
            </w:r>
          </w:p>
        </w:tc>
        <w:tc>
          <w:tcPr>
            <w:tcW w:w="2101" w:type="dxa"/>
            <w:vAlign w:val="center"/>
          </w:tcPr>
          <w:p w14:paraId="085FE6D4" w14:textId="17BEDEB8" w:rsidR="0001197A" w:rsidRPr="00942576" w:rsidRDefault="0001197A" w:rsidP="00690979">
            <w:pPr>
              <w:jc w:val="center"/>
              <w:rPr>
                <w:sz w:val="18"/>
                <w:szCs w:val="18"/>
              </w:rPr>
            </w:pPr>
            <w:r w:rsidRPr="00942576">
              <w:rPr>
                <w:sz w:val="18"/>
                <w:szCs w:val="18"/>
              </w:rPr>
              <w:t>Task requires candidates to know and apply essential content in one way</w:t>
            </w:r>
          </w:p>
        </w:tc>
        <w:tc>
          <w:tcPr>
            <w:tcW w:w="2101" w:type="dxa"/>
            <w:vAlign w:val="center"/>
          </w:tcPr>
          <w:p w14:paraId="622715DA" w14:textId="4DDD644E" w:rsidR="0001197A" w:rsidRPr="00942576" w:rsidRDefault="0001197A">
            <w:pPr>
              <w:jc w:val="center"/>
              <w:rPr>
                <w:sz w:val="18"/>
                <w:szCs w:val="18"/>
              </w:rPr>
            </w:pPr>
            <w:r w:rsidRPr="00942576">
              <w:rPr>
                <w:sz w:val="18"/>
                <w:szCs w:val="18"/>
              </w:rPr>
              <w:t>Task requires candidates to know and apply essential content in multiple ways (functional knowledge)</w:t>
            </w:r>
          </w:p>
        </w:tc>
        <w:tc>
          <w:tcPr>
            <w:tcW w:w="2101" w:type="dxa"/>
            <w:vAlign w:val="center"/>
          </w:tcPr>
          <w:p w14:paraId="107E26F0" w14:textId="1072E7E7" w:rsidR="0001197A" w:rsidRPr="00942576" w:rsidRDefault="0001197A">
            <w:pPr>
              <w:jc w:val="center"/>
              <w:rPr>
                <w:sz w:val="18"/>
                <w:szCs w:val="18"/>
              </w:rPr>
            </w:pPr>
            <w:r w:rsidRPr="00942576">
              <w:rPr>
                <w:sz w:val="18"/>
                <w:szCs w:val="18"/>
              </w:rPr>
              <w:t xml:space="preserve">Task requires candidates to know and apply content in at least one way AND make vertical connections within content </w:t>
            </w:r>
          </w:p>
        </w:tc>
        <w:tc>
          <w:tcPr>
            <w:tcW w:w="2101" w:type="dxa"/>
            <w:vAlign w:val="center"/>
          </w:tcPr>
          <w:p w14:paraId="52A87763" w14:textId="197C3BB6" w:rsidR="0001197A" w:rsidRPr="00942576" w:rsidRDefault="0001197A">
            <w:pPr>
              <w:jc w:val="center"/>
              <w:rPr>
                <w:sz w:val="18"/>
                <w:szCs w:val="18"/>
              </w:rPr>
            </w:pPr>
            <w:r w:rsidRPr="00942576">
              <w:rPr>
                <w:sz w:val="18"/>
                <w:szCs w:val="18"/>
              </w:rPr>
              <w:t>Task requires candidates to know and apply content in multiple ways AND make vertical connections within content (fluency)</w:t>
            </w:r>
          </w:p>
        </w:tc>
        <w:tc>
          <w:tcPr>
            <w:tcW w:w="1071" w:type="dxa"/>
            <w:vAlign w:val="center"/>
          </w:tcPr>
          <w:p w14:paraId="141FFFA7" w14:textId="566079C6" w:rsidR="0001197A" w:rsidRPr="00942576" w:rsidRDefault="0001197A" w:rsidP="0001197A">
            <w:pPr>
              <w:jc w:val="center"/>
              <w:rPr>
                <w:sz w:val="18"/>
                <w:szCs w:val="18"/>
              </w:rPr>
            </w:pPr>
            <w:r w:rsidRPr="00942576">
              <w:rPr>
                <w:sz w:val="18"/>
                <w:szCs w:val="18"/>
              </w:rPr>
              <w:t>25</w:t>
            </w:r>
          </w:p>
        </w:tc>
        <w:tc>
          <w:tcPr>
            <w:tcW w:w="983" w:type="dxa"/>
            <w:vAlign w:val="center"/>
          </w:tcPr>
          <w:p w14:paraId="36D8BE9F" w14:textId="77777777" w:rsidR="0001197A" w:rsidRPr="00942576" w:rsidRDefault="0001197A" w:rsidP="0001197A">
            <w:pPr>
              <w:jc w:val="center"/>
              <w:rPr>
                <w:sz w:val="18"/>
                <w:szCs w:val="18"/>
              </w:rPr>
            </w:pPr>
          </w:p>
        </w:tc>
      </w:tr>
      <w:tr w:rsidR="0001197A" w14:paraId="0F655794" w14:textId="3415B3C0" w:rsidTr="000147B4">
        <w:trPr>
          <w:trHeight w:val="1079"/>
          <w:tblHeader/>
        </w:trPr>
        <w:tc>
          <w:tcPr>
            <w:tcW w:w="3244" w:type="dxa"/>
            <w:vAlign w:val="center"/>
          </w:tcPr>
          <w:p w14:paraId="62BE7B65" w14:textId="5B485425" w:rsidR="0001197A" w:rsidRPr="00942576" w:rsidRDefault="0001197A">
            <w:pPr>
              <w:rPr>
                <w:sz w:val="18"/>
                <w:szCs w:val="18"/>
              </w:rPr>
            </w:pPr>
            <w:r w:rsidRPr="00942576">
              <w:rPr>
                <w:sz w:val="18"/>
                <w:szCs w:val="18"/>
              </w:rPr>
              <w:t>Gateway is centered on an instructional task that is authentic and integral to the work of an effective educator in the licensure role.</w:t>
            </w:r>
          </w:p>
        </w:tc>
        <w:tc>
          <w:tcPr>
            <w:tcW w:w="806" w:type="dxa"/>
            <w:vAlign w:val="center"/>
          </w:tcPr>
          <w:p w14:paraId="4090CE99" w14:textId="67853C6F" w:rsidR="0001197A" w:rsidRPr="00942576" w:rsidRDefault="0001197A" w:rsidP="00690979">
            <w:pPr>
              <w:jc w:val="center"/>
              <w:rPr>
                <w:sz w:val="18"/>
                <w:szCs w:val="18"/>
              </w:rPr>
            </w:pPr>
            <w:r w:rsidRPr="00942576">
              <w:rPr>
                <w:sz w:val="18"/>
                <w:szCs w:val="18"/>
              </w:rPr>
              <w:t>x10</w:t>
            </w:r>
          </w:p>
        </w:tc>
        <w:tc>
          <w:tcPr>
            <w:tcW w:w="2101" w:type="dxa"/>
            <w:vAlign w:val="center"/>
          </w:tcPr>
          <w:p w14:paraId="0E52958F" w14:textId="4342D647" w:rsidR="0001197A" w:rsidRPr="00942576" w:rsidRDefault="0001197A">
            <w:pPr>
              <w:jc w:val="center"/>
              <w:rPr>
                <w:sz w:val="18"/>
                <w:szCs w:val="18"/>
              </w:rPr>
            </w:pPr>
            <w:r w:rsidRPr="00942576">
              <w:rPr>
                <w:sz w:val="18"/>
                <w:szCs w:val="18"/>
              </w:rPr>
              <w:t>The gateway does not require a performance task.</w:t>
            </w:r>
          </w:p>
        </w:tc>
        <w:tc>
          <w:tcPr>
            <w:tcW w:w="2101" w:type="dxa"/>
            <w:vAlign w:val="center"/>
          </w:tcPr>
          <w:p w14:paraId="1140377D" w14:textId="078E2C60" w:rsidR="0001197A" w:rsidRPr="00942576" w:rsidRDefault="0001197A">
            <w:pPr>
              <w:jc w:val="center"/>
              <w:rPr>
                <w:sz w:val="18"/>
                <w:szCs w:val="18"/>
              </w:rPr>
            </w:pPr>
            <w:r w:rsidRPr="00942576">
              <w:rPr>
                <w:sz w:val="18"/>
                <w:szCs w:val="18"/>
              </w:rPr>
              <w:t xml:space="preserve">Licensed educators engage in this type of task rarely or not at all AND/OR task is not instructional </w:t>
            </w:r>
          </w:p>
        </w:tc>
        <w:tc>
          <w:tcPr>
            <w:tcW w:w="2101" w:type="dxa"/>
            <w:vAlign w:val="center"/>
          </w:tcPr>
          <w:p w14:paraId="679D7426" w14:textId="30B3EAFE" w:rsidR="0001197A" w:rsidRPr="00942576" w:rsidRDefault="0001197A">
            <w:pPr>
              <w:jc w:val="center"/>
              <w:rPr>
                <w:sz w:val="18"/>
                <w:szCs w:val="18"/>
              </w:rPr>
            </w:pPr>
            <w:r w:rsidRPr="00942576">
              <w:rPr>
                <w:sz w:val="18"/>
                <w:szCs w:val="18"/>
              </w:rPr>
              <w:t>Licensed educators engage in this type of task occasionally but it is not integral to the work of an effective educator</w:t>
            </w:r>
          </w:p>
        </w:tc>
        <w:tc>
          <w:tcPr>
            <w:tcW w:w="2101" w:type="dxa"/>
            <w:vAlign w:val="center"/>
          </w:tcPr>
          <w:p w14:paraId="1E7DC96C" w14:textId="014AD770" w:rsidR="0001197A" w:rsidRPr="00942576" w:rsidRDefault="0001197A">
            <w:pPr>
              <w:jc w:val="center"/>
              <w:rPr>
                <w:sz w:val="18"/>
                <w:szCs w:val="18"/>
              </w:rPr>
            </w:pPr>
            <w:r w:rsidRPr="00942576">
              <w:rPr>
                <w:sz w:val="18"/>
                <w:szCs w:val="18"/>
              </w:rPr>
              <w:t>Licensed educators engage in this type of task regularly OR it is integral to the work of an effective educator</w:t>
            </w:r>
          </w:p>
        </w:tc>
        <w:tc>
          <w:tcPr>
            <w:tcW w:w="2101" w:type="dxa"/>
            <w:vAlign w:val="center"/>
          </w:tcPr>
          <w:p w14:paraId="5AA4F220" w14:textId="00B22ED3" w:rsidR="0001197A" w:rsidRPr="00942576" w:rsidRDefault="0001197A">
            <w:pPr>
              <w:jc w:val="center"/>
              <w:rPr>
                <w:sz w:val="18"/>
                <w:szCs w:val="18"/>
              </w:rPr>
            </w:pPr>
            <w:r w:rsidRPr="00942576">
              <w:rPr>
                <w:sz w:val="18"/>
                <w:szCs w:val="18"/>
              </w:rPr>
              <w:t>Licensed educators engage in this type of task regularly AND it is integral to the work of an effective educator</w:t>
            </w:r>
          </w:p>
        </w:tc>
        <w:tc>
          <w:tcPr>
            <w:tcW w:w="2101" w:type="dxa"/>
            <w:vAlign w:val="center"/>
          </w:tcPr>
          <w:p w14:paraId="04E990D1" w14:textId="4EBB13B4" w:rsidR="0001197A" w:rsidRPr="00942576" w:rsidRDefault="0001197A" w:rsidP="00690979">
            <w:pPr>
              <w:jc w:val="center"/>
              <w:rPr>
                <w:sz w:val="18"/>
                <w:szCs w:val="18"/>
              </w:rPr>
            </w:pPr>
            <w:r w:rsidRPr="00942576">
              <w:rPr>
                <w:sz w:val="18"/>
                <w:szCs w:val="18"/>
              </w:rPr>
              <w:t>Licensed educators engage in this type of task daily AND it is integral to the work of an effective educator</w:t>
            </w:r>
          </w:p>
        </w:tc>
        <w:tc>
          <w:tcPr>
            <w:tcW w:w="1071" w:type="dxa"/>
            <w:vAlign w:val="center"/>
          </w:tcPr>
          <w:p w14:paraId="40CD6EB5" w14:textId="1C3D9FEE" w:rsidR="0001197A" w:rsidRPr="00942576" w:rsidRDefault="0001197A" w:rsidP="0001197A">
            <w:pPr>
              <w:jc w:val="center"/>
              <w:rPr>
                <w:sz w:val="18"/>
                <w:szCs w:val="18"/>
              </w:rPr>
            </w:pPr>
            <w:r w:rsidRPr="00942576">
              <w:rPr>
                <w:sz w:val="18"/>
                <w:szCs w:val="18"/>
              </w:rPr>
              <w:t>50</w:t>
            </w:r>
          </w:p>
        </w:tc>
        <w:tc>
          <w:tcPr>
            <w:tcW w:w="983" w:type="dxa"/>
            <w:vAlign w:val="center"/>
          </w:tcPr>
          <w:p w14:paraId="3F9DAC5C" w14:textId="77777777" w:rsidR="0001197A" w:rsidRPr="00942576" w:rsidRDefault="0001197A" w:rsidP="0001197A">
            <w:pPr>
              <w:jc w:val="center"/>
              <w:rPr>
                <w:sz w:val="18"/>
                <w:szCs w:val="18"/>
              </w:rPr>
            </w:pPr>
          </w:p>
        </w:tc>
      </w:tr>
      <w:tr w:rsidR="0001197A" w14:paraId="4B8E068D" w14:textId="1EEA1692" w:rsidTr="000147B4">
        <w:trPr>
          <w:trHeight w:val="1007"/>
          <w:tblHeader/>
        </w:trPr>
        <w:tc>
          <w:tcPr>
            <w:tcW w:w="3244" w:type="dxa"/>
            <w:vAlign w:val="center"/>
          </w:tcPr>
          <w:p w14:paraId="3DDD7E57" w14:textId="4F84367C" w:rsidR="0001197A" w:rsidRPr="00942576" w:rsidRDefault="0001197A" w:rsidP="00834B09">
            <w:pPr>
              <w:rPr>
                <w:sz w:val="18"/>
                <w:szCs w:val="18"/>
              </w:rPr>
            </w:pPr>
            <w:r w:rsidRPr="00942576">
              <w:rPr>
                <w:sz w:val="18"/>
                <w:szCs w:val="18"/>
              </w:rPr>
              <w:t>Scoring guide for the gateway sets minimum thresholds of performance that are sufficiently rigorous to assess readiness for the practicum.</w:t>
            </w:r>
          </w:p>
        </w:tc>
        <w:tc>
          <w:tcPr>
            <w:tcW w:w="806" w:type="dxa"/>
            <w:vAlign w:val="center"/>
          </w:tcPr>
          <w:p w14:paraId="7544A492" w14:textId="54D8A6B9" w:rsidR="0001197A" w:rsidRPr="00942576" w:rsidRDefault="0001197A" w:rsidP="0001197A">
            <w:pPr>
              <w:jc w:val="center"/>
              <w:rPr>
                <w:sz w:val="18"/>
                <w:szCs w:val="18"/>
              </w:rPr>
            </w:pPr>
            <w:r w:rsidRPr="00942576">
              <w:rPr>
                <w:sz w:val="18"/>
                <w:szCs w:val="18"/>
              </w:rPr>
              <w:t>x2</w:t>
            </w:r>
          </w:p>
        </w:tc>
        <w:tc>
          <w:tcPr>
            <w:tcW w:w="2101" w:type="dxa"/>
            <w:vAlign w:val="center"/>
          </w:tcPr>
          <w:p w14:paraId="656A747D" w14:textId="366247D9" w:rsidR="0001197A" w:rsidRPr="00942576" w:rsidRDefault="0001197A" w:rsidP="0009372D">
            <w:pPr>
              <w:jc w:val="center"/>
              <w:rPr>
                <w:sz w:val="18"/>
                <w:szCs w:val="18"/>
              </w:rPr>
            </w:pPr>
            <w:r w:rsidRPr="00942576">
              <w:rPr>
                <w:sz w:val="18"/>
                <w:szCs w:val="18"/>
              </w:rPr>
              <w:t>There is no scoring guide associated with the task</w:t>
            </w:r>
          </w:p>
        </w:tc>
        <w:tc>
          <w:tcPr>
            <w:tcW w:w="2101" w:type="dxa"/>
            <w:vAlign w:val="center"/>
          </w:tcPr>
          <w:p w14:paraId="4003DE90" w14:textId="416A3437" w:rsidR="0001197A" w:rsidRPr="00942576" w:rsidRDefault="0001197A" w:rsidP="0009372D">
            <w:pPr>
              <w:jc w:val="center"/>
              <w:rPr>
                <w:sz w:val="18"/>
                <w:szCs w:val="18"/>
              </w:rPr>
            </w:pPr>
            <w:r w:rsidRPr="00942576">
              <w:rPr>
                <w:sz w:val="18"/>
                <w:szCs w:val="18"/>
              </w:rPr>
              <w:t>Scoring guide does not set a clear minimum threshold</w:t>
            </w:r>
          </w:p>
        </w:tc>
        <w:tc>
          <w:tcPr>
            <w:tcW w:w="2101" w:type="dxa"/>
            <w:vAlign w:val="center"/>
          </w:tcPr>
          <w:p w14:paraId="6F7E1D84" w14:textId="23ADDD69" w:rsidR="0001197A" w:rsidRPr="00942576" w:rsidRDefault="0001197A" w:rsidP="0009372D">
            <w:pPr>
              <w:jc w:val="center"/>
              <w:rPr>
                <w:sz w:val="18"/>
                <w:szCs w:val="18"/>
              </w:rPr>
            </w:pPr>
            <w:r w:rsidRPr="00942576">
              <w:rPr>
                <w:sz w:val="18"/>
                <w:szCs w:val="18"/>
              </w:rPr>
              <w:t>Scoring guide lacks the specificity necessary for consistent calibration</w:t>
            </w:r>
          </w:p>
        </w:tc>
        <w:tc>
          <w:tcPr>
            <w:tcW w:w="2101" w:type="dxa"/>
            <w:vAlign w:val="center"/>
          </w:tcPr>
          <w:p w14:paraId="543F3DAC" w14:textId="76F3A2C7" w:rsidR="0001197A" w:rsidRPr="00942576" w:rsidRDefault="0001197A">
            <w:pPr>
              <w:jc w:val="center"/>
              <w:rPr>
                <w:sz w:val="18"/>
                <w:szCs w:val="18"/>
              </w:rPr>
            </w:pPr>
            <w:r w:rsidRPr="00942576">
              <w:rPr>
                <w:sz w:val="18"/>
                <w:szCs w:val="18"/>
              </w:rPr>
              <w:t>Scoring guide attempts to set a threshold but expectations are not clear or rigorous</w:t>
            </w:r>
          </w:p>
        </w:tc>
        <w:tc>
          <w:tcPr>
            <w:tcW w:w="2101" w:type="dxa"/>
            <w:vAlign w:val="center"/>
          </w:tcPr>
          <w:p w14:paraId="192DDEE8" w14:textId="539CDD9E" w:rsidR="0001197A" w:rsidRPr="00942576" w:rsidRDefault="0001197A" w:rsidP="0009372D">
            <w:pPr>
              <w:jc w:val="center"/>
              <w:rPr>
                <w:sz w:val="18"/>
                <w:szCs w:val="18"/>
              </w:rPr>
            </w:pPr>
            <w:r w:rsidRPr="00942576">
              <w:rPr>
                <w:sz w:val="18"/>
                <w:szCs w:val="18"/>
              </w:rPr>
              <w:t>Scoring guide sets a threshold of performance that reflects some components of proficient practice</w:t>
            </w:r>
          </w:p>
        </w:tc>
        <w:tc>
          <w:tcPr>
            <w:tcW w:w="2101" w:type="dxa"/>
            <w:vAlign w:val="center"/>
          </w:tcPr>
          <w:p w14:paraId="0FCD2195" w14:textId="254ED101" w:rsidR="0001197A" w:rsidRPr="00942576" w:rsidRDefault="0001197A" w:rsidP="0009372D">
            <w:pPr>
              <w:jc w:val="center"/>
              <w:rPr>
                <w:sz w:val="18"/>
                <w:szCs w:val="18"/>
              </w:rPr>
            </w:pPr>
            <w:r w:rsidRPr="00942576">
              <w:rPr>
                <w:sz w:val="18"/>
                <w:szCs w:val="18"/>
              </w:rPr>
              <w:t>Scoring guide sets a threshold of performance that clearly reflects proficient practice</w:t>
            </w:r>
          </w:p>
        </w:tc>
        <w:tc>
          <w:tcPr>
            <w:tcW w:w="1071" w:type="dxa"/>
            <w:vAlign w:val="center"/>
          </w:tcPr>
          <w:p w14:paraId="0282AA07" w14:textId="47D2A976" w:rsidR="0001197A" w:rsidRPr="00942576" w:rsidRDefault="0001197A" w:rsidP="0001197A">
            <w:pPr>
              <w:jc w:val="center"/>
              <w:rPr>
                <w:sz w:val="18"/>
                <w:szCs w:val="18"/>
              </w:rPr>
            </w:pPr>
            <w:r w:rsidRPr="00942576">
              <w:rPr>
                <w:sz w:val="18"/>
                <w:szCs w:val="18"/>
              </w:rPr>
              <w:t>10</w:t>
            </w:r>
          </w:p>
        </w:tc>
        <w:tc>
          <w:tcPr>
            <w:tcW w:w="983" w:type="dxa"/>
            <w:vAlign w:val="center"/>
          </w:tcPr>
          <w:p w14:paraId="1570AE04" w14:textId="77777777" w:rsidR="0001197A" w:rsidRPr="00942576" w:rsidRDefault="0001197A" w:rsidP="0001197A">
            <w:pPr>
              <w:jc w:val="center"/>
              <w:rPr>
                <w:sz w:val="18"/>
                <w:szCs w:val="18"/>
              </w:rPr>
            </w:pPr>
          </w:p>
        </w:tc>
      </w:tr>
      <w:tr w:rsidR="0001197A" w14:paraId="29FB22D7" w14:textId="1ED0942A" w:rsidTr="000147B4">
        <w:trPr>
          <w:trHeight w:val="1367"/>
          <w:tblHeader/>
        </w:trPr>
        <w:tc>
          <w:tcPr>
            <w:tcW w:w="16656" w:type="dxa"/>
            <w:gridSpan w:val="8"/>
          </w:tcPr>
          <w:p w14:paraId="2588144D" w14:textId="77777777" w:rsidR="0001197A" w:rsidRPr="00942576" w:rsidRDefault="0001197A" w:rsidP="0001197A">
            <w:pPr>
              <w:rPr>
                <w:sz w:val="18"/>
                <w:szCs w:val="18"/>
              </w:rPr>
            </w:pPr>
            <w:r w:rsidRPr="00942576">
              <w:rPr>
                <w:sz w:val="18"/>
                <w:szCs w:val="18"/>
              </w:rPr>
              <w:t>Other Considerations (3 points each):</w:t>
            </w:r>
          </w:p>
          <w:p w14:paraId="707F96F3" w14:textId="77777777" w:rsidR="0001197A" w:rsidRPr="00942576" w:rsidRDefault="0001197A" w:rsidP="0001197A">
            <w:pPr>
              <w:pStyle w:val="ListParagraph"/>
              <w:numPr>
                <w:ilvl w:val="0"/>
                <w:numId w:val="1"/>
              </w:numPr>
              <w:rPr>
                <w:sz w:val="18"/>
                <w:szCs w:val="18"/>
              </w:rPr>
            </w:pPr>
            <w:r w:rsidRPr="00942576">
              <w:rPr>
                <w:sz w:val="18"/>
                <w:szCs w:val="18"/>
              </w:rPr>
              <w:t>Incorporates a measure of actual student learning as a component of scoring</w:t>
            </w:r>
          </w:p>
          <w:p w14:paraId="69CEE555" w14:textId="77777777" w:rsidR="0001197A" w:rsidRPr="00942576" w:rsidRDefault="0001197A" w:rsidP="0001197A">
            <w:pPr>
              <w:pStyle w:val="ListParagraph"/>
              <w:numPr>
                <w:ilvl w:val="0"/>
                <w:numId w:val="1"/>
              </w:numPr>
              <w:rPr>
                <w:sz w:val="18"/>
                <w:szCs w:val="18"/>
              </w:rPr>
            </w:pPr>
            <w:r w:rsidRPr="00942576">
              <w:rPr>
                <w:sz w:val="18"/>
                <w:szCs w:val="18"/>
              </w:rPr>
              <w:t>Includes scorer calibration supports and assurances</w:t>
            </w:r>
          </w:p>
          <w:p w14:paraId="4140CDDD" w14:textId="02FF9E93" w:rsidR="0001197A" w:rsidRPr="00942576" w:rsidRDefault="0001197A" w:rsidP="0001197A">
            <w:pPr>
              <w:pStyle w:val="ListParagraph"/>
              <w:numPr>
                <w:ilvl w:val="0"/>
                <w:numId w:val="1"/>
              </w:numPr>
              <w:rPr>
                <w:sz w:val="18"/>
                <w:szCs w:val="18"/>
              </w:rPr>
            </w:pPr>
            <w:r w:rsidRPr="00942576">
              <w:rPr>
                <w:sz w:val="18"/>
                <w:szCs w:val="18"/>
              </w:rPr>
              <w:t>Includes clear implementation advice/guidance that allows for easy adoption</w:t>
            </w:r>
          </w:p>
          <w:p w14:paraId="6E2664E9" w14:textId="5A832F7A" w:rsidR="0001197A" w:rsidRPr="00942576" w:rsidRDefault="0001197A" w:rsidP="0001197A">
            <w:pPr>
              <w:pStyle w:val="ListParagraph"/>
              <w:numPr>
                <w:ilvl w:val="0"/>
                <w:numId w:val="1"/>
              </w:numPr>
              <w:rPr>
                <w:sz w:val="18"/>
                <w:szCs w:val="18"/>
              </w:rPr>
            </w:pPr>
            <w:r w:rsidRPr="00942576">
              <w:rPr>
                <w:sz w:val="18"/>
                <w:szCs w:val="18"/>
              </w:rPr>
              <w:t>Demonstrates evidence of effective past use</w:t>
            </w:r>
          </w:p>
          <w:p w14:paraId="68B2AF47" w14:textId="7EFDD6B7" w:rsidR="0001197A" w:rsidRPr="00942576" w:rsidRDefault="0033057D" w:rsidP="00942576">
            <w:pPr>
              <w:pStyle w:val="ListParagraph"/>
              <w:numPr>
                <w:ilvl w:val="0"/>
                <w:numId w:val="1"/>
              </w:numPr>
              <w:rPr>
                <w:sz w:val="18"/>
                <w:szCs w:val="18"/>
              </w:rPr>
            </w:pPr>
            <w:r w:rsidRPr="00942576">
              <w:rPr>
                <w:sz w:val="18"/>
                <w:szCs w:val="18"/>
              </w:rPr>
              <w:t xml:space="preserve">Involves candidates’ ability to adapt </w:t>
            </w:r>
            <w:r w:rsidR="005709BB" w:rsidRPr="00942576">
              <w:rPr>
                <w:sz w:val="18"/>
                <w:szCs w:val="18"/>
              </w:rPr>
              <w:t xml:space="preserve">as needed </w:t>
            </w:r>
            <w:r w:rsidRPr="00942576">
              <w:rPr>
                <w:sz w:val="18"/>
                <w:szCs w:val="18"/>
              </w:rPr>
              <w:t xml:space="preserve">and use </w:t>
            </w:r>
            <w:r w:rsidR="005709BB" w:rsidRPr="00942576">
              <w:rPr>
                <w:sz w:val="18"/>
                <w:szCs w:val="18"/>
              </w:rPr>
              <w:t>instructional materials</w:t>
            </w:r>
            <w:r w:rsidRPr="00942576">
              <w:rPr>
                <w:sz w:val="18"/>
                <w:szCs w:val="18"/>
              </w:rPr>
              <w:t xml:space="preserve"> and/or support English Learners and/or Students with Disabilities</w:t>
            </w:r>
          </w:p>
        </w:tc>
        <w:tc>
          <w:tcPr>
            <w:tcW w:w="1071" w:type="dxa"/>
            <w:vAlign w:val="center"/>
          </w:tcPr>
          <w:p w14:paraId="3FBFAA54" w14:textId="7B7CB833" w:rsidR="0001197A" w:rsidRPr="00942576" w:rsidRDefault="0001197A" w:rsidP="0001197A">
            <w:pPr>
              <w:jc w:val="center"/>
              <w:rPr>
                <w:sz w:val="18"/>
                <w:szCs w:val="18"/>
              </w:rPr>
            </w:pPr>
            <w:r w:rsidRPr="00942576">
              <w:rPr>
                <w:sz w:val="18"/>
                <w:szCs w:val="18"/>
              </w:rPr>
              <w:t>15</w:t>
            </w:r>
          </w:p>
        </w:tc>
        <w:tc>
          <w:tcPr>
            <w:tcW w:w="983" w:type="dxa"/>
            <w:vAlign w:val="center"/>
          </w:tcPr>
          <w:p w14:paraId="42D0D863" w14:textId="77777777" w:rsidR="0001197A" w:rsidRPr="00942576" w:rsidRDefault="0001197A" w:rsidP="0001197A">
            <w:pPr>
              <w:jc w:val="center"/>
              <w:rPr>
                <w:sz w:val="18"/>
                <w:szCs w:val="18"/>
              </w:rPr>
            </w:pPr>
          </w:p>
        </w:tc>
      </w:tr>
      <w:tr w:rsidR="0001197A" w14:paraId="4FBC3887" w14:textId="77777777" w:rsidTr="000147B4">
        <w:trPr>
          <w:trHeight w:val="323"/>
          <w:tblHeader/>
        </w:trPr>
        <w:tc>
          <w:tcPr>
            <w:tcW w:w="16656" w:type="dxa"/>
            <w:gridSpan w:val="8"/>
            <w:vAlign w:val="center"/>
          </w:tcPr>
          <w:p w14:paraId="7FF5E614" w14:textId="3A0F9865" w:rsidR="0001197A" w:rsidRPr="0001197A" w:rsidRDefault="006C2E8C" w:rsidP="006C2E8C">
            <w:pPr>
              <w:jc w:val="right"/>
              <w:rPr>
                <w:sz w:val="20"/>
                <w:szCs w:val="20"/>
              </w:rPr>
            </w:pPr>
            <w:r>
              <w:rPr>
                <w:sz w:val="20"/>
                <w:szCs w:val="20"/>
              </w:rPr>
              <w:t>TOTAL</w:t>
            </w:r>
          </w:p>
        </w:tc>
        <w:tc>
          <w:tcPr>
            <w:tcW w:w="1071" w:type="dxa"/>
            <w:vAlign w:val="center"/>
          </w:tcPr>
          <w:p w14:paraId="17889291" w14:textId="2C927DE4" w:rsidR="0001197A" w:rsidRPr="0001197A" w:rsidRDefault="0001197A" w:rsidP="0001197A">
            <w:pPr>
              <w:jc w:val="center"/>
              <w:rPr>
                <w:sz w:val="20"/>
                <w:szCs w:val="20"/>
              </w:rPr>
            </w:pPr>
            <w:r>
              <w:rPr>
                <w:sz w:val="20"/>
                <w:szCs w:val="20"/>
              </w:rPr>
              <w:t>100</w:t>
            </w:r>
          </w:p>
        </w:tc>
        <w:tc>
          <w:tcPr>
            <w:tcW w:w="983" w:type="dxa"/>
            <w:vAlign w:val="center"/>
          </w:tcPr>
          <w:p w14:paraId="6D6B7D8B" w14:textId="77777777" w:rsidR="0001197A" w:rsidRPr="0001197A" w:rsidRDefault="0001197A" w:rsidP="0001197A">
            <w:pPr>
              <w:jc w:val="center"/>
              <w:rPr>
                <w:sz w:val="20"/>
                <w:szCs w:val="20"/>
              </w:rPr>
            </w:pPr>
          </w:p>
        </w:tc>
      </w:tr>
    </w:tbl>
    <w:p w14:paraId="488BAD02" w14:textId="57C5B59F" w:rsidR="002E6C80" w:rsidRPr="0001197A" w:rsidRDefault="002E6C80" w:rsidP="00942576">
      <w:pPr>
        <w:spacing w:after="0"/>
        <w:rPr>
          <w:sz w:val="20"/>
          <w:szCs w:val="20"/>
        </w:rPr>
      </w:pPr>
    </w:p>
    <w:sectPr w:rsidR="002E6C80" w:rsidRPr="0001197A" w:rsidSect="00D06E56">
      <w:headerReference w:type="default" r:id="rId15"/>
      <w:pgSz w:w="20160" w:h="12240" w:orient="landscape" w:code="5"/>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76C155" w14:textId="77777777" w:rsidR="0040692C" w:rsidRDefault="0040692C" w:rsidP="00E91DB0">
      <w:pPr>
        <w:spacing w:after="0" w:line="240" w:lineRule="auto"/>
      </w:pPr>
      <w:r>
        <w:separator/>
      </w:r>
    </w:p>
  </w:endnote>
  <w:endnote w:type="continuationSeparator" w:id="0">
    <w:p w14:paraId="3EF92E6B" w14:textId="77777777" w:rsidR="0040692C" w:rsidRDefault="0040692C" w:rsidP="00E91D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68EA16" w14:textId="77777777" w:rsidR="0040692C" w:rsidRDefault="0040692C" w:rsidP="00E91DB0">
      <w:pPr>
        <w:spacing w:after="0" w:line="240" w:lineRule="auto"/>
      </w:pPr>
      <w:r>
        <w:separator/>
      </w:r>
    </w:p>
  </w:footnote>
  <w:footnote w:type="continuationSeparator" w:id="0">
    <w:p w14:paraId="5DAEA2CE" w14:textId="77777777" w:rsidR="0040692C" w:rsidRDefault="0040692C" w:rsidP="00E91D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0483D8" w14:textId="5ED0DA58" w:rsidR="00E91DB0" w:rsidRPr="00942576" w:rsidRDefault="00E91DB0" w:rsidP="00E91DB0">
    <w:pPr>
      <w:spacing w:line="192" w:lineRule="auto"/>
      <w:outlineLvl w:val="0"/>
      <w:rPr>
        <w:rFonts w:ascii="Arial" w:hAnsi="Arial"/>
        <w:b/>
        <w:i/>
        <w:sz w:val="32"/>
        <w:szCs w:val="32"/>
      </w:rPr>
    </w:pPr>
    <w:r w:rsidRPr="00942576">
      <w:rPr>
        <w:rFonts w:ascii="Arial" w:hAnsi="Arial"/>
        <w:i/>
        <w:noProof/>
        <w:sz w:val="32"/>
        <w:szCs w:val="32"/>
      </w:rPr>
      <w:drawing>
        <wp:anchor distT="0" distB="0" distL="114300" distR="274320" simplePos="0" relativeHeight="251659264" behindDoc="0" locked="0" layoutInCell="0" allowOverlap="1" wp14:anchorId="7FA1E4BB" wp14:editId="0D55457A">
          <wp:simplePos x="0" y="0"/>
          <wp:positionH relativeFrom="margin">
            <wp:align>left</wp:align>
          </wp:positionH>
          <wp:positionV relativeFrom="page">
            <wp:posOffset>104775</wp:posOffset>
          </wp:positionV>
          <wp:extent cx="1090930" cy="1371600"/>
          <wp:effectExtent l="0" t="0" r="0" b="0"/>
          <wp:wrapThrough wrapText="right">
            <wp:wrapPolygon edited="0">
              <wp:start x="0" y="0"/>
              <wp:lineTo x="0" y="21300"/>
              <wp:lineTo x="21122" y="21300"/>
              <wp:lineTo x="21122" y="0"/>
              <wp:lineTo x="0" y="0"/>
            </wp:wrapPolygon>
          </wp:wrapThrough>
          <wp:docPr id="2" name="Picture 2" descr="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r w:rsidRPr="00942576">
      <w:rPr>
        <w:rFonts w:ascii="Arial" w:hAnsi="Arial"/>
        <w:b/>
        <w:i/>
        <w:sz w:val="32"/>
        <w:szCs w:val="32"/>
      </w:rPr>
      <w:t>Massachusetts Department of</w:t>
    </w:r>
  </w:p>
  <w:p w14:paraId="6842C62A" w14:textId="4B549F21" w:rsidR="00E91DB0" w:rsidRPr="00942576" w:rsidRDefault="00942576" w:rsidP="00E91DB0">
    <w:pPr>
      <w:ind w:left="-180"/>
      <w:outlineLvl w:val="0"/>
      <w:rPr>
        <w:rFonts w:ascii="Arial" w:hAnsi="Arial"/>
        <w:b/>
        <w:i/>
        <w:sz w:val="32"/>
        <w:szCs w:val="32"/>
      </w:rPr>
    </w:pPr>
    <w:r>
      <w:rPr>
        <w:rFonts w:ascii="Arial" w:hAnsi="Arial"/>
        <w:i/>
        <w:noProof/>
      </w:rPr>
      <mc:AlternateContent>
        <mc:Choice Requires="wps">
          <w:drawing>
            <wp:anchor distT="4294967295" distB="4294967295" distL="114300" distR="114300" simplePos="0" relativeHeight="251662336" behindDoc="0" locked="0" layoutInCell="0" allowOverlap="1" wp14:anchorId="696A028E" wp14:editId="43BA594F">
              <wp:simplePos x="0" y="0"/>
              <wp:positionH relativeFrom="column">
                <wp:posOffset>1362075</wp:posOffset>
              </wp:positionH>
              <wp:positionV relativeFrom="paragraph">
                <wp:posOffset>317500</wp:posOffset>
              </wp:positionV>
              <wp:extent cx="4800600" cy="0"/>
              <wp:effectExtent l="0" t="0" r="19050" b="19050"/>
              <wp:wrapNone/>
              <wp:docPr id="1" name="Line 3" descr="Line separating logo from text"/>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A02DFE" id="Line 3" o:spid="_x0000_s1026" alt="Line separating logo from text"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7.25pt,25pt" to="485.2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" o:allowincell="f" strokeweight="1pt"/>
          </w:pict>
        </mc:Fallback>
      </mc:AlternateContent>
    </w:r>
    <w:r w:rsidR="00E91DB0" w:rsidRPr="00942576">
      <w:rPr>
        <w:rFonts w:ascii="Arial" w:hAnsi="Arial"/>
        <w:b/>
        <w:i/>
        <w:sz w:val="32"/>
        <w:szCs w:val="32"/>
      </w:rPr>
      <w:t>Elementary and Secondary Education</w:t>
    </w:r>
  </w:p>
  <w:p w14:paraId="34044D47" w14:textId="23A4562A" w:rsidR="00E91DB0" w:rsidRPr="00E91DB0" w:rsidRDefault="00E91DB0" w:rsidP="00E91DB0">
    <w:pPr>
      <w:spacing w:before="240" w:after="0"/>
      <w:rPr>
        <w:rFonts w:ascii="Arial" w:hAnsi="Arial"/>
        <w:i/>
      </w:rPr>
    </w:pPr>
    <w:r>
      <w:rPr>
        <w:sz w:val="16"/>
        <w:szCs w:val="16"/>
      </w:rPr>
      <w:t xml:space="preserve"> </w:t>
    </w:r>
    <w:r w:rsidRPr="002B4B10">
      <w:rPr>
        <w:sz w:val="16"/>
        <w:szCs w:val="16"/>
      </w:rPr>
      <w:t xml:space="preserve">75 Pleasant </w:t>
    </w:r>
    <w:r w:rsidRPr="00C974A6">
      <w:rPr>
        <w:sz w:val="16"/>
        <w:szCs w:val="16"/>
      </w:rPr>
      <w:t>Street, Malden, Massachusetts 02148-</w:t>
    </w:r>
    <w:r>
      <w:rPr>
        <w:sz w:val="16"/>
        <w:szCs w:val="16"/>
      </w:rPr>
      <w:t>4906</w:t>
    </w:r>
    <w:r w:rsidRPr="00C974A6">
      <w:rPr>
        <w:sz w:val="16"/>
        <w:szCs w:val="16"/>
      </w:rPr>
      <w:t xml:space="preserve"> </w:t>
    </w:r>
    <w:r>
      <w:rPr>
        <w:sz w:val="16"/>
        <w:szCs w:val="16"/>
      </w:rPr>
      <w:tab/>
      <w:t xml:space="preserve">    </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w:t>
    </w:r>
    <w:r w:rsidR="00942576">
      <w:rPr>
        <w:sz w:val="16"/>
        <w:szCs w:val="16"/>
      </w:rPr>
      <w:tab/>
    </w:r>
    <w:r w:rsidR="00942576">
      <w:rPr>
        <w:sz w:val="16"/>
        <w:szCs w:val="16"/>
      </w:rPr>
      <w:tab/>
    </w:r>
    <w:r w:rsidR="00942576">
      <w:rPr>
        <w:sz w:val="16"/>
        <w:szCs w:val="16"/>
      </w:rPr>
      <w:tab/>
    </w:r>
    <w:r w:rsidR="00942576">
      <w:rPr>
        <w:sz w:val="16"/>
        <w:szCs w:val="16"/>
      </w:rPr>
      <w:tab/>
      <w:t xml:space="preserve">           </w:t>
    </w:r>
    <w:r w:rsidRPr="00C974A6">
      <w:rPr>
        <w:sz w:val="16"/>
        <w:szCs w:val="16"/>
      </w:rPr>
      <w:t>Telephone: (781) 338-3000</w:t>
    </w:r>
    <w:r>
      <w:rPr>
        <w:sz w:val="16"/>
        <w:szCs w:val="16"/>
      </w:rPr>
      <w:t xml:space="preserve">                                                                                                            </w:t>
    </w:r>
  </w:p>
  <w:p w14:paraId="01A832A2" w14:textId="69F2866A" w:rsidR="00E91DB0" w:rsidRPr="00942576" w:rsidRDefault="00E91DB0" w:rsidP="00E91DB0">
    <w:pPr>
      <w:pStyle w:val="Heading3"/>
      <w:tabs>
        <w:tab w:val="right" w:pos="9000"/>
      </w:tabs>
      <w:ind w:right="360"/>
      <w:rPr>
        <w:rFonts w:asciiTheme="minorHAnsi" w:hAnsiTheme="minorHAnsi" w:cstheme="minorHAnsi"/>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sidR="00942576">
      <w:rPr>
        <w:sz w:val="16"/>
        <w:szCs w:val="16"/>
      </w:rPr>
      <w:tab/>
    </w:r>
    <w:r w:rsidR="00942576">
      <w:rPr>
        <w:sz w:val="16"/>
        <w:szCs w:val="16"/>
      </w:rPr>
      <w:tab/>
    </w:r>
    <w:r w:rsidR="00942576">
      <w:rPr>
        <w:sz w:val="16"/>
        <w:szCs w:val="16"/>
      </w:rPr>
      <w:tab/>
    </w:r>
    <w:r w:rsidR="00942576">
      <w:rPr>
        <w:sz w:val="16"/>
        <w:szCs w:val="16"/>
      </w:rPr>
      <w:tab/>
    </w:r>
    <w:r w:rsidRPr="00942576">
      <w:rPr>
        <w:rFonts w:asciiTheme="minorHAnsi" w:hAnsiTheme="minorHAnsi" w:cstheme="minorHAnsi"/>
        <w:sz w:val="16"/>
        <w:szCs w:val="16"/>
      </w:rPr>
      <w:t>TTY: N.E.T. Relay 1-800-439-2370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A90763"/>
    <w:multiLevelType w:val="hybridMultilevel"/>
    <w:tmpl w:val="1AB85788"/>
    <w:lvl w:ilvl="0" w:tplc="2D42B62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BC099A"/>
    <w:multiLevelType w:val="hybridMultilevel"/>
    <w:tmpl w:val="FAB0C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CE1D68"/>
    <w:multiLevelType w:val="hybridMultilevel"/>
    <w:tmpl w:val="95763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A792A42"/>
    <w:multiLevelType w:val="hybridMultilevel"/>
    <w:tmpl w:val="D59AE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484F"/>
    <w:rsid w:val="0001197A"/>
    <w:rsid w:val="000147B4"/>
    <w:rsid w:val="000226D2"/>
    <w:rsid w:val="000779A4"/>
    <w:rsid w:val="0009372D"/>
    <w:rsid w:val="0014441D"/>
    <w:rsid w:val="00144869"/>
    <w:rsid w:val="00151E79"/>
    <w:rsid w:val="001D56B3"/>
    <w:rsid w:val="001F5528"/>
    <w:rsid w:val="0026373D"/>
    <w:rsid w:val="002A765F"/>
    <w:rsid w:val="002D7E2E"/>
    <w:rsid w:val="002E0FE7"/>
    <w:rsid w:val="002E6C80"/>
    <w:rsid w:val="00322295"/>
    <w:rsid w:val="0033057D"/>
    <w:rsid w:val="00353DF9"/>
    <w:rsid w:val="00355922"/>
    <w:rsid w:val="00365DDB"/>
    <w:rsid w:val="00373A70"/>
    <w:rsid w:val="00384764"/>
    <w:rsid w:val="00385781"/>
    <w:rsid w:val="003C202F"/>
    <w:rsid w:val="003E36E9"/>
    <w:rsid w:val="003F385B"/>
    <w:rsid w:val="004004C3"/>
    <w:rsid w:val="0040692C"/>
    <w:rsid w:val="0046511E"/>
    <w:rsid w:val="005709BB"/>
    <w:rsid w:val="00581B78"/>
    <w:rsid w:val="005C08E4"/>
    <w:rsid w:val="005D06A8"/>
    <w:rsid w:val="006446C1"/>
    <w:rsid w:val="00656010"/>
    <w:rsid w:val="00690979"/>
    <w:rsid w:val="006C0FA3"/>
    <w:rsid w:val="006C2E8C"/>
    <w:rsid w:val="00713493"/>
    <w:rsid w:val="00723A34"/>
    <w:rsid w:val="00725694"/>
    <w:rsid w:val="00752481"/>
    <w:rsid w:val="00783519"/>
    <w:rsid w:val="007B6295"/>
    <w:rsid w:val="007E3A60"/>
    <w:rsid w:val="007F4A98"/>
    <w:rsid w:val="00834B09"/>
    <w:rsid w:val="0085404F"/>
    <w:rsid w:val="008A076E"/>
    <w:rsid w:val="0091484F"/>
    <w:rsid w:val="0092405A"/>
    <w:rsid w:val="00942576"/>
    <w:rsid w:val="009448DC"/>
    <w:rsid w:val="00956A35"/>
    <w:rsid w:val="009D2397"/>
    <w:rsid w:val="009F0BFB"/>
    <w:rsid w:val="00A053ED"/>
    <w:rsid w:val="00A56841"/>
    <w:rsid w:val="00A67968"/>
    <w:rsid w:val="00AD6D4A"/>
    <w:rsid w:val="00B02528"/>
    <w:rsid w:val="00B120E6"/>
    <w:rsid w:val="00B403B8"/>
    <w:rsid w:val="00B640AA"/>
    <w:rsid w:val="00B669A1"/>
    <w:rsid w:val="00B82C5C"/>
    <w:rsid w:val="00C13727"/>
    <w:rsid w:val="00C16868"/>
    <w:rsid w:val="00C477F4"/>
    <w:rsid w:val="00C86323"/>
    <w:rsid w:val="00C956B8"/>
    <w:rsid w:val="00C966E4"/>
    <w:rsid w:val="00CA5A19"/>
    <w:rsid w:val="00CB186B"/>
    <w:rsid w:val="00D06E56"/>
    <w:rsid w:val="00D43EE1"/>
    <w:rsid w:val="00D56481"/>
    <w:rsid w:val="00DA34F7"/>
    <w:rsid w:val="00DE1E83"/>
    <w:rsid w:val="00E1501C"/>
    <w:rsid w:val="00E17538"/>
    <w:rsid w:val="00E60AA5"/>
    <w:rsid w:val="00E91DB0"/>
    <w:rsid w:val="00EC7BD6"/>
    <w:rsid w:val="00ED6B44"/>
    <w:rsid w:val="00F02B17"/>
    <w:rsid w:val="00F51D2A"/>
    <w:rsid w:val="00F64924"/>
    <w:rsid w:val="00FB55F5"/>
    <w:rsid w:val="00FD4E7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EF727C"/>
  <w15:chartTrackingRefBased/>
  <w15:docId w15:val="{2C64A4D0-EC89-4C5C-AD63-FCA29DEC3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next w:val="Normal"/>
    <w:link w:val="Heading3Char"/>
    <w:qFormat/>
    <w:rsid w:val="00E91DB0"/>
    <w:pPr>
      <w:keepNext/>
      <w:widowControl w:val="0"/>
      <w:tabs>
        <w:tab w:val="left" w:pos="5400"/>
      </w:tabs>
      <w:spacing w:after="0" w:line="240" w:lineRule="auto"/>
      <w:ind w:left="720"/>
      <w:outlineLvl w:val="2"/>
    </w:pPr>
    <w:rPr>
      <w:rFonts w:ascii="Arial" w:eastAsia="Times New Roman" w:hAnsi="Arial" w:cs="Times New Roman"/>
      <w:i/>
      <w:snapToGrid w:val="0"/>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E36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86323"/>
    <w:rPr>
      <w:color w:val="0563C1" w:themeColor="hyperlink"/>
      <w:u w:val="single"/>
    </w:rPr>
  </w:style>
  <w:style w:type="character" w:styleId="CommentReference">
    <w:name w:val="annotation reference"/>
    <w:basedOn w:val="DefaultParagraphFont"/>
    <w:uiPriority w:val="99"/>
    <w:semiHidden/>
    <w:unhideWhenUsed/>
    <w:rsid w:val="007B6295"/>
    <w:rPr>
      <w:sz w:val="16"/>
      <w:szCs w:val="16"/>
    </w:rPr>
  </w:style>
  <w:style w:type="paragraph" w:styleId="CommentText">
    <w:name w:val="annotation text"/>
    <w:basedOn w:val="Normal"/>
    <w:link w:val="CommentTextChar"/>
    <w:uiPriority w:val="99"/>
    <w:semiHidden/>
    <w:unhideWhenUsed/>
    <w:rsid w:val="007B6295"/>
    <w:pPr>
      <w:spacing w:line="240" w:lineRule="auto"/>
    </w:pPr>
    <w:rPr>
      <w:sz w:val="20"/>
      <w:szCs w:val="20"/>
    </w:rPr>
  </w:style>
  <w:style w:type="character" w:customStyle="1" w:styleId="CommentTextChar">
    <w:name w:val="Comment Text Char"/>
    <w:basedOn w:val="DefaultParagraphFont"/>
    <w:link w:val="CommentText"/>
    <w:uiPriority w:val="99"/>
    <w:semiHidden/>
    <w:rsid w:val="007B6295"/>
    <w:rPr>
      <w:sz w:val="20"/>
      <w:szCs w:val="20"/>
    </w:rPr>
  </w:style>
  <w:style w:type="paragraph" w:styleId="CommentSubject">
    <w:name w:val="annotation subject"/>
    <w:basedOn w:val="CommentText"/>
    <w:next w:val="CommentText"/>
    <w:link w:val="CommentSubjectChar"/>
    <w:uiPriority w:val="99"/>
    <w:semiHidden/>
    <w:unhideWhenUsed/>
    <w:rsid w:val="007B6295"/>
    <w:rPr>
      <w:b/>
      <w:bCs/>
    </w:rPr>
  </w:style>
  <w:style w:type="character" w:customStyle="1" w:styleId="CommentSubjectChar">
    <w:name w:val="Comment Subject Char"/>
    <w:basedOn w:val="CommentTextChar"/>
    <w:link w:val="CommentSubject"/>
    <w:uiPriority w:val="99"/>
    <w:semiHidden/>
    <w:rsid w:val="007B6295"/>
    <w:rPr>
      <w:b/>
      <w:bCs/>
      <w:sz w:val="20"/>
      <w:szCs w:val="20"/>
    </w:rPr>
  </w:style>
  <w:style w:type="paragraph" w:styleId="BalloonText">
    <w:name w:val="Balloon Text"/>
    <w:basedOn w:val="Normal"/>
    <w:link w:val="BalloonTextChar"/>
    <w:uiPriority w:val="99"/>
    <w:semiHidden/>
    <w:unhideWhenUsed/>
    <w:rsid w:val="007B62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6295"/>
    <w:rPr>
      <w:rFonts w:ascii="Segoe UI" w:hAnsi="Segoe UI" w:cs="Segoe UI"/>
      <w:sz w:val="18"/>
      <w:szCs w:val="18"/>
    </w:rPr>
  </w:style>
  <w:style w:type="paragraph" w:styleId="ListParagraph">
    <w:name w:val="List Paragraph"/>
    <w:basedOn w:val="Normal"/>
    <w:uiPriority w:val="1"/>
    <w:qFormat/>
    <w:rsid w:val="00ED6B44"/>
    <w:pPr>
      <w:ind w:left="720"/>
      <w:contextualSpacing/>
    </w:pPr>
  </w:style>
  <w:style w:type="character" w:styleId="FollowedHyperlink">
    <w:name w:val="FollowedHyperlink"/>
    <w:basedOn w:val="DefaultParagraphFont"/>
    <w:uiPriority w:val="99"/>
    <w:semiHidden/>
    <w:unhideWhenUsed/>
    <w:rsid w:val="00C13727"/>
    <w:rPr>
      <w:color w:val="954F72" w:themeColor="followedHyperlink"/>
      <w:u w:val="single"/>
    </w:rPr>
  </w:style>
  <w:style w:type="character" w:customStyle="1" w:styleId="Heading3Char">
    <w:name w:val="Heading 3 Char"/>
    <w:basedOn w:val="DefaultParagraphFont"/>
    <w:link w:val="Heading3"/>
    <w:rsid w:val="00E91DB0"/>
    <w:rPr>
      <w:rFonts w:ascii="Arial" w:eastAsia="Times New Roman" w:hAnsi="Arial" w:cs="Times New Roman"/>
      <w:i/>
      <w:snapToGrid w:val="0"/>
      <w:sz w:val="18"/>
      <w:szCs w:val="20"/>
    </w:rPr>
  </w:style>
  <w:style w:type="paragraph" w:styleId="Header">
    <w:name w:val="header"/>
    <w:basedOn w:val="Normal"/>
    <w:link w:val="HeaderChar"/>
    <w:uiPriority w:val="99"/>
    <w:unhideWhenUsed/>
    <w:rsid w:val="00E91D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1DB0"/>
  </w:style>
  <w:style w:type="paragraph" w:styleId="Footer">
    <w:name w:val="footer"/>
    <w:basedOn w:val="Normal"/>
    <w:link w:val="FooterChar"/>
    <w:uiPriority w:val="99"/>
    <w:unhideWhenUsed/>
    <w:rsid w:val="00E91D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1D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doe.mass.edu/edprep/cap/"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doe.mass.edu/edprep/advisories/TeachersGuidelines.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doe.mass.edu/edprep/resources/smk-guideline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DESE-231-55291</_dlc_DocId>
    <_dlc_DocIdUrl xmlns="733efe1c-5bbe-4968-87dc-d400e65c879f">
      <Url>https://sharepoint.doemass.org/ese/webteam/cps/_layouts/DocIdRedir.aspx?ID=DESE-231-55291</Url>
      <Description>DESE-231-55291</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5D481A-171D-47FA-B987-DAA0BA474A53}">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79FE37FC-BE43-4514-B125-3319CCCA84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C15B67-968A-4F80-9E60-3662DD14BC72}">
  <ds:schemaRefs>
    <ds:schemaRef ds:uri="http://schemas.microsoft.com/sharepoint/events"/>
  </ds:schemaRefs>
</ds:datastoreItem>
</file>

<file path=customXml/itemProps4.xml><?xml version="1.0" encoding="utf-8"?>
<ds:datastoreItem xmlns:ds="http://schemas.openxmlformats.org/officeDocument/2006/customXml" ds:itemID="{65F2D274-D223-42C8-8FD7-F46504D2A963}">
  <ds:schemaRefs>
    <ds:schemaRef ds:uri="http://schemas.microsoft.com/sharepoint/v3/contenttype/forms"/>
  </ds:schemaRefs>
</ds:datastoreItem>
</file>

<file path=customXml/itemProps5.xml><?xml version="1.0" encoding="utf-8"?>
<ds:datastoreItem xmlns:ds="http://schemas.openxmlformats.org/officeDocument/2006/customXml" ds:itemID="{51A2DC10-023A-4551-A372-23ED52D82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535</Words>
  <Characters>3055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DESE Pre-Practicum Model Gateway Task Rubric</vt:lpstr>
    </vt:vector>
  </TitlesOfParts>
  <Company/>
  <LinksUpToDate>false</LinksUpToDate>
  <CharactersWithSpaces>3583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DESE Pre-Practicum Model Gateway Task Rubric</dc:title>
  <dc:subject/>
  <dc:creator>DESE</dc:creator>
  <cp:keywords/>
  <dc:description/>
  <cp:lastModifiedBy>Zou, Dong (EOE)</cp:lastModifiedBy>
  <cp:revision>6</cp:revision>
  <dcterms:created xsi:type="dcterms:W3CDTF">2019-10-09T17:12:00Z</dcterms:created>
  <dcterms:modified xsi:type="dcterms:W3CDTF">2019-10-18T16:59:00Z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Oct 18 2019</vt:lpwstr>
  </property>
</Properties>
</file>