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EB31B" w14:textId="2A13A99C" w:rsidR="00655E95" w:rsidRDefault="00130481">
      <w:pPr>
        <w:pStyle w:val="Normal1"/>
        <w:spacing w:line="200" w:lineRule="auto"/>
        <w:rPr>
          <w:sz w:val="20"/>
          <w:szCs w:val="20"/>
        </w:rPr>
      </w:pPr>
      <w:r>
        <w:rPr>
          <w:rFonts w:eastAsia="Calibri"/>
          <w:noProof/>
          <w:sz w:val="20"/>
          <w:lang w:eastAsia="zh-CN" w:bidi="ar-SA"/>
        </w:rPr>
        <w:drawing>
          <wp:inline distT="0" distB="0" distL="0" distR="0" wp14:anchorId="4F5EA115" wp14:editId="7C56938B">
            <wp:extent cx="2419350" cy="978809"/>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2">
                      <a:extLst>
                        <a:ext uri="{28A0092B-C50C-407E-A947-70E740481C1C}">
                          <a14:useLocalDpi xmlns:a14="http://schemas.microsoft.com/office/drawing/2010/main" val="0"/>
                        </a:ext>
                      </a:extLst>
                    </a:blip>
                    <a:stretch>
                      <a:fillRect/>
                    </a:stretch>
                  </pic:blipFill>
                  <pic:spPr>
                    <a:xfrm>
                      <a:off x="0" y="0"/>
                      <a:ext cx="2421137" cy="979532"/>
                    </a:xfrm>
                    <a:prstGeom prst="rect">
                      <a:avLst/>
                    </a:prstGeom>
                  </pic:spPr>
                </pic:pic>
              </a:graphicData>
            </a:graphic>
          </wp:inline>
        </w:drawing>
      </w:r>
    </w:p>
    <w:p w14:paraId="2549D38C" w14:textId="77777777" w:rsidR="00655E95" w:rsidRDefault="00655E95">
      <w:pPr>
        <w:pStyle w:val="Normal1"/>
        <w:spacing w:line="200" w:lineRule="auto"/>
        <w:rPr>
          <w:sz w:val="20"/>
          <w:szCs w:val="20"/>
        </w:rPr>
      </w:pPr>
    </w:p>
    <w:p w14:paraId="1C45794E" w14:textId="77777777" w:rsidR="00655E95" w:rsidRDefault="00655E95">
      <w:pPr>
        <w:pStyle w:val="Normal1"/>
        <w:spacing w:line="200" w:lineRule="auto"/>
        <w:rPr>
          <w:sz w:val="20"/>
          <w:szCs w:val="20"/>
        </w:rPr>
      </w:pPr>
    </w:p>
    <w:p w14:paraId="304B57D7" w14:textId="77777777" w:rsidR="00655E95" w:rsidRDefault="00655E95">
      <w:pPr>
        <w:pStyle w:val="Normal1"/>
        <w:spacing w:line="200" w:lineRule="auto"/>
        <w:rPr>
          <w:sz w:val="20"/>
          <w:szCs w:val="20"/>
        </w:rPr>
      </w:pPr>
    </w:p>
    <w:p w14:paraId="557596EA" w14:textId="77777777" w:rsidR="00655E95" w:rsidRDefault="00655E95">
      <w:pPr>
        <w:pStyle w:val="Normal1"/>
        <w:spacing w:line="200" w:lineRule="auto"/>
        <w:rPr>
          <w:sz w:val="20"/>
          <w:szCs w:val="20"/>
        </w:rPr>
      </w:pPr>
    </w:p>
    <w:p w14:paraId="1B2B779C" w14:textId="77777777" w:rsidR="00655E95" w:rsidRDefault="00655E95">
      <w:pPr>
        <w:pStyle w:val="Normal1"/>
        <w:spacing w:line="200" w:lineRule="auto"/>
        <w:rPr>
          <w:sz w:val="20"/>
          <w:szCs w:val="20"/>
        </w:rPr>
      </w:pPr>
    </w:p>
    <w:p w14:paraId="6D986506" w14:textId="77777777" w:rsidR="00655E95" w:rsidRDefault="00655E95">
      <w:pPr>
        <w:pStyle w:val="Normal1"/>
        <w:spacing w:line="200" w:lineRule="auto"/>
        <w:rPr>
          <w:sz w:val="20"/>
          <w:szCs w:val="20"/>
        </w:rPr>
      </w:pPr>
    </w:p>
    <w:p w14:paraId="0A6890B8" w14:textId="77777777" w:rsidR="00655E95" w:rsidRDefault="00655E95">
      <w:pPr>
        <w:pStyle w:val="Normal1"/>
        <w:spacing w:line="200" w:lineRule="auto"/>
        <w:rPr>
          <w:sz w:val="20"/>
          <w:szCs w:val="20"/>
        </w:rPr>
      </w:pPr>
    </w:p>
    <w:p w14:paraId="688487EE" w14:textId="77777777" w:rsidR="00655E95" w:rsidRDefault="00655E95">
      <w:pPr>
        <w:pStyle w:val="Normal1"/>
        <w:spacing w:line="200" w:lineRule="auto"/>
        <w:rPr>
          <w:sz w:val="20"/>
          <w:szCs w:val="20"/>
        </w:rPr>
      </w:pPr>
    </w:p>
    <w:p w14:paraId="3F5FB24B" w14:textId="77777777" w:rsidR="00655E95" w:rsidRDefault="00655E95">
      <w:pPr>
        <w:pStyle w:val="Normal1"/>
        <w:spacing w:line="200" w:lineRule="auto"/>
        <w:rPr>
          <w:sz w:val="20"/>
          <w:szCs w:val="20"/>
        </w:rPr>
      </w:pPr>
    </w:p>
    <w:p w14:paraId="5547B240" w14:textId="77777777" w:rsidR="00655E95" w:rsidRDefault="00655E95">
      <w:pPr>
        <w:pStyle w:val="Normal1"/>
        <w:spacing w:line="200" w:lineRule="auto"/>
        <w:rPr>
          <w:sz w:val="20"/>
          <w:szCs w:val="20"/>
        </w:rPr>
      </w:pPr>
    </w:p>
    <w:p w14:paraId="3A8E1445" w14:textId="77777777" w:rsidR="00655E95" w:rsidRDefault="00655E95">
      <w:pPr>
        <w:pStyle w:val="Normal1"/>
        <w:spacing w:line="200" w:lineRule="auto"/>
        <w:rPr>
          <w:sz w:val="20"/>
          <w:szCs w:val="20"/>
        </w:rPr>
      </w:pPr>
    </w:p>
    <w:p w14:paraId="77AC7ECB" w14:textId="77777777" w:rsidR="00655E95" w:rsidRDefault="00655E95">
      <w:pPr>
        <w:pStyle w:val="Normal1"/>
        <w:spacing w:line="200" w:lineRule="auto"/>
        <w:rPr>
          <w:sz w:val="20"/>
          <w:szCs w:val="20"/>
        </w:rPr>
      </w:pPr>
    </w:p>
    <w:p w14:paraId="2F8928E2" w14:textId="77777777" w:rsidR="00655E95" w:rsidRDefault="00655E95">
      <w:pPr>
        <w:pStyle w:val="Normal1"/>
        <w:spacing w:line="200" w:lineRule="auto"/>
        <w:rPr>
          <w:rFonts w:ascii="Calibri" w:eastAsia="Calibri" w:hAnsi="Calibri" w:cs="Calibri"/>
          <w:sz w:val="20"/>
          <w:szCs w:val="20"/>
        </w:rPr>
      </w:pPr>
    </w:p>
    <w:p w14:paraId="3BF238BF" w14:textId="77777777" w:rsidR="00655E95" w:rsidRDefault="003E7E9A">
      <w:pPr>
        <w:pStyle w:val="Normal1"/>
        <w:pBdr>
          <w:bottom w:val="single" w:sz="4" w:space="1" w:color="000000"/>
        </w:pBdr>
        <w:ind w:right="-20"/>
        <w:rPr>
          <w:rFonts w:ascii="Calibri" w:eastAsia="Calibri" w:hAnsi="Calibri" w:cs="Calibri"/>
          <w:b/>
          <w:sz w:val="36"/>
          <w:szCs w:val="36"/>
        </w:rPr>
      </w:pPr>
      <w:r>
        <w:rPr>
          <w:rFonts w:ascii="Calibri" w:eastAsia="Calibri" w:hAnsi="Calibri" w:cs="Calibri"/>
          <w:b/>
          <w:sz w:val="36"/>
          <w:szCs w:val="36"/>
        </w:rPr>
        <w:t xml:space="preserve">Guidelines for Pre-Practicum </w:t>
      </w:r>
      <w:r w:rsidR="00E1331E">
        <w:rPr>
          <w:rFonts w:ascii="Calibri" w:eastAsia="Calibri" w:hAnsi="Calibri" w:cs="Calibri"/>
          <w:b/>
          <w:sz w:val="36"/>
          <w:szCs w:val="36"/>
        </w:rPr>
        <w:t>for Teachers</w:t>
      </w:r>
    </w:p>
    <w:p w14:paraId="4FA4F898" w14:textId="01C4D39F" w:rsidR="00655E95" w:rsidRDefault="008C5E12">
      <w:pPr>
        <w:pStyle w:val="Normal1"/>
        <w:spacing w:before="11"/>
        <w:ind w:right="-20"/>
        <w:rPr>
          <w:rFonts w:ascii="Calibri" w:eastAsia="Calibri" w:hAnsi="Calibri" w:cs="Calibri"/>
        </w:rPr>
      </w:pPr>
      <w:r>
        <w:rPr>
          <w:rFonts w:ascii="Calibri" w:eastAsia="Calibri" w:hAnsi="Calibri" w:cs="Calibri"/>
        </w:rPr>
        <w:t>Ma</w:t>
      </w:r>
      <w:r w:rsidR="0050794B">
        <w:rPr>
          <w:rFonts w:ascii="Calibri" w:eastAsia="Calibri" w:hAnsi="Calibri" w:cs="Calibri"/>
        </w:rPr>
        <w:t>y</w:t>
      </w:r>
      <w:r>
        <w:rPr>
          <w:rFonts w:ascii="Calibri" w:eastAsia="Calibri" w:hAnsi="Calibri" w:cs="Calibri"/>
        </w:rPr>
        <w:t xml:space="preserve"> </w:t>
      </w:r>
      <w:r w:rsidR="003E7E9A">
        <w:rPr>
          <w:rFonts w:ascii="Calibri" w:eastAsia="Calibri" w:hAnsi="Calibri" w:cs="Calibri"/>
        </w:rPr>
        <w:t>2018</w:t>
      </w:r>
    </w:p>
    <w:p w14:paraId="06E1AFD8" w14:textId="77777777" w:rsidR="00655E95" w:rsidRDefault="00655E95">
      <w:pPr>
        <w:pStyle w:val="Normal1"/>
        <w:spacing w:before="1" w:line="190" w:lineRule="auto"/>
        <w:rPr>
          <w:rFonts w:ascii="Calibri" w:eastAsia="Calibri" w:hAnsi="Calibri" w:cs="Calibri"/>
          <w:sz w:val="19"/>
          <w:szCs w:val="19"/>
        </w:rPr>
      </w:pPr>
    </w:p>
    <w:p w14:paraId="1B23B608" w14:textId="77777777" w:rsidR="00655E95" w:rsidRDefault="00655E95">
      <w:pPr>
        <w:pStyle w:val="Normal1"/>
        <w:spacing w:line="200" w:lineRule="auto"/>
        <w:rPr>
          <w:rFonts w:ascii="Calibri" w:eastAsia="Calibri" w:hAnsi="Calibri" w:cs="Calibri"/>
          <w:sz w:val="20"/>
          <w:szCs w:val="20"/>
        </w:rPr>
      </w:pPr>
    </w:p>
    <w:p w14:paraId="440B0C1A" w14:textId="77777777" w:rsidR="00655E95" w:rsidRDefault="00655E95">
      <w:pPr>
        <w:pStyle w:val="Normal1"/>
        <w:spacing w:line="200" w:lineRule="auto"/>
        <w:rPr>
          <w:rFonts w:ascii="Calibri" w:eastAsia="Calibri" w:hAnsi="Calibri" w:cs="Calibri"/>
          <w:sz w:val="20"/>
          <w:szCs w:val="20"/>
        </w:rPr>
      </w:pPr>
    </w:p>
    <w:p w14:paraId="76DC07F3" w14:textId="77777777" w:rsidR="00655E95" w:rsidRDefault="00655E95">
      <w:pPr>
        <w:pStyle w:val="Normal1"/>
        <w:spacing w:line="200" w:lineRule="auto"/>
        <w:rPr>
          <w:rFonts w:ascii="Calibri" w:eastAsia="Calibri" w:hAnsi="Calibri" w:cs="Calibri"/>
          <w:sz w:val="20"/>
          <w:szCs w:val="20"/>
        </w:rPr>
      </w:pPr>
    </w:p>
    <w:p w14:paraId="7229F28E" w14:textId="77777777" w:rsidR="00655E95" w:rsidRDefault="00655E95">
      <w:pPr>
        <w:pStyle w:val="Normal1"/>
        <w:spacing w:line="200" w:lineRule="auto"/>
        <w:rPr>
          <w:rFonts w:ascii="Calibri" w:eastAsia="Calibri" w:hAnsi="Calibri" w:cs="Calibri"/>
          <w:sz w:val="20"/>
          <w:szCs w:val="20"/>
        </w:rPr>
      </w:pPr>
    </w:p>
    <w:p w14:paraId="4E4B2666" w14:textId="77777777" w:rsidR="00655E95" w:rsidRDefault="00655E95">
      <w:pPr>
        <w:pStyle w:val="Normal1"/>
        <w:spacing w:line="200" w:lineRule="auto"/>
        <w:rPr>
          <w:rFonts w:ascii="Calibri" w:eastAsia="Calibri" w:hAnsi="Calibri" w:cs="Calibri"/>
          <w:sz w:val="20"/>
          <w:szCs w:val="20"/>
        </w:rPr>
      </w:pPr>
    </w:p>
    <w:p w14:paraId="340CF7CA" w14:textId="77777777" w:rsidR="00655E95" w:rsidRDefault="00655E95">
      <w:pPr>
        <w:pStyle w:val="Normal1"/>
        <w:spacing w:line="200" w:lineRule="auto"/>
        <w:rPr>
          <w:rFonts w:ascii="Calibri" w:eastAsia="Calibri" w:hAnsi="Calibri" w:cs="Calibri"/>
          <w:sz w:val="20"/>
          <w:szCs w:val="20"/>
        </w:rPr>
      </w:pPr>
    </w:p>
    <w:p w14:paraId="708AC6F6" w14:textId="77777777" w:rsidR="00655E95" w:rsidRDefault="00655E95">
      <w:pPr>
        <w:pStyle w:val="Normal1"/>
        <w:spacing w:line="200" w:lineRule="auto"/>
        <w:rPr>
          <w:rFonts w:ascii="Calibri" w:eastAsia="Calibri" w:hAnsi="Calibri" w:cs="Calibri"/>
          <w:sz w:val="20"/>
          <w:szCs w:val="20"/>
        </w:rPr>
      </w:pPr>
    </w:p>
    <w:p w14:paraId="16FFCF9E" w14:textId="77777777" w:rsidR="00655E95" w:rsidRDefault="00655E95">
      <w:pPr>
        <w:pStyle w:val="Normal1"/>
        <w:spacing w:line="200" w:lineRule="auto"/>
        <w:rPr>
          <w:rFonts w:ascii="Calibri" w:eastAsia="Calibri" w:hAnsi="Calibri" w:cs="Calibri"/>
          <w:sz w:val="20"/>
          <w:szCs w:val="20"/>
        </w:rPr>
      </w:pPr>
    </w:p>
    <w:p w14:paraId="6ECCAACD" w14:textId="77777777" w:rsidR="00655E95" w:rsidRDefault="003E7E9A">
      <w:pPr>
        <w:pStyle w:val="Normal1"/>
        <w:ind w:right="-20"/>
        <w:rPr>
          <w:rFonts w:ascii="Calibri" w:eastAsia="Calibri" w:hAnsi="Calibri" w:cs="Calibri"/>
          <w:sz w:val="18"/>
          <w:szCs w:val="18"/>
        </w:rPr>
      </w:pPr>
      <w:r>
        <w:rPr>
          <w:rFonts w:ascii="Calibri" w:eastAsia="Calibri" w:hAnsi="Calibri" w:cs="Calibri"/>
          <w:b/>
          <w:sz w:val="18"/>
          <w:szCs w:val="18"/>
        </w:rPr>
        <w:t>Massachusetts Department of Elementary and Secondary Education</w:t>
      </w:r>
    </w:p>
    <w:p w14:paraId="3CC16279" w14:textId="77777777" w:rsidR="00655E95" w:rsidRDefault="003E7E9A">
      <w:pPr>
        <w:pStyle w:val="Normal1"/>
        <w:spacing w:line="218" w:lineRule="auto"/>
        <w:ind w:right="-20"/>
        <w:rPr>
          <w:rFonts w:ascii="Calibri" w:eastAsia="Calibri" w:hAnsi="Calibri" w:cs="Calibri"/>
          <w:sz w:val="18"/>
          <w:szCs w:val="18"/>
        </w:rPr>
      </w:pPr>
      <w:r>
        <w:rPr>
          <w:rFonts w:ascii="Calibri" w:eastAsia="Calibri" w:hAnsi="Calibri" w:cs="Calibri"/>
          <w:sz w:val="18"/>
          <w:szCs w:val="18"/>
        </w:rPr>
        <w:t>75 Pleasant Street, Malden, MA 02148-4906</w:t>
      </w:r>
    </w:p>
    <w:p w14:paraId="61EB9A4A" w14:textId="77777777" w:rsidR="00655E95" w:rsidRDefault="003E7E9A">
      <w:pPr>
        <w:pStyle w:val="Normal1"/>
        <w:spacing w:before="1" w:line="241" w:lineRule="auto"/>
        <w:ind w:right="4618"/>
        <w:rPr>
          <w:rFonts w:ascii="Calibri" w:eastAsia="Calibri" w:hAnsi="Calibri" w:cs="Calibri"/>
          <w:sz w:val="18"/>
          <w:szCs w:val="18"/>
        </w:rPr>
        <w:sectPr w:rsidR="00655E95">
          <w:headerReference w:type="default" r:id="rId13"/>
          <w:footerReference w:type="default" r:id="rId14"/>
          <w:footerReference w:type="first" r:id="rId15"/>
          <w:pgSz w:w="12240" w:h="15840"/>
          <w:pgMar w:top="1440" w:right="1080" w:bottom="1440" w:left="1080" w:header="432" w:footer="548" w:gutter="0"/>
          <w:pgNumType w:start="1"/>
          <w:cols w:space="720"/>
          <w:titlePg/>
        </w:sectPr>
      </w:pPr>
      <w:r>
        <w:rPr>
          <w:rFonts w:ascii="Calibri" w:eastAsia="Calibri" w:hAnsi="Calibri" w:cs="Calibri"/>
          <w:sz w:val="18"/>
          <w:szCs w:val="18"/>
        </w:rPr>
        <w:t>Phone 781-338-3000</w:t>
      </w:r>
    </w:p>
    <w:p w14:paraId="268AFD06" w14:textId="77777777" w:rsidR="003E7E9A" w:rsidRDefault="003E7E9A">
      <w:pPr>
        <w:rPr>
          <w:rFonts w:ascii="Calibri" w:eastAsia="Calibri" w:hAnsi="Calibri" w:cs="Calibri"/>
          <w:b/>
          <w:color w:val="365F91"/>
          <w:sz w:val="28"/>
          <w:szCs w:val="28"/>
        </w:rPr>
      </w:pPr>
    </w:p>
    <w:p w14:paraId="3D19977C" w14:textId="77777777" w:rsidR="003E7E9A" w:rsidRPr="00002B37" w:rsidRDefault="003E7E9A" w:rsidP="00002B37">
      <w:pPr>
        <w:pStyle w:val="Normal1"/>
        <w:tabs>
          <w:tab w:val="right" w:pos="10070"/>
        </w:tabs>
        <w:spacing w:after="100" w:line="480" w:lineRule="auto"/>
        <w:rPr>
          <w:rFonts w:asciiTheme="majorHAnsi" w:hAnsiTheme="majorHAnsi"/>
        </w:rPr>
      </w:pPr>
    </w:p>
    <w:p w14:paraId="19D554C1" w14:textId="77777777" w:rsidR="00655E95" w:rsidRPr="00706603" w:rsidRDefault="00706603" w:rsidP="00706603">
      <w:pPr>
        <w:pStyle w:val="Normal1"/>
        <w:pBdr>
          <w:bottom w:val="single" w:sz="4" w:space="1" w:color="1F497D" w:themeColor="text2"/>
        </w:pBdr>
        <w:tabs>
          <w:tab w:val="right" w:pos="10070"/>
        </w:tabs>
        <w:spacing w:after="100"/>
        <w:rPr>
          <w:rFonts w:asciiTheme="majorHAnsi" w:hAnsiTheme="majorHAnsi"/>
          <w:b/>
          <w:color w:val="1F497D" w:themeColor="text2"/>
          <w:sz w:val="28"/>
          <w:szCs w:val="28"/>
        </w:rPr>
      </w:pPr>
      <w:r w:rsidRPr="00706603">
        <w:rPr>
          <w:rFonts w:asciiTheme="majorHAnsi" w:hAnsiTheme="majorHAnsi"/>
          <w:b/>
          <w:color w:val="1F497D" w:themeColor="text2"/>
          <w:sz w:val="28"/>
          <w:szCs w:val="28"/>
        </w:rPr>
        <w:t>Table of Contents</w:t>
      </w:r>
    </w:p>
    <w:sdt>
      <w:sdtPr>
        <w:id w:val="521676998"/>
        <w:docPartObj>
          <w:docPartGallery w:val="Table of Contents"/>
          <w:docPartUnique/>
        </w:docPartObj>
      </w:sdtPr>
      <w:sdtEndPr/>
      <w:sdtContent>
        <w:p w14:paraId="28212863" w14:textId="5315B688" w:rsidR="00706603" w:rsidRPr="00133BBF" w:rsidRDefault="00FE701A" w:rsidP="00706603">
          <w:pPr>
            <w:pStyle w:val="TOC1"/>
            <w:spacing w:before="240"/>
            <w:rPr>
              <w:rFonts w:asciiTheme="majorHAnsi" w:hAnsiTheme="majorHAnsi"/>
              <w:noProof/>
              <w:sz w:val="28"/>
              <w:szCs w:val="28"/>
              <w:lang w:bidi="ar-SA"/>
            </w:rPr>
          </w:pPr>
          <w:r>
            <w:fldChar w:fldCharType="begin"/>
          </w:r>
          <w:r w:rsidR="00706603">
            <w:instrText xml:space="preserve"> TOC \o "1-3" \h \z \u </w:instrText>
          </w:r>
          <w:r>
            <w:fldChar w:fldCharType="separate"/>
          </w:r>
          <w:hyperlink w:anchor="_Toc504653488" w:history="1">
            <w:r w:rsidR="00706603" w:rsidRPr="00133BBF">
              <w:rPr>
                <w:rStyle w:val="Hyperlink"/>
                <w:rFonts w:asciiTheme="majorHAnsi" w:hAnsiTheme="majorHAnsi"/>
                <w:noProof/>
                <w:sz w:val="28"/>
                <w:szCs w:val="28"/>
              </w:rPr>
              <w:t>Overview</w:t>
            </w:r>
            <w:r w:rsidR="00706603" w:rsidRPr="00133BBF">
              <w:rPr>
                <w:rFonts w:asciiTheme="majorHAnsi" w:hAnsiTheme="majorHAnsi"/>
                <w:noProof/>
                <w:webHidden/>
                <w:sz w:val="28"/>
                <w:szCs w:val="28"/>
              </w:rPr>
              <w:tab/>
            </w:r>
            <w:r w:rsidRPr="00133BBF">
              <w:rPr>
                <w:rFonts w:asciiTheme="majorHAnsi" w:hAnsiTheme="majorHAnsi"/>
                <w:noProof/>
                <w:webHidden/>
                <w:sz w:val="28"/>
                <w:szCs w:val="28"/>
              </w:rPr>
              <w:fldChar w:fldCharType="begin"/>
            </w:r>
            <w:r w:rsidR="00706603" w:rsidRPr="00133BBF">
              <w:rPr>
                <w:rFonts w:asciiTheme="majorHAnsi" w:hAnsiTheme="majorHAnsi"/>
                <w:noProof/>
                <w:webHidden/>
                <w:sz w:val="28"/>
                <w:szCs w:val="28"/>
              </w:rPr>
              <w:instrText xml:space="preserve"> PAGEREF _Toc504653488 \h </w:instrText>
            </w:r>
            <w:r w:rsidRPr="00133BBF">
              <w:rPr>
                <w:rFonts w:asciiTheme="majorHAnsi" w:hAnsiTheme="majorHAnsi"/>
                <w:noProof/>
                <w:webHidden/>
                <w:sz w:val="28"/>
                <w:szCs w:val="28"/>
              </w:rPr>
            </w:r>
            <w:r w:rsidRPr="00133BBF">
              <w:rPr>
                <w:rFonts w:asciiTheme="majorHAnsi" w:hAnsiTheme="majorHAnsi"/>
                <w:noProof/>
                <w:webHidden/>
                <w:sz w:val="28"/>
                <w:szCs w:val="28"/>
              </w:rPr>
              <w:fldChar w:fldCharType="separate"/>
            </w:r>
            <w:r w:rsidR="00531D3C">
              <w:rPr>
                <w:rFonts w:asciiTheme="majorHAnsi" w:hAnsiTheme="majorHAnsi"/>
                <w:noProof/>
                <w:webHidden/>
                <w:sz w:val="28"/>
                <w:szCs w:val="28"/>
              </w:rPr>
              <w:t>3</w:t>
            </w:r>
            <w:r w:rsidRPr="00133BBF">
              <w:rPr>
                <w:rFonts w:asciiTheme="majorHAnsi" w:hAnsiTheme="majorHAnsi"/>
                <w:noProof/>
                <w:webHidden/>
                <w:sz w:val="28"/>
                <w:szCs w:val="28"/>
              </w:rPr>
              <w:fldChar w:fldCharType="end"/>
            </w:r>
          </w:hyperlink>
        </w:p>
        <w:p w14:paraId="1B172141" w14:textId="232F1D53" w:rsidR="00706603" w:rsidRPr="00133BBF" w:rsidRDefault="001434A5" w:rsidP="00706603">
          <w:pPr>
            <w:pStyle w:val="TOC1"/>
            <w:rPr>
              <w:rFonts w:asciiTheme="majorHAnsi" w:hAnsiTheme="majorHAnsi"/>
              <w:noProof/>
              <w:sz w:val="28"/>
              <w:szCs w:val="28"/>
              <w:lang w:bidi="ar-SA"/>
            </w:rPr>
          </w:pPr>
          <w:hyperlink w:anchor="_Toc504653489" w:history="1">
            <w:r w:rsidR="00706603" w:rsidRPr="00133BBF">
              <w:rPr>
                <w:rStyle w:val="Hyperlink"/>
                <w:rFonts w:asciiTheme="majorHAnsi" w:hAnsiTheme="majorHAnsi"/>
                <w:noProof/>
                <w:sz w:val="28"/>
                <w:szCs w:val="28"/>
              </w:rPr>
              <w:t>The Pre-Practicum</w:t>
            </w:r>
            <w:r w:rsidR="00706603" w:rsidRPr="00133BBF">
              <w:rPr>
                <w:rFonts w:asciiTheme="majorHAnsi" w:hAnsiTheme="majorHAnsi"/>
                <w:noProof/>
                <w:webHidden/>
                <w:sz w:val="28"/>
                <w:szCs w:val="28"/>
              </w:rPr>
              <w:tab/>
            </w:r>
            <w:r w:rsidR="00FE701A" w:rsidRPr="00133BBF">
              <w:rPr>
                <w:rFonts w:asciiTheme="majorHAnsi" w:hAnsiTheme="majorHAnsi"/>
                <w:noProof/>
                <w:webHidden/>
                <w:sz w:val="28"/>
                <w:szCs w:val="28"/>
              </w:rPr>
              <w:fldChar w:fldCharType="begin"/>
            </w:r>
            <w:r w:rsidR="00706603" w:rsidRPr="00133BBF">
              <w:rPr>
                <w:rFonts w:asciiTheme="majorHAnsi" w:hAnsiTheme="majorHAnsi"/>
                <w:noProof/>
                <w:webHidden/>
                <w:sz w:val="28"/>
                <w:szCs w:val="28"/>
              </w:rPr>
              <w:instrText xml:space="preserve"> PAGEREF _Toc504653489 \h </w:instrText>
            </w:r>
            <w:r w:rsidR="00FE701A" w:rsidRPr="00133BBF">
              <w:rPr>
                <w:rFonts w:asciiTheme="majorHAnsi" w:hAnsiTheme="majorHAnsi"/>
                <w:noProof/>
                <w:webHidden/>
                <w:sz w:val="28"/>
                <w:szCs w:val="28"/>
              </w:rPr>
            </w:r>
            <w:r w:rsidR="00FE701A" w:rsidRPr="00133BBF">
              <w:rPr>
                <w:rFonts w:asciiTheme="majorHAnsi" w:hAnsiTheme="majorHAnsi"/>
                <w:noProof/>
                <w:webHidden/>
                <w:sz w:val="28"/>
                <w:szCs w:val="28"/>
              </w:rPr>
              <w:fldChar w:fldCharType="separate"/>
            </w:r>
            <w:r w:rsidR="00531D3C">
              <w:rPr>
                <w:rFonts w:asciiTheme="majorHAnsi" w:hAnsiTheme="majorHAnsi"/>
                <w:noProof/>
                <w:webHidden/>
                <w:sz w:val="28"/>
                <w:szCs w:val="28"/>
              </w:rPr>
              <w:t>4</w:t>
            </w:r>
            <w:r w:rsidR="00FE701A" w:rsidRPr="00133BBF">
              <w:rPr>
                <w:rFonts w:asciiTheme="majorHAnsi" w:hAnsiTheme="majorHAnsi"/>
                <w:noProof/>
                <w:webHidden/>
                <w:sz w:val="28"/>
                <w:szCs w:val="28"/>
              </w:rPr>
              <w:fldChar w:fldCharType="end"/>
            </w:r>
          </w:hyperlink>
        </w:p>
        <w:p w14:paraId="6163726F" w14:textId="3F546F4F" w:rsidR="00706603" w:rsidRPr="00133BBF" w:rsidRDefault="001434A5" w:rsidP="00706603">
          <w:pPr>
            <w:pStyle w:val="TOC2"/>
            <w:rPr>
              <w:rFonts w:asciiTheme="majorHAnsi" w:hAnsiTheme="majorHAnsi"/>
              <w:noProof/>
              <w:sz w:val="28"/>
              <w:szCs w:val="28"/>
              <w:lang w:bidi="ar-SA"/>
            </w:rPr>
          </w:pPr>
          <w:hyperlink w:anchor="_Toc504653490" w:history="1">
            <w:r w:rsidR="00706603" w:rsidRPr="00133BBF">
              <w:rPr>
                <w:rStyle w:val="Hyperlink"/>
                <w:rFonts w:asciiTheme="majorHAnsi" w:hAnsiTheme="majorHAnsi"/>
                <w:noProof/>
                <w:sz w:val="28"/>
                <w:szCs w:val="28"/>
              </w:rPr>
              <w:t>Intended Outcomes</w:t>
            </w:r>
            <w:r w:rsidR="00706603" w:rsidRPr="00133BBF">
              <w:rPr>
                <w:rFonts w:asciiTheme="majorHAnsi" w:hAnsiTheme="majorHAnsi"/>
                <w:noProof/>
                <w:webHidden/>
                <w:color w:val="FFFFFF" w:themeColor="background1"/>
                <w:sz w:val="28"/>
                <w:szCs w:val="28"/>
              </w:rPr>
              <w:tab/>
            </w:r>
            <w:r w:rsidR="00FE701A" w:rsidRPr="00133BBF">
              <w:rPr>
                <w:rFonts w:asciiTheme="majorHAnsi" w:hAnsiTheme="majorHAnsi"/>
                <w:noProof/>
                <w:webHidden/>
                <w:sz w:val="28"/>
                <w:szCs w:val="28"/>
              </w:rPr>
              <w:fldChar w:fldCharType="begin"/>
            </w:r>
            <w:r w:rsidR="00706603" w:rsidRPr="00133BBF">
              <w:rPr>
                <w:rFonts w:asciiTheme="majorHAnsi" w:hAnsiTheme="majorHAnsi"/>
                <w:noProof/>
                <w:webHidden/>
                <w:sz w:val="28"/>
                <w:szCs w:val="28"/>
              </w:rPr>
              <w:instrText xml:space="preserve"> PAGEREF _Toc504653490 \h </w:instrText>
            </w:r>
            <w:r w:rsidR="00FE701A" w:rsidRPr="00133BBF">
              <w:rPr>
                <w:rFonts w:asciiTheme="majorHAnsi" w:hAnsiTheme="majorHAnsi"/>
                <w:noProof/>
                <w:webHidden/>
                <w:sz w:val="28"/>
                <w:szCs w:val="28"/>
              </w:rPr>
            </w:r>
            <w:r w:rsidR="00FE701A" w:rsidRPr="00133BBF">
              <w:rPr>
                <w:rFonts w:asciiTheme="majorHAnsi" w:hAnsiTheme="majorHAnsi"/>
                <w:noProof/>
                <w:webHidden/>
                <w:sz w:val="28"/>
                <w:szCs w:val="28"/>
              </w:rPr>
              <w:fldChar w:fldCharType="separate"/>
            </w:r>
            <w:r w:rsidR="00531D3C">
              <w:rPr>
                <w:rFonts w:asciiTheme="majorHAnsi" w:hAnsiTheme="majorHAnsi"/>
                <w:noProof/>
                <w:webHidden/>
                <w:sz w:val="28"/>
                <w:szCs w:val="28"/>
              </w:rPr>
              <w:t>4</w:t>
            </w:r>
            <w:r w:rsidR="00FE701A" w:rsidRPr="00133BBF">
              <w:rPr>
                <w:rFonts w:asciiTheme="majorHAnsi" w:hAnsiTheme="majorHAnsi"/>
                <w:noProof/>
                <w:webHidden/>
                <w:sz w:val="28"/>
                <w:szCs w:val="28"/>
              </w:rPr>
              <w:fldChar w:fldCharType="end"/>
            </w:r>
          </w:hyperlink>
        </w:p>
        <w:p w14:paraId="3F29F287" w14:textId="7C35A549" w:rsidR="00706603" w:rsidRPr="00133BBF" w:rsidRDefault="001434A5" w:rsidP="00706603">
          <w:pPr>
            <w:pStyle w:val="TOC2"/>
            <w:rPr>
              <w:rFonts w:asciiTheme="majorHAnsi" w:hAnsiTheme="majorHAnsi"/>
              <w:noProof/>
              <w:sz w:val="28"/>
              <w:szCs w:val="28"/>
              <w:lang w:bidi="ar-SA"/>
            </w:rPr>
          </w:pPr>
          <w:hyperlink w:anchor="_Toc504653491" w:history="1">
            <w:r w:rsidR="00706603" w:rsidRPr="00133BBF">
              <w:rPr>
                <w:rStyle w:val="Hyperlink"/>
                <w:rFonts w:asciiTheme="majorHAnsi" w:hAnsiTheme="majorHAnsi"/>
                <w:noProof/>
                <w:sz w:val="28"/>
                <w:szCs w:val="28"/>
              </w:rPr>
              <w:t>Observations and Feedback</w:t>
            </w:r>
            <w:r w:rsidR="00706603" w:rsidRPr="00133BBF">
              <w:rPr>
                <w:rFonts w:asciiTheme="majorHAnsi" w:hAnsiTheme="majorHAnsi"/>
                <w:noProof/>
                <w:webHidden/>
                <w:color w:val="FFFFFF" w:themeColor="background1"/>
                <w:sz w:val="28"/>
                <w:szCs w:val="28"/>
              </w:rPr>
              <w:tab/>
            </w:r>
            <w:r w:rsidR="00FE701A" w:rsidRPr="00133BBF">
              <w:rPr>
                <w:rFonts w:asciiTheme="majorHAnsi" w:hAnsiTheme="majorHAnsi"/>
                <w:noProof/>
                <w:webHidden/>
                <w:sz w:val="28"/>
                <w:szCs w:val="28"/>
              </w:rPr>
              <w:fldChar w:fldCharType="begin"/>
            </w:r>
            <w:r w:rsidR="00706603" w:rsidRPr="00133BBF">
              <w:rPr>
                <w:rFonts w:asciiTheme="majorHAnsi" w:hAnsiTheme="majorHAnsi"/>
                <w:noProof/>
                <w:webHidden/>
                <w:sz w:val="28"/>
                <w:szCs w:val="28"/>
              </w:rPr>
              <w:instrText xml:space="preserve"> PAGEREF _Toc504653491 \h </w:instrText>
            </w:r>
            <w:r w:rsidR="00FE701A" w:rsidRPr="00133BBF">
              <w:rPr>
                <w:rFonts w:asciiTheme="majorHAnsi" w:hAnsiTheme="majorHAnsi"/>
                <w:noProof/>
                <w:webHidden/>
                <w:sz w:val="28"/>
                <w:szCs w:val="28"/>
              </w:rPr>
            </w:r>
            <w:r w:rsidR="00FE701A" w:rsidRPr="00133BBF">
              <w:rPr>
                <w:rFonts w:asciiTheme="majorHAnsi" w:hAnsiTheme="majorHAnsi"/>
                <w:noProof/>
                <w:webHidden/>
                <w:sz w:val="28"/>
                <w:szCs w:val="28"/>
              </w:rPr>
              <w:fldChar w:fldCharType="separate"/>
            </w:r>
            <w:r w:rsidR="00531D3C">
              <w:rPr>
                <w:rFonts w:asciiTheme="majorHAnsi" w:hAnsiTheme="majorHAnsi"/>
                <w:noProof/>
                <w:webHidden/>
                <w:sz w:val="28"/>
                <w:szCs w:val="28"/>
              </w:rPr>
              <w:t>5</w:t>
            </w:r>
            <w:r w:rsidR="00FE701A" w:rsidRPr="00133BBF">
              <w:rPr>
                <w:rFonts w:asciiTheme="majorHAnsi" w:hAnsiTheme="majorHAnsi"/>
                <w:noProof/>
                <w:webHidden/>
                <w:sz w:val="28"/>
                <w:szCs w:val="28"/>
              </w:rPr>
              <w:fldChar w:fldCharType="end"/>
            </w:r>
          </w:hyperlink>
        </w:p>
        <w:p w14:paraId="4749F597" w14:textId="3C8706A9" w:rsidR="00706603" w:rsidRPr="00133BBF" w:rsidRDefault="001434A5" w:rsidP="00706603">
          <w:pPr>
            <w:pStyle w:val="TOC2"/>
            <w:rPr>
              <w:rFonts w:asciiTheme="majorHAnsi" w:hAnsiTheme="majorHAnsi"/>
              <w:noProof/>
              <w:sz w:val="28"/>
              <w:szCs w:val="28"/>
              <w:lang w:bidi="ar-SA"/>
            </w:rPr>
          </w:pPr>
          <w:hyperlink w:anchor="_Toc504653492" w:history="1">
            <w:r w:rsidR="00706603" w:rsidRPr="00133BBF">
              <w:rPr>
                <w:rStyle w:val="Hyperlink"/>
                <w:rFonts w:asciiTheme="majorHAnsi" w:hAnsiTheme="majorHAnsi"/>
                <w:noProof/>
                <w:sz w:val="28"/>
                <w:szCs w:val="28"/>
              </w:rPr>
              <w:t>Gateway Assessments</w:t>
            </w:r>
            <w:r w:rsidR="00706603" w:rsidRPr="00133BBF">
              <w:rPr>
                <w:rFonts w:asciiTheme="majorHAnsi" w:hAnsiTheme="majorHAnsi"/>
                <w:noProof/>
                <w:webHidden/>
                <w:color w:val="FFFFFF" w:themeColor="background1"/>
                <w:sz w:val="28"/>
                <w:szCs w:val="28"/>
              </w:rPr>
              <w:tab/>
            </w:r>
            <w:r w:rsidR="00FE701A" w:rsidRPr="00133BBF">
              <w:rPr>
                <w:rFonts w:asciiTheme="majorHAnsi" w:hAnsiTheme="majorHAnsi"/>
                <w:noProof/>
                <w:webHidden/>
                <w:sz w:val="28"/>
                <w:szCs w:val="28"/>
              </w:rPr>
              <w:fldChar w:fldCharType="begin"/>
            </w:r>
            <w:r w:rsidR="00706603" w:rsidRPr="00133BBF">
              <w:rPr>
                <w:rFonts w:asciiTheme="majorHAnsi" w:hAnsiTheme="majorHAnsi"/>
                <w:noProof/>
                <w:webHidden/>
                <w:sz w:val="28"/>
                <w:szCs w:val="28"/>
              </w:rPr>
              <w:instrText xml:space="preserve"> PAGEREF _Toc504653492 \h </w:instrText>
            </w:r>
            <w:r w:rsidR="00FE701A" w:rsidRPr="00133BBF">
              <w:rPr>
                <w:rFonts w:asciiTheme="majorHAnsi" w:hAnsiTheme="majorHAnsi"/>
                <w:noProof/>
                <w:webHidden/>
                <w:sz w:val="28"/>
                <w:szCs w:val="28"/>
              </w:rPr>
            </w:r>
            <w:r w:rsidR="00FE701A" w:rsidRPr="00133BBF">
              <w:rPr>
                <w:rFonts w:asciiTheme="majorHAnsi" w:hAnsiTheme="majorHAnsi"/>
                <w:noProof/>
                <w:webHidden/>
                <w:sz w:val="28"/>
                <w:szCs w:val="28"/>
              </w:rPr>
              <w:fldChar w:fldCharType="separate"/>
            </w:r>
            <w:r w:rsidR="00531D3C">
              <w:rPr>
                <w:rFonts w:asciiTheme="majorHAnsi" w:hAnsiTheme="majorHAnsi"/>
                <w:noProof/>
                <w:webHidden/>
                <w:sz w:val="28"/>
                <w:szCs w:val="28"/>
              </w:rPr>
              <w:t>6</w:t>
            </w:r>
            <w:r w:rsidR="00FE701A" w:rsidRPr="00133BBF">
              <w:rPr>
                <w:rFonts w:asciiTheme="majorHAnsi" w:hAnsiTheme="majorHAnsi"/>
                <w:noProof/>
                <w:webHidden/>
                <w:sz w:val="28"/>
                <w:szCs w:val="28"/>
              </w:rPr>
              <w:fldChar w:fldCharType="end"/>
            </w:r>
          </w:hyperlink>
        </w:p>
        <w:p w14:paraId="7B5F85CE" w14:textId="52A0B822" w:rsidR="00706603" w:rsidRPr="00133BBF" w:rsidRDefault="001434A5" w:rsidP="00706603">
          <w:pPr>
            <w:pStyle w:val="TOC1"/>
            <w:rPr>
              <w:rFonts w:asciiTheme="majorHAnsi" w:hAnsiTheme="majorHAnsi"/>
              <w:noProof/>
              <w:sz w:val="28"/>
              <w:szCs w:val="28"/>
              <w:lang w:bidi="ar-SA"/>
            </w:rPr>
          </w:pPr>
          <w:hyperlink w:anchor="_Toc504653493" w:history="1">
            <w:r w:rsidR="00706603" w:rsidRPr="00133BBF">
              <w:rPr>
                <w:rStyle w:val="Hyperlink"/>
                <w:rFonts w:asciiTheme="majorHAnsi" w:hAnsiTheme="majorHAnsi"/>
                <w:noProof/>
                <w:sz w:val="28"/>
                <w:szCs w:val="28"/>
              </w:rPr>
              <w:t>Background &amp; Development Timeline</w:t>
            </w:r>
            <w:r w:rsidR="00706603" w:rsidRPr="00133BBF">
              <w:rPr>
                <w:rFonts w:asciiTheme="majorHAnsi" w:hAnsiTheme="majorHAnsi"/>
                <w:noProof/>
                <w:webHidden/>
                <w:sz w:val="28"/>
                <w:szCs w:val="28"/>
              </w:rPr>
              <w:tab/>
            </w:r>
            <w:r w:rsidR="00FE701A" w:rsidRPr="00133BBF">
              <w:rPr>
                <w:rFonts w:asciiTheme="majorHAnsi" w:hAnsiTheme="majorHAnsi"/>
                <w:noProof/>
                <w:webHidden/>
                <w:sz w:val="28"/>
                <w:szCs w:val="28"/>
              </w:rPr>
              <w:fldChar w:fldCharType="begin"/>
            </w:r>
            <w:r w:rsidR="00706603" w:rsidRPr="00133BBF">
              <w:rPr>
                <w:rFonts w:asciiTheme="majorHAnsi" w:hAnsiTheme="majorHAnsi"/>
                <w:noProof/>
                <w:webHidden/>
                <w:sz w:val="28"/>
                <w:szCs w:val="28"/>
              </w:rPr>
              <w:instrText xml:space="preserve"> PAGEREF _Toc504653493 \h </w:instrText>
            </w:r>
            <w:r w:rsidR="00FE701A" w:rsidRPr="00133BBF">
              <w:rPr>
                <w:rFonts w:asciiTheme="majorHAnsi" w:hAnsiTheme="majorHAnsi"/>
                <w:noProof/>
                <w:webHidden/>
                <w:sz w:val="28"/>
                <w:szCs w:val="28"/>
              </w:rPr>
            </w:r>
            <w:r w:rsidR="00FE701A" w:rsidRPr="00133BBF">
              <w:rPr>
                <w:rFonts w:asciiTheme="majorHAnsi" w:hAnsiTheme="majorHAnsi"/>
                <w:noProof/>
                <w:webHidden/>
                <w:sz w:val="28"/>
                <w:szCs w:val="28"/>
              </w:rPr>
              <w:fldChar w:fldCharType="separate"/>
            </w:r>
            <w:r w:rsidR="00531D3C">
              <w:rPr>
                <w:rFonts w:asciiTheme="majorHAnsi" w:hAnsiTheme="majorHAnsi"/>
                <w:noProof/>
                <w:webHidden/>
                <w:sz w:val="28"/>
                <w:szCs w:val="28"/>
              </w:rPr>
              <w:t>7</w:t>
            </w:r>
            <w:r w:rsidR="00FE701A" w:rsidRPr="00133BBF">
              <w:rPr>
                <w:rFonts w:asciiTheme="majorHAnsi" w:hAnsiTheme="majorHAnsi"/>
                <w:noProof/>
                <w:webHidden/>
                <w:sz w:val="28"/>
                <w:szCs w:val="28"/>
              </w:rPr>
              <w:fldChar w:fldCharType="end"/>
            </w:r>
          </w:hyperlink>
        </w:p>
        <w:p w14:paraId="1A9D3BE1" w14:textId="68F83DB5" w:rsidR="00706603" w:rsidRDefault="001434A5" w:rsidP="00706603">
          <w:pPr>
            <w:pStyle w:val="TOC1"/>
            <w:rPr>
              <w:noProof/>
              <w:lang w:bidi="ar-SA"/>
            </w:rPr>
          </w:pPr>
          <w:hyperlink w:anchor="_Toc504653494" w:history="1">
            <w:r w:rsidR="00706603" w:rsidRPr="00133BBF">
              <w:rPr>
                <w:rStyle w:val="Hyperlink"/>
                <w:rFonts w:asciiTheme="majorHAnsi" w:hAnsiTheme="majorHAnsi"/>
                <w:noProof/>
                <w:sz w:val="28"/>
                <w:szCs w:val="28"/>
              </w:rPr>
              <w:t>Conclusion</w:t>
            </w:r>
            <w:r w:rsidR="00706603" w:rsidRPr="00133BBF">
              <w:rPr>
                <w:rFonts w:asciiTheme="majorHAnsi" w:hAnsiTheme="majorHAnsi"/>
                <w:noProof/>
                <w:webHidden/>
                <w:sz w:val="28"/>
                <w:szCs w:val="28"/>
              </w:rPr>
              <w:tab/>
            </w:r>
            <w:r w:rsidR="00FE701A" w:rsidRPr="00133BBF">
              <w:rPr>
                <w:rFonts w:asciiTheme="majorHAnsi" w:hAnsiTheme="majorHAnsi"/>
                <w:noProof/>
                <w:webHidden/>
                <w:sz w:val="28"/>
                <w:szCs w:val="28"/>
              </w:rPr>
              <w:fldChar w:fldCharType="begin"/>
            </w:r>
            <w:r w:rsidR="00706603" w:rsidRPr="00133BBF">
              <w:rPr>
                <w:rFonts w:asciiTheme="majorHAnsi" w:hAnsiTheme="majorHAnsi"/>
                <w:noProof/>
                <w:webHidden/>
                <w:sz w:val="28"/>
                <w:szCs w:val="28"/>
              </w:rPr>
              <w:instrText xml:space="preserve"> PAGEREF _Toc504653494 \h </w:instrText>
            </w:r>
            <w:r w:rsidR="00FE701A" w:rsidRPr="00133BBF">
              <w:rPr>
                <w:rFonts w:asciiTheme="majorHAnsi" w:hAnsiTheme="majorHAnsi"/>
                <w:noProof/>
                <w:webHidden/>
                <w:sz w:val="28"/>
                <w:szCs w:val="28"/>
              </w:rPr>
            </w:r>
            <w:r w:rsidR="00FE701A" w:rsidRPr="00133BBF">
              <w:rPr>
                <w:rFonts w:asciiTheme="majorHAnsi" w:hAnsiTheme="majorHAnsi"/>
                <w:noProof/>
                <w:webHidden/>
                <w:sz w:val="28"/>
                <w:szCs w:val="28"/>
              </w:rPr>
              <w:fldChar w:fldCharType="separate"/>
            </w:r>
            <w:r w:rsidR="00531D3C">
              <w:rPr>
                <w:rFonts w:asciiTheme="majorHAnsi" w:hAnsiTheme="majorHAnsi"/>
                <w:noProof/>
                <w:webHidden/>
                <w:sz w:val="28"/>
                <w:szCs w:val="28"/>
              </w:rPr>
              <w:t>7</w:t>
            </w:r>
            <w:r w:rsidR="00FE701A" w:rsidRPr="00133BBF">
              <w:rPr>
                <w:rFonts w:asciiTheme="majorHAnsi" w:hAnsiTheme="majorHAnsi"/>
                <w:noProof/>
                <w:webHidden/>
                <w:sz w:val="28"/>
                <w:szCs w:val="28"/>
              </w:rPr>
              <w:fldChar w:fldCharType="end"/>
            </w:r>
          </w:hyperlink>
        </w:p>
        <w:p w14:paraId="29CDC95E" w14:textId="297E9384" w:rsidR="00655E95" w:rsidRDefault="00FE701A" w:rsidP="00E70C85">
          <w:r>
            <w:fldChar w:fldCharType="end"/>
          </w:r>
        </w:p>
      </w:sdtContent>
    </w:sdt>
    <w:bookmarkStart w:id="0" w:name="_30j0zll" w:colFirst="0" w:colLast="0" w:displacedByCustomXml="prev"/>
    <w:bookmarkEnd w:id="0" w:displacedByCustomXml="prev"/>
    <w:p w14:paraId="56B2E8D9" w14:textId="77777777" w:rsidR="00655E95" w:rsidRDefault="003E7E9A">
      <w:pPr>
        <w:pStyle w:val="Normal1"/>
        <w:rPr>
          <w:color w:val="365F91"/>
          <w:sz w:val="28"/>
          <w:szCs w:val="28"/>
        </w:rPr>
      </w:pPr>
      <w:r>
        <w:br w:type="page"/>
      </w:r>
      <w:bookmarkStart w:id="1" w:name="_GoBack"/>
      <w:bookmarkEnd w:id="1"/>
    </w:p>
    <w:p w14:paraId="289BB489" w14:textId="77777777" w:rsidR="00655E95" w:rsidRPr="00002B37" w:rsidRDefault="00A42F53" w:rsidP="00706603">
      <w:pPr>
        <w:pStyle w:val="Heading1"/>
        <w:pBdr>
          <w:bottom w:val="single" w:sz="4" w:space="1" w:color="1F497D" w:themeColor="text2"/>
        </w:pBdr>
      </w:pPr>
      <w:bookmarkStart w:id="2" w:name="_Toc504653488"/>
      <w:r w:rsidRPr="00002B37">
        <w:lastRenderedPageBreak/>
        <w:t>Overview</w:t>
      </w:r>
      <w:bookmarkEnd w:id="2"/>
    </w:p>
    <w:p w14:paraId="7869AE3A" w14:textId="77777777" w:rsidR="00675A68" w:rsidRPr="00133BBF" w:rsidRDefault="0002308E" w:rsidP="00002B37">
      <w:pPr>
        <w:pStyle w:val="Normal1"/>
        <w:spacing w:before="120" w:after="240"/>
        <w:rPr>
          <w:rFonts w:asciiTheme="majorHAnsi" w:eastAsia="Calibri" w:hAnsiTheme="majorHAnsi" w:cs="Calibri"/>
        </w:rPr>
      </w:pPr>
      <w:r w:rsidRPr="00133BBF">
        <w:rPr>
          <w:rFonts w:asciiTheme="majorHAnsi" w:eastAsia="Calibri" w:hAnsiTheme="majorHAnsi" w:cs="Calibri"/>
        </w:rPr>
        <w:t xml:space="preserve">The Massachusetts Department of Elementary and Secondary Education (ESE) is committed to ensuring that all PK-12 students have access to effective educators. It is imperative that preparation results in candidates who are fully ready to positively </w:t>
      </w:r>
      <w:proofErr w:type="gramStart"/>
      <w:r w:rsidRPr="00133BBF">
        <w:rPr>
          <w:rFonts w:asciiTheme="majorHAnsi" w:eastAsia="Calibri" w:hAnsiTheme="majorHAnsi" w:cs="Calibri"/>
        </w:rPr>
        <w:t>impact</w:t>
      </w:r>
      <w:proofErr w:type="gramEnd"/>
      <w:r w:rsidRPr="00133BBF">
        <w:rPr>
          <w:rFonts w:asciiTheme="majorHAnsi" w:eastAsia="Calibri" w:hAnsiTheme="majorHAnsi" w:cs="Calibri"/>
        </w:rPr>
        <w:t xml:space="preserve"> student learning on day one of employment; this is especially true given that new teachers are twice as frequently assigned to teach in high poverty and high minority schools in our state.</w:t>
      </w:r>
      <w:r w:rsidRPr="00133BBF">
        <w:rPr>
          <w:rFonts w:asciiTheme="majorHAnsi" w:eastAsia="Calibri" w:hAnsiTheme="majorHAnsi" w:cs="Calibri"/>
          <w:vertAlign w:val="superscript"/>
        </w:rPr>
        <w:t xml:space="preserve"> </w:t>
      </w:r>
      <w:r w:rsidRPr="00133BBF">
        <w:rPr>
          <w:rFonts w:asciiTheme="majorHAnsi" w:eastAsia="Calibri" w:hAnsiTheme="majorHAnsi" w:cs="Calibri"/>
          <w:vertAlign w:val="superscript"/>
        </w:rPr>
        <w:footnoteReference w:id="1"/>
      </w:r>
      <w:r w:rsidRPr="00133BBF">
        <w:rPr>
          <w:rFonts w:asciiTheme="majorHAnsi" w:eastAsia="Calibri" w:hAnsiTheme="majorHAnsi" w:cs="Calibri"/>
        </w:rPr>
        <w:t xml:space="preserve"> </w:t>
      </w:r>
    </w:p>
    <w:p w14:paraId="094DEBB2" w14:textId="0066C749" w:rsidR="00655E95" w:rsidRPr="00133BBF" w:rsidRDefault="003E7E9A" w:rsidP="00002B37">
      <w:pPr>
        <w:pStyle w:val="Normal1"/>
        <w:spacing w:before="120" w:after="240"/>
        <w:rPr>
          <w:rFonts w:asciiTheme="majorHAnsi" w:eastAsia="Calibri" w:hAnsiTheme="majorHAnsi" w:cs="Calibri"/>
        </w:rPr>
      </w:pPr>
      <w:r w:rsidRPr="00133BBF">
        <w:rPr>
          <w:rFonts w:asciiTheme="majorHAnsi" w:eastAsia="Calibri" w:hAnsiTheme="majorHAnsi" w:cs="Calibri"/>
        </w:rPr>
        <w:t xml:space="preserve">The Pre-Practicum Guidelines build off of Massachusetts’ efforts to elevate expectations for candidates and providers, including updating the </w:t>
      </w:r>
      <w:hyperlink r:id="rId16">
        <w:r w:rsidRPr="00133BBF">
          <w:rPr>
            <w:rFonts w:asciiTheme="majorHAnsi" w:eastAsia="Calibri" w:hAnsiTheme="majorHAnsi" w:cs="Calibri"/>
            <w:color w:val="1155CC"/>
            <w:u w:val="single"/>
          </w:rPr>
          <w:t>Professional Standards for Teachers</w:t>
        </w:r>
      </w:hyperlink>
      <w:r w:rsidRPr="00133BBF">
        <w:rPr>
          <w:rFonts w:asciiTheme="majorHAnsi" w:eastAsia="Calibri" w:hAnsiTheme="majorHAnsi" w:cs="Calibri"/>
        </w:rPr>
        <w:t xml:space="preserve"> to align with expectations </w:t>
      </w:r>
      <w:r w:rsidR="00C26E3C" w:rsidRPr="00133BBF">
        <w:rPr>
          <w:rFonts w:asciiTheme="majorHAnsi" w:eastAsia="Calibri" w:hAnsiTheme="majorHAnsi" w:cs="Calibri"/>
        </w:rPr>
        <w:t>of in-service teachers</w:t>
      </w:r>
      <w:r w:rsidR="00135DAD">
        <w:rPr>
          <w:rFonts w:asciiTheme="majorHAnsi" w:eastAsia="Calibri" w:hAnsiTheme="majorHAnsi" w:cs="Calibri"/>
        </w:rPr>
        <w:t xml:space="preserve">, </w:t>
      </w:r>
      <w:r w:rsidRPr="00133BBF">
        <w:rPr>
          <w:rFonts w:asciiTheme="majorHAnsi" w:eastAsia="Calibri" w:hAnsiTheme="majorHAnsi" w:cs="Calibri"/>
        </w:rPr>
        <w:t xml:space="preserve">implementing a new </w:t>
      </w:r>
      <w:hyperlink r:id="rId17">
        <w:r w:rsidRPr="00133BBF">
          <w:rPr>
            <w:rFonts w:asciiTheme="majorHAnsi" w:eastAsia="Calibri" w:hAnsiTheme="majorHAnsi" w:cs="Calibri"/>
            <w:color w:val="1155CC"/>
            <w:u w:val="single"/>
          </w:rPr>
          <w:t>performance assessment</w:t>
        </w:r>
      </w:hyperlink>
      <w:r w:rsidRPr="00133BBF">
        <w:rPr>
          <w:rFonts w:asciiTheme="majorHAnsi" w:eastAsia="Calibri" w:hAnsiTheme="majorHAnsi" w:cs="Calibri"/>
        </w:rPr>
        <w:t xml:space="preserve"> to assess readiness during the practicum</w:t>
      </w:r>
      <w:r w:rsidR="00135DAD">
        <w:rPr>
          <w:rFonts w:asciiTheme="majorHAnsi" w:eastAsia="Calibri" w:hAnsiTheme="majorHAnsi" w:cs="Calibri"/>
        </w:rPr>
        <w:t xml:space="preserve"> and updating the Subject-Matter Knowledge Requirements governing the content knowledge candidates must know to teach well</w:t>
      </w:r>
      <w:r w:rsidRPr="00133BBF">
        <w:rPr>
          <w:rFonts w:asciiTheme="majorHAnsi" w:eastAsia="Calibri" w:hAnsiTheme="majorHAnsi" w:cs="Calibri"/>
        </w:rPr>
        <w:t xml:space="preserve">. </w:t>
      </w:r>
    </w:p>
    <w:p w14:paraId="0D57D2A0" w14:textId="274A5FF0" w:rsidR="00655E95" w:rsidRPr="00133BBF" w:rsidRDefault="003E7E9A" w:rsidP="00002B37">
      <w:pPr>
        <w:pStyle w:val="Normal1"/>
        <w:spacing w:before="120" w:after="240"/>
        <w:rPr>
          <w:rFonts w:asciiTheme="majorHAnsi" w:eastAsia="Calibri" w:hAnsiTheme="majorHAnsi" w:cs="Calibri"/>
        </w:rPr>
      </w:pPr>
      <w:r w:rsidRPr="00133BBF">
        <w:rPr>
          <w:rFonts w:asciiTheme="majorHAnsi" w:eastAsia="Calibri" w:hAnsiTheme="majorHAnsi" w:cs="Calibri"/>
        </w:rPr>
        <w:t xml:space="preserve">According to the Regulations for Licensure and Educator Preparation Program Approval, the pre-practicum </w:t>
      </w:r>
      <w:r w:rsidR="00705823">
        <w:rPr>
          <w:rFonts w:asciiTheme="majorHAnsi" w:eastAsia="Calibri" w:hAnsiTheme="majorHAnsi" w:cs="Calibri"/>
        </w:rPr>
        <w:t>is defined as the</w:t>
      </w:r>
      <w:r w:rsidRPr="00133BBF">
        <w:rPr>
          <w:rFonts w:asciiTheme="majorHAnsi" w:eastAsia="Calibri" w:hAnsiTheme="majorHAnsi" w:cs="Calibri"/>
        </w:rPr>
        <w:t xml:space="preserve"> field-based experiences with diverse student learners that take place during the early part of a candidate’s preparation (</w:t>
      </w:r>
      <w:hyperlink r:id="rId18" w:history="1">
        <w:r w:rsidRPr="00D527F7">
          <w:rPr>
            <w:rStyle w:val="Hyperlink"/>
            <w:rFonts w:asciiTheme="majorHAnsi" w:eastAsia="Calibri" w:hAnsiTheme="majorHAnsi" w:cs="Calibri"/>
          </w:rPr>
          <w:t>603 CMR 7.0</w:t>
        </w:r>
        <w:r w:rsidR="00C3215E" w:rsidRPr="00D527F7">
          <w:rPr>
            <w:rStyle w:val="Hyperlink"/>
            <w:rFonts w:asciiTheme="majorHAnsi" w:eastAsia="Calibri" w:hAnsiTheme="majorHAnsi" w:cs="Calibri"/>
          </w:rPr>
          <w:t>2</w:t>
        </w:r>
      </w:hyperlink>
      <w:r w:rsidRPr="00133BBF">
        <w:rPr>
          <w:rFonts w:asciiTheme="majorHAnsi" w:eastAsia="Calibri" w:hAnsiTheme="majorHAnsi" w:cs="Calibri"/>
        </w:rPr>
        <w:t xml:space="preserve">). </w:t>
      </w:r>
      <w:r w:rsidR="00C3215E" w:rsidRPr="00133BBF">
        <w:rPr>
          <w:rFonts w:asciiTheme="majorHAnsi" w:eastAsia="Calibri" w:hAnsiTheme="majorHAnsi" w:cs="Calibri"/>
        </w:rPr>
        <w:t>Th</w:t>
      </w:r>
      <w:r w:rsidR="00C3215E">
        <w:rPr>
          <w:rFonts w:asciiTheme="majorHAnsi" w:eastAsia="Calibri" w:hAnsiTheme="majorHAnsi" w:cs="Calibri"/>
        </w:rPr>
        <w:t xml:space="preserve">is includes all </w:t>
      </w:r>
      <w:r w:rsidRPr="00133BBF">
        <w:rPr>
          <w:rFonts w:asciiTheme="majorHAnsi" w:eastAsia="Calibri" w:hAnsiTheme="majorHAnsi" w:cs="Calibri"/>
        </w:rPr>
        <w:t xml:space="preserve">field-based experiences integrated into courses or seminars that address the </w:t>
      </w:r>
      <w:hyperlink r:id="rId19">
        <w:r w:rsidRPr="00133BBF">
          <w:rPr>
            <w:rFonts w:asciiTheme="majorHAnsi" w:eastAsia="Calibri" w:hAnsiTheme="majorHAnsi" w:cs="Calibri"/>
            <w:color w:val="0000FF"/>
            <w:u w:val="single"/>
          </w:rPr>
          <w:t>Professional Standards for Teachers</w:t>
        </w:r>
      </w:hyperlink>
      <w:hyperlink r:id="rId20">
        <w:r w:rsidRPr="00133BBF">
          <w:rPr>
            <w:rFonts w:asciiTheme="majorHAnsi" w:eastAsia="Calibri" w:hAnsiTheme="majorHAnsi" w:cs="Calibri"/>
          </w:rPr>
          <w:t xml:space="preserve"> (PST) and the</w:t>
        </w:r>
      </w:hyperlink>
      <w:r w:rsidRPr="00133BBF">
        <w:rPr>
          <w:rFonts w:asciiTheme="majorHAnsi" w:eastAsia="Calibri" w:hAnsiTheme="majorHAnsi" w:cs="Calibri"/>
        </w:rPr>
        <w:t xml:space="preserve"> </w:t>
      </w:r>
      <w:hyperlink r:id="rId21">
        <w:r w:rsidRPr="00133BBF">
          <w:rPr>
            <w:rFonts w:asciiTheme="majorHAnsi" w:eastAsia="Calibri" w:hAnsiTheme="majorHAnsi" w:cs="Calibri"/>
            <w:color w:val="0000FF"/>
            <w:u w:val="single"/>
          </w:rPr>
          <w:t>Subject Matter Knowledge</w:t>
        </w:r>
      </w:hyperlink>
      <w:r w:rsidRPr="00133BBF">
        <w:rPr>
          <w:rFonts w:asciiTheme="majorHAnsi" w:eastAsia="Calibri" w:hAnsiTheme="majorHAnsi" w:cs="Calibri"/>
        </w:rPr>
        <w:t xml:space="preserve"> (SMK) requirements.  </w:t>
      </w:r>
    </w:p>
    <w:p w14:paraId="7D37F81F" w14:textId="2EA16C22" w:rsidR="00655E95" w:rsidRPr="00133BBF" w:rsidRDefault="003E7E9A" w:rsidP="00002B37">
      <w:pPr>
        <w:pStyle w:val="Normal1"/>
        <w:spacing w:before="120" w:after="240"/>
        <w:rPr>
          <w:rFonts w:asciiTheme="majorHAnsi" w:eastAsia="Calibri" w:hAnsiTheme="majorHAnsi" w:cs="Calibri"/>
        </w:rPr>
      </w:pPr>
      <w:r w:rsidRPr="00133BBF">
        <w:rPr>
          <w:rFonts w:asciiTheme="majorHAnsi" w:eastAsia="Calibri" w:hAnsiTheme="majorHAnsi" w:cs="Calibri"/>
        </w:rPr>
        <w:t xml:space="preserve">The Pre-Practicum Guidelines are informed by </w:t>
      </w:r>
      <w:r w:rsidR="005642D9" w:rsidRPr="00133BBF">
        <w:rPr>
          <w:rFonts w:asciiTheme="majorHAnsi" w:eastAsia="Calibri" w:hAnsiTheme="majorHAnsi" w:cs="Calibri"/>
        </w:rPr>
        <w:t xml:space="preserve">increasing evidence that preparation rooted in authentic, supported practice and feedback opportunities produces new teachers who are more </w:t>
      </w:r>
      <w:proofErr w:type="gramStart"/>
      <w:r w:rsidR="005642D9" w:rsidRPr="00133BBF">
        <w:rPr>
          <w:rFonts w:asciiTheme="majorHAnsi" w:eastAsia="Calibri" w:hAnsiTheme="majorHAnsi" w:cs="Calibri"/>
        </w:rPr>
        <w:t>effective,</w:t>
      </w:r>
      <w:proofErr w:type="gramEnd"/>
      <w:r w:rsidR="005642D9" w:rsidRPr="00133BBF">
        <w:rPr>
          <w:rFonts w:asciiTheme="majorHAnsi" w:eastAsia="Calibri" w:hAnsiTheme="majorHAnsi" w:cs="Calibri"/>
        </w:rPr>
        <w:t xml:space="preserve"> feel more prepared, and remain in the classroom longer</w:t>
      </w:r>
      <w:r w:rsidRPr="00133BBF">
        <w:rPr>
          <w:rFonts w:asciiTheme="majorHAnsi" w:eastAsia="Calibri" w:hAnsiTheme="majorHAnsi" w:cs="Calibri"/>
        </w:rPr>
        <w:t>.</w:t>
      </w:r>
      <w:r w:rsidR="005642D9" w:rsidRPr="00133BBF">
        <w:rPr>
          <w:rStyle w:val="FootnoteReference"/>
          <w:rFonts w:asciiTheme="majorHAnsi" w:eastAsia="Calibri" w:hAnsiTheme="majorHAnsi" w:cs="Calibri"/>
        </w:rPr>
        <w:footnoteReference w:id="2"/>
      </w:r>
      <w:r w:rsidR="00C26E3C" w:rsidRPr="00133BBF">
        <w:rPr>
          <w:rFonts w:asciiTheme="majorHAnsi" w:eastAsia="Calibri" w:hAnsiTheme="majorHAnsi" w:cs="Calibri"/>
        </w:rPr>
        <w:t xml:space="preserve"> </w:t>
      </w:r>
      <w:r w:rsidR="005642D9" w:rsidRPr="00133BBF">
        <w:rPr>
          <w:rFonts w:asciiTheme="majorHAnsi" w:eastAsia="Calibri" w:hAnsiTheme="majorHAnsi" w:cs="Calibri"/>
        </w:rPr>
        <w:t xml:space="preserve"> </w:t>
      </w:r>
      <w:r w:rsidRPr="00133BBF">
        <w:rPr>
          <w:rFonts w:asciiTheme="majorHAnsi" w:eastAsia="Calibri" w:hAnsiTheme="majorHAnsi" w:cs="Calibri"/>
        </w:rPr>
        <w:t xml:space="preserve">Recent reports from the field of educator preparation and PK-12 have called for stronger connections between preparation and practice through extended clinical experiences aligned to the licensure role that provide opportunities to learn, practice, and </w:t>
      </w:r>
      <w:proofErr w:type="gramStart"/>
      <w:r w:rsidRPr="00133BBF">
        <w:rPr>
          <w:rFonts w:asciiTheme="majorHAnsi" w:eastAsia="Calibri" w:hAnsiTheme="majorHAnsi" w:cs="Calibri"/>
        </w:rPr>
        <w:t>be assessed</w:t>
      </w:r>
      <w:proofErr w:type="gramEnd"/>
      <w:r w:rsidRPr="00133BBF">
        <w:rPr>
          <w:rFonts w:asciiTheme="majorHAnsi" w:eastAsia="Calibri" w:hAnsiTheme="majorHAnsi" w:cs="Calibri"/>
        </w:rPr>
        <w:t xml:space="preserve"> on the pedagogical content knowledge needed for successful teaching and learning.</w:t>
      </w:r>
      <w:r w:rsidRPr="00133BBF">
        <w:rPr>
          <w:rFonts w:asciiTheme="majorHAnsi" w:eastAsia="Calibri" w:hAnsiTheme="majorHAnsi" w:cs="Calibri"/>
          <w:vertAlign w:val="superscript"/>
        </w:rPr>
        <w:footnoteReference w:id="3"/>
      </w:r>
      <w:r w:rsidRPr="00133BBF">
        <w:rPr>
          <w:rFonts w:asciiTheme="majorHAnsi" w:eastAsia="Calibri" w:hAnsiTheme="majorHAnsi" w:cs="Calibri"/>
        </w:rPr>
        <w:t xml:space="preserve"> </w:t>
      </w:r>
      <w:r w:rsidR="00C3215E" w:rsidRPr="00133BBF">
        <w:rPr>
          <w:rFonts w:asciiTheme="majorHAnsi" w:eastAsia="Calibri" w:hAnsiTheme="majorHAnsi" w:cs="Calibri"/>
        </w:rPr>
        <w:t xml:space="preserve">Shifting educator preparation towards field-based experiences helps bridge theory and practice for candidates and translates into more effective, well-prepared new teachers.  </w:t>
      </w:r>
    </w:p>
    <w:p w14:paraId="6736BFB6" w14:textId="6BBF568C" w:rsidR="00655E95" w:rsidRPr="00133BBF" w:rsidRDefault="00705823" w:rsidP="00002B37">
      <w:pPr>
        <w:pStyle w:val="Normal1"/>
        <w:spacing w:before="120" w:after="240"/>
        <w:rPr>
          <w:rFonts w:asciiTheme="majorHAnsi" w:eastAsia="Calibri" w:hAnsiTheme="majorHAnsi" w:cs="Calibri"/>
          <w:color w:val="4F81BD" w:themeColor="accent1"/>
        </w:rPr>
      </w:pPr>
      <w:r w:rsidRPr="00133BBF">
        <w:rPr>
          <w:rFonts w:asciiTheme="majorHAnsi" w:eastAsia="Calibri" w:hAnsiTheme="majorHAnsi" w:cs="Calibri"/>
        </w:rPr>
        <w:t xml:space="preserve">The </w:t>
      </w:r>
      <w:r>
        <w:rPr>
          <w:rFonts w:asciiTheme="majorHAnsi" w:eastAsia="Calibri" w:hAnsiTheme="majorHAnsi" w:cs="Calibri"/>
        </w:rPr>
        <w:t xml:space="preserve">purpose of the </w:t>
      </w:r>
      <w:r w:rsidRPr="00133BBF">
        <w:rPr>
          <w:rFonts w:asciiTheme="majorHAnsi" w:eastAsia="Calibri" w:hAnsiTheme="majorHAnsi" w:cs="Calibri"/>
        </w:rPr>
        <w:t xml:space="preserve">pre-practicum </w:t>
      </w:r>
      <w:r>
        <w:rPr>
          <w:rFonts w:asciiTheme="majorHAnsi" w:eastAsia="Calibri" w:hAnsiTheme="majorHAnsi" w:cs="Calibri"/>
        </w:rPr>
        <w:t xml:space="preserve">is to </w:t>
      </w:r>
      <w:r w:rsidRPr="00133BBF">
        <w:rPr>
          <w:rFonts w:asciiTheme="majorHAnsi" w:eastAsia="Calibri" w:hAnsiTheme="majorHAnsi" w:cs="Calibri"/>
        </w:rPr>
        <w:t xml:space="preserve">provide candidates with multiple opportunities to apply learning from coursework into </w:t>
      </w:r>
      <w:r w:rsidR="00FB0AC2">
        <w:rPr>
          <w:rFonts w:asciiTheme="majorHAnsi" w:eastAsia="Calibri" w:hAnsiTheme="majorHAnsi" w:cs="Calibri"/>
        </w:rPr>
        <w:t xml:space="preserve">practice through </w:t>
      </w:r>
      <w:r>
        <w:rPr>
          <w:rFonts w:asciiTheme="majorHAnsi" w:eastAsia="Calibri" w:hAnsiTheme="majorHAnsi" w:cs="Calibri"/>
        </w:rPr>
        <w:t xml:space="preserve">increasingly </w:t>
      </w:r>
      <w:r w:rsidRPr="00133BBF">
        <w:rPr>
          <w:rFonts w:asciiTheme="majorHAnsi" w:eastAsia="Calibri" w:hAnsiTheme="majorHAnsi" w:cs="Calibri"/>
        </w:rPr>
        <w:t xml:space="preserve">authentic teaching experiences in preparation </w:t>
      </w:r>
      <w:proofErr w:type="gramStart"/>
      <w:r w:rsidRPr="00133BBF">
        <w:rPr>
          <w:rFonts w:asciiTheme="majorHAnsi" w:eastAsia="Calibri" w:hAnsiTheme="majorHAnsi" w:cs="Calibri"/>
        </w:rPr>
        <w:t>to successfully demonstrate</w:t>
      </w:r>
      <w:proofErr w:type="gramEnd"/>
      <w:r w:rsidRPr="00133BBF">
        <w:rPr>
          <w:rFonts w:asciiTheme="majorHAnsi" w:eastAsia="Calibri" w:hAnsiTheme="majorHAnsi" w:cs="Calibri"/>
        </w:rPr>
        <w:t xml:space="preserve"> readiness during the capstone preparation experience known as the practicum.</w:t>
      </w:r>
      <w:r>
        <w:rPr>
          <w:rFonts w:asciiTheme="majorHAnsi" w:eastAsia="Calibri" w:hAnsiTheme="majorHAnsi" w:cs="Calibri"/>
        </w:rPr>
        <w:t xml:space="preserve"> </w:t>
      </w:r>
      <w:r w:rsidR="0033569B">
        <w:rPr>
          <w:rFonts w:asciiTheme="majorHAnsi" w:eastAsia="Calibri" w:hAnsiTheme="majorHAnsi" w:cs="Calibri"/>
        </w:rPr>
        <w:t xml:space="preserve"> </w:t>
      </w:r>
      <w:r w:rsidR="003E7E9A" w:rsidRPr="00133BBF">
        <w:rPr>
          <w:rFonts w:asciiTheme="majorHAnsi" w:eastAsia="Calibri" w:hAnsiTheme="majorHAnsi" w:cs="Calibri"/>
        </w:rPr>
        <w:t>Given the necess</w:t>
      </w:r>
      <w:r w:rsidR="005642D9" w:rsidRPr="00133BBF">
        <w:rPr>
          <w:rFonts w:asciiTheme="majorHAnsi" w:eastAsia="Calibri" w:hAnsiTheme="majorHAnsi" w:cs="Calibri"/>
        </w:rPr>
        <w:t xml:space="preserve">ity to scaffold </w:t>
      </w:r>
      <w:r w:rsidR="003E7E9A" w:rsidRPr="00133BBF">
        <w:rPr>
          <w:rFonts w:asciiTheme="majorHAnsi" w:eastAsia="Calibri" w:hAnsiTheme="majorHAnsi" w:cs="Calibri"/>
        </w:rPr>
        <w:t>early field-based experiences</w:t>
      </w:r>
      <w:r w:rsidR="005642D9" w:rsidRPr="00133BBF">
        <w:rPr>
          <w:rFonts w:asciiTheme="majorHAnsi" w:eastAsia="Calibri" w:hAnsiTheme="majorHAnsi" w:cs="Calibri"/>
        </w:rPr>
        <w:t xml:space="preserve"> in order to</w:t>
      </w:r>
      <w:r>
        <w:rPr>
          <w:rFonts w:asciiTheme="majorHAnsi" w:eastAsia="Calibri" w:hAnsiTheme="majorHAnsi" w:cs="Calibri"/>
        </w:rPr>
        <w:t xml:space="preserve"> </w:t>
      </w:r>
      <w:r w:rsidR="00FB0AC2">
        <w:rPr>
          <w:rFonts w:asciiTheme="majorHAnsi" w:eastAsia="Calibri" w:hAnsiTheme="majorHAnsi" w:cs="Calibri"/>
        </w:rPr>
        <w:t xml:space="preserve">meet the developmental needs of individual candidates and </w:t>
      </w:r>
      <w:r w:rsidR="005642D9" w:rsidRPr="00133BBF">
        <w:rPr>
          <w:rFonts w:asciiTheme="majorHAnsi" w:eastAsia="Calibri" w:hAnsiTheme="majorHAnsi" w:cs="Calibri"/>
        </w:rPr>
        <w:t xml:space="preserve">build </w:t>
      </w:r>
      <w:r w:rsidR="00B70A8B" w:rsidRPr="00133BBF">
        <w:rPr>
          <w:rFonts w:asciiTheme="majorHAnsi" w:eastAsia="Calibri" w:hAnsiTheme="majorHAnsi" w:cs="Calibri"/>
        </w:rPr>
        <w:t xml:space="preserve">towards </w:t>
      </w:r>
      <w:r w:rsidR="00FB0AC2">
        <w:rPr>
          <w:rFonts w:asciiTheme="majorHAnsi" w:eastAsia="Calibri" w:hAnsiTheme="majorHAnsi" w:cs="Calibri"/>
        </w:rPr>
        <w:t xml:space="preserve">full </w:t>
      </w:r>
      <w:r w:rsidR="005642D9" w:rsidRPr="00133BBF">
        <w:rPr>
          <w:rFonts w:asciiTheme="majorHAnsi" w:eastAsia="Calibri" w:hAnsiTheme="majorHAnsi" w:cs="Calibri"/>
        </w:rPr>
        <w:t>readiness for the licensure role</w:t>
      </w:r>
      <w:r w:rsidR="003E7E9A" w:rsidRPr="00133BBF">
        <w:rPr>
          <w:rFonts w:asciiTheme="majorHAnsi" w:eastAsia="Calibri" w:hAnsiTheme="majorHAnsi" w:cs="Calibri"/>
        </w:rPr>
        <w:t xml:space="preserve">, the pre-practicum </w:t>
      </w:r>
      <w:r w:rsidR="00135DAD">
        <w:rPr>
          <w:rFonts w:asciiTheme="majorHAnsi" w:eastAsia="Calibri" w:hAnsiTheme="majorHAnsi" w:cs="Calibri"/>
        </w:rPr>
        <w:t>may</w:t>
      </w:r>
      <w:r w:rsidR="00135DAD" w:rsidRPr="00133BBF">
        <w:rPr>
          <w:rFonts w:asciiTheme="majorHAnsi" w:eastAsia="Calibri" w:hAnsiTheme="majorHAnsi" w:cs="Calibri"/>
        </w:rPr>
        <w:t xml:space="preserve"> </w:t>
      </w:r>
      <w:r w:rsidR="003E7E9A" w:rsidRPr="00133BBF">
        <w:rPr>
          <w:rFonts w:asciiTheme="majorHAnsi" w:eastAsia="Calibri" w:hAnsiTheme="majorHAnsi" w:cs="Calibri"/>
        </w:rPr>
        <w:t>be considered to include two</w:t>
      </w:r>
      <w:r w:rsidR="00FB0AC2">
        <w:rPr>
          <w:rFonts w:asciiTheme="majorHAnsi" w:eastAsia="Calibri" w:hAnsiTheme="majorHAnsi" w:cs="Calibri"/>
        </w:rPr>
        <w:t>, potentially overlapping,</w:t>
      </w:r>
      <w:r w:rsidR="00070613">
        <w:rPr>
          <w:rFonts w:asciiTheme="majorHAnsi" w:eastAsia="Calibri" w:hAnsiTheme="majorHAnsi" w:cs="Calibri"/>
        </w:rPr>
        <w:t xml:space="preserve"> </w:t>
      </w:r>
      <w:proofErr w:type="gramStart"/>
      <w:r w:rsidR="003E7E9A" w:rsidRPr="00133BBF">
        <w:rPr>
          <w:rFonts w:asciiTheme="majorHAnsi" w:eastAsia="Calibri" w:hAnsiTheme="majorHAnsi" w:cs="Calibri"/>
        </w:rPr>
        <w:t>stages</w:t>
      </w:r>
      <w:proofErr w:type="gramEnd"/>
      <w:r w:rsidR="003E7E9A" w:rsidRPr="00133BBF">
        <w:rPr>
          <w:rFonts w:asciiTheme="majorHAnsi" w:eastAsia="Calibri" w:hAnsiTheme="majorHAnsi" w:cs="Calibri"/>
        </w:rPr>
        <w:t>:</w:t>
      </w:r>
    </w:p>
    <w:p w14:paraId="3A658C19" w14:textId="325B3739" w:rsidR="00617CC9" w:rsidRPr="00133BBF" w:rsidRDefault="003E7E9A" w:rsidP="00706603">
      <w:pPr>
        <w:pStyle w:val="Normal1"/>
        <w:numPr>
          <w:ilvl w:val="0"/>
          <w:numId w:val="6"/>
        </w:numPr>
        <w:spacing w:before="120" w:after="240"/>
        <w:rPr>
          <w:rFonts w:asciiTheme="majorHAnsi" w:hAnsiTheme="majorHAnsi"/>
        </w:rPr>
      </w:pPr>
      <w:r w:rsidRPr="00133BBF">
        <w:rPr>
          <w:rFonts w:asciiTheme="majorHAnsi" w:eastAsia="Calibri" w:hAnsiTheme="majorHAnsi" w:cs="Calibri"/>
          <w:b/>
        </w:rPr>
        <w:t>Stage 1</w:t>
      </w:r>
      <w:r w:rsidRPr="00133BBF">
        <w:rPr>
          <w:rFonts w:asciiTheme="majorHAnsi" w:eastAsia="Calibri" w:hAnsiTheme="majorHAnsi" w:cs="Calibri"/>
        </w:rPr>
        <w:t xml:space="preserve"> supports a candidate’s initial introduction to the PSTs and SMKs through activities such as guided observations, mixed-reality simulations, and mock teaching embedded into </w:t>
      </w:r>
      <w:r w:rsidRPr="00133BBF">
        <w:rPr>
          <w:rFonts w:asciiTheme="majorHAnsi" w:eastAsia="Calibri" w:hAnsiTheme="majorHAnsi" w:cs="Calibri"/>
        </w:rPr>
        <w:lastRenderedPageBreak/>
        <w:t xml:space="preserve">coursework requirements, such that a candidate has sufficient opportunity to </w:t>
      </w:r>
      <w:proofErr w:type="gramStart"/>
      <w:r w:rsidRPr="00133BBF">
        <w:rPr>
          <w:rFonts w:asciiTheme="majorHAnsi" w:eastAsia="Calibri" w:hAnsiTheme="majorHAnsi" w:cs="Calibri"/>
        </w:rPr>
        <w:t>be introduced</w:t>
      </w:r>
      <w:proofErr w:type="gramEnd"/>
      <w:r w:rsidRPr="00133BBF">
        <w:rPr>
          <w:rFonts w:asciiTheme="majorHAnsi" w:eastAsia="Calibri" w:hAnsiTheme="majorHAnsi" w:cs="Calibri"/>
        </w:rPr>
        <w:t xml:space="preserve"> to and observe the practice of specific skills.</w:t>
      </w:r>
    </w:p>
    <w:p w14:paraId="47507504" w14:textId="037F12EA" w:rsidR="00FB0AC2" w:rsidRDefault="003E7E9A" w:rsidP="00EB5595">
      <w:pPr>
        <w:pStyle w:val="Normal1"/>
        <w:numPr>
          <w:ilvl w:val="0"/>
          <w:numId w:val="6"/>
        </w:numPr>
        <w:spacing w:before="120" w:after="240"/>
        <w:rPr>
          <w:rFonts w:asciiTheme="majorHAnsi" w:eastAsia="Calibri" w:hAnsiTheme="majorHAnsi" w:cs="Calibri"/>
        </w:rPr>
      </w:pPr>
      <w:r w:rsidRPr="00133BBF">
        <w:rPr>
          <w:rFonts w:asciiTheme="majorHAnsi" w:eastAsia="Calibri" w:hAnsiTheme="majorHAnsi" w:cs="Calibri"/>
          <w:b/>
        </w:rPr>
        <w:t>Stage 2</w:t>
      </w:r>
      <w:r w:rsidRPr="00133BBF">
        <w:rPr>
          <w:rFonts w:asciiTheme="majorHAnsi" w:eastAsia="Calibri" w:hAnsiTheme="majorHAnsi" w:cs="Calibri"/>
        </w:rPr>
        <w:t xml:space="preserve"> </w:t>
      </w:r>
      <w:r w:rsidR="00135DAD">
        <w:rPr>
          <w:rFonts w:asciiTheme="majorHAnsi" w:eastAsia="Calibri" w:hAnsiTheme="majorHAnsi" w:cs="Calibri"/>
        </w:rPr>
        <w:t xml:space="preserve">typically </w:t>
      </w:r>
      <w:r w:rsidRPr="00133BBF">
        <w:rPr>
          <w:rFonts w:asciiTheme="majorHAnsi" w:eastAsia="Calibri" w:hAnsiTheme="majorHAnsi" w:cs="Calibri"/>
        </w:rPr>
        <w:t xml:space="preserve">consists of direct engagement with PK-12 students with a continued, gradual increase in responsibility such that a candidate has sufficient opportunities to practice skills in authentic settings and become prepared to demonstrate readiness during practicum. </w:t>
      </w:r>
    </w:p>
    <w:p w14:paraId="33445A12" w14:textId="4466596B" w:rsidR="00135DAD" w:rsidRDefault="00135DAD" w:rsidP="00002B37">
      <w:pPr>
        <w:pStyle w:val="Normal1"/>
        <w:spacing w:before="120" w:after="240"/>
        <w:rPr>
          <w:rFonts w:asciiTheme="majorHAnsi" w:eastAsia="Calibri" w:hAnsiTheme="majorHAnsi" w:cs="Calibri"/>
        </w:rPr>
      </w:pPr>
      <w:r>
        <w:rPr>
          <w:rFonts w:asciiTheme="majorHAnsi" w:eastAsia="Calibri" w:hAnsiTheme="majorHAnsi" w:cs="Calibri"/>
        </w:rPr>
        <w:t xml:space="preserve">This progression from stage one and stage two is not a state requirement but instead a supportive framework that may be helpful in considering when and how to implement cycles of feedback and the gateway assessments outlined later in this set of guidelines. Providers should work, however, to ensure that there is a mix of activities across these different stages in support of individual candidate readiness. </w:t>
      </w:r>
    </w:p>
    <w:p w14:paraId="74A5EF1F" w14:textId="77777777" w:rsidR="00333284" w:rsidRDefault="00AB2C11" w:rsidP="00002B37">
      <w:pPr>
        <w:pStyle w:val="Normal1"/>
        <w:spacing w:before="120" w:after="240"/>
        <w:rPr>
          <w:rFonts w:asciiTheme="majorHAnsi" w:eastAsia="Calibri" w:hAnsiTheme="majorHAnsi" w:cs="Calibri"/>
        </w:rPr>
      </w:pPr>
      <w:r>
        <w:rPr>
          <w:rFonts w:asciiTheme="majorHAnsi" w:eastAsia="Calibri" w:hAnsiTheme="majorHAnsi" w:cs="Calibri"/>
        </w:rPr>
        <w:t>Throughout the pre-practicum experience</w:t>
      </w:r>
      <w:r w:rsidR="00C3215E">
        <w:rPr>
          <w:rFonts w:asciiTheme="majorHAnsi" w:eastAsia="Calibri" w:hAnsiTheme="majorHAnsi" w:cs="Calibri"/>
        </w:rPr>
        <w:t xml:space="preserve">, Sponsoring Organizations </w:t>
      </w:r>
      <w:proofErr w:type="gramStart"/>
      <w:r w:rsidR="00C3215E">
        <w:rPr>
          <w:rFonts w:asciiTheme="majorHAnsi" w:eastAsia="Calibri" w:hAnsiTheme="majorHAnsi" w:cs="Calibri"/>
        </w:rPr>
        <w:t>partner</w:t>
      </w:r>
      <w:proofErr w:type="gramEnd"/>
      <w:r w:rsidR="00C3215E">
        <w:rPr>
          <w:rFonts w:asciiTheme="majorHAnsi" w:eastAsia="Calibri" w:hAnsiTheme="majorHAnsi" w:cs="Calibri"/>
        </w:rPr>
        <w:t xml:space="preserve"> with districts and schools to provide candidates with opportunities to observe and practice in PK-12 settings.</w:t>
      </w:r>
      <w:r>
        <w:rPr>
          <w:rFonts w:asciiTheme="majorHAnsi" w:eastAsia="Calibri" w:hAnsiTheme="majorHAnsi" w:cs="Calibri"/>
        </w:rPr>
        <w:t xml:space="preserve"> Sponsoring Organizations and their partners may select placements best served to meet the needs of the candidate and the structure of the program.  PK-12 classroom teachers may serve in a range of roles in support of the pre-practicum, including:</w:t>
      </w:r>
    </w:p>
    <w:p w14:paraId="1CD35BD8" w14:textId="3D05566D" w:rsidR="0088368C" w:rsidRDefault="00FE701A" w:rsidP="00EB5595">
      <w:pPr>
        <w:pStyle w:val="Normal1"/>
        <w:numPr>
          <w:ilvl w:val="0"/>
          <w:numId w:val="15"/>
        </w:numPr>
        <w:spacing w:before="120" w:after="240" w:line="240" w:lineRule="auto"/>
        <w:rPr>
          <w:rFonts w:asciiTheme="majorHAnsi" w:eastAsia="Calibri" w:hAnsiTheme="majorHAnsi" w:cs="Calibri"/>
        </w:rPr>
      </w:pPr>
      <w:bookmarkStart w:id="3" w:name="HostTeacher"/>
      <w:r w:rsidRPr="00EB5595">
        <w:rPr>
          <w:rFonts w:asciiTheme="majorHAnsi" w:eastAsia="Calibri" w:hAnsiTheme="majorHAnsi" w:cs="Calibri"/>
          <w:b/>
        </w:rPr>
        <w:t>Host Teacher</w:t>
      </w:r>
      <w:bookmarkEnd w:id="3"/>
      <w:r w:rsidRPr="00EB5595">
        <w:rPr>
          <w:rFonts w:asciiTheme="majorHAnsi" w:eastAsia="Calibri" w:hAnsiTheme="majorHAnsi" w:cs="Calibri"/>
          <w:b/>
        </w:rPr>
        <w:t>:</w:t>
      </w:r>
      <w:r w:rsidR="00AB2C11">
        <w:rPr>
          <w:rFonts w:asciiTheme="majorHAnsi" w:eastAsia="Calibri" w:hAnsiTheme="majorHAnsi" w:cs="Calibri"/>
        </w:rPr>
        <w:t xml:space="preserve">  A teacher who opens up his/her classroom to candidates as a model of practice and </w:t>
      </w:r>
      <w:r w:rsidR="00370FFF">
        <w:rPr>
          <w:rFonts w:asciiTheme="majorHAnsi" w:eastAsia="Calibri" w:hAnsiTheme="majorHAnsi" w:cs="Calibri"/>
        </w:rPr>
        <w:t xml:space="preserve">may </w:t>
      </w:r>
      <w:r w:rsidR="00AB2C11">
        <w:rPr>
          <w:rFonts w:asciiTheme="majorHAnsi" w:eastAsia="Calibri" w:hAnsiTheme="majorHAnsi" w:cs="Calibri"/>
        </w:rPr>
        <w:t>provide informal support and feedback.</w:t>
      </w:r>
      <w:r w:rsidR="00135DAD">
        <w:rPr>
          <w:rFonts w:asciiTheme="majorHAnsi" w:eastAsia="Calibri" w:hAnsiTheme="majorHAnsi" w:cs="Calibri"/>
        </w:rPr>
        <w:t xml:space="preserve"> This is a role uniquely </w:t>
      </w:r>
      <w:r w:rsidR="006206CA">
        <w:rPr>
          <w:rFonts w:asciiTheme="majorHAnsi" w:eastAsia="Calibri" w:hAnsiTheme="majorHAnsi" w:cs="Calibri"/>
        </w:rPr>
        <w:t xml:space="preserve">defined for the pre-practicum experience. </w:t>
      </w:r>
    </w:p>
    <w:p w14:paraId="73773060" w14:textId="3F13BCC3" w:rsidR="0088368C" w:rsidRDefault="00FE701A" w:rsidP="00EB5595">
      <w:pPr>
        <w:pStyle w:val="Normal1"/>
        <w:numPr>
          <w:ilvl w:val="0"/>
          <w:numId w:val="15"/>
        </w:numPr>
        <w:spacing w:before="120" w:after="240" w:line="240" w:lineRule="auto"/>
        <w:rPr>
          <w:rFonts w:asciiTheme="majorHAnsi" w:eastAsia="Calibri" w:hAnsiTheme="majorHAnsi" w:cs="Calibri"/>
        </w:rPr>
      </w:pPr>
      <w:r w:rsidRPr="00EB5595">
        <w:rPr>
          <w:rFonts w:asciiTheme="majorHAnsi" w:eastAsia="Calibri" w:hAnsiTheme="majorHAnsi" w:cs="Calibri"/>
          <w:b/>
        </w:rPr>
        <w:t>Supervising Practitioner:</w:t>
      </w:r>
      <w:r w:rsidR="00AB2C11" w:rsidRPr="00AB2C11">
        <w:rPr>
          <w:rFonts w:asciiTheme="majorHAnsi" w:eastAsia="Calibri" w:hAnsiTheme="majorHAnsi" w:cs="Calibri"/>
        </w:rPr>
        <w:t xml:space="preserve">  A teacher who </w:t>
      </w:r>
      <w:r w:rsidRPr="00EB5595">
        <w:rPr>
          <w:rFonts w:asciiTheme="majorHAnsi" w:eastAsia="Calibri" w:hAnsiTheme="majorHAnsi" w:cs="Calibri"/>
        </w:rPr>
        <w:t xml:space="preserve">provides formal supervision of teacher candidates, makes determinations of candidate readiness, and meets specific eligibility requirements for serving in the role (See </w:t>
      </w:r>
      <w:hyperlink r:id="rId22" w:history="1">
        <w:r w:rsidRPr="00EB5595">
          <w:rPr>
            <w:rStyle w:val="Hyperlink"/>
            <w:rFonts w:asciiTheme="majorHAnsi" w:eastAsia="Calibri" w:hAnsiTheme="majorHAnsi" w:cs="Calibri"/>
          </w:rPr>
          <w:t>603 CMR 7.02</w:t>
        </w:r>
      </w:hyperlink>
      <w:r w:rsidRPr="00EB5595">
        <w:rPr>
          <w:rFonts w:asciiTheme="majorHAnsi" w:eastAsia="Calibri" w:hAnsiTheme="majorHAnsi" w:cs="Calibri"/>
        </w:rPr>
        <w:t>).</w:t>
      </w:r>
      <w:r w:rsidR="006206CA">
        <w:rPr>
          <w:rFonts w:asciiTheme="majorHAnsi" w:eastAsia="Calibri" w:hAnsiTheme="majorHAnsi" w:cs="Calibri"/>
        </w:rPr>
        <w:t xml:space="preserve"> This role is required during the practicum but an individual in this role may also support candidates during the pre-practicum experience. </w:t>
      </w:r>
    </w:p>
    <w:p w14:paraId="3E87DAF2" w14:textId="2A39803D" w:rsidR="00655E95" w:rsidRDefault="00705823" w:rsidP="00705823">
      <w:pPr>
        <w:pStyle w:val="Normal1"/>
        <w:spacing w:before="120" w:after="240"/>
        <w:rPr>
          <w:rFonts w:asciiTheme="majorHAnsi" w:eastAsia="Calibri" w:hAnsiTheme="majorHAnsi" w:cs="Calibri"/>
        </w:rPr>
      </w:pPr>
      <w:r>
        <w:rPr>
          <w:rFonts w:asciiTheme="majorHAnsi" w:eastAsia="Calibri" w:hAnsiTheme="majorHAnsi" w:cs="Calibri"/>
        </w:rPr>
        <w:t xml:space="preserve">The Pre-Practicum Guidelines outline expectations for implementation of the pre-practicum </w:t>
      </w:r>
      <w:r w:rsidR="003E7E9A" w:rsidRPr="00133BBF">
        <w:rPr>
          <w:rFonts w:asciiTheme="majorHAnsi" w:eastAsia="Calibri" w:hAnsiTheme="majorHAnsi" w:cs="Calibri"/>
        </w:rPr>
        <w:t xml:space="preserve">such that candidates </w:t>
      </w:r>
      <w:r w:rsidR="00FB0AC2">
        <w:rPr>
          <w:rFonts w:asciiTheme="majorHAnsi" w:eastAsia="Calibri" w:hAnsiTheme="majorHAnsi" w:cs="Calibri"/>
        </w:rPr>
        <w:t xml:space="preserve">are prepared to demonstrate readiness during the practicum and </w:t>
      </w:r>
      <w:r w:rsidR="003E7E9A" w:rsidRPr="00133BBF">
        <w:rPr>
          <w:rFonts w:asciiTheme="majorHAnsi" w:eastAsia="Calibri" w:hAnsiTheme="majorHAnsi" w:cs="Calibri"/>
        </w:rPr>
        <w:t xml:space="preserve">complete their preparation fully ready </w:t>
      </w:r>
      <w:r w:rsidR="00FB0AC2">
        <w:rPr>
          <w:rFonts w:asciiTheme="majorHAnsi" w:eastAsia="Calibri" w:hAnsiTheme="majorHAnsi" w:cs="Calibri"/>
        </w:rPr>
        <w:t xml:space="preserve">to make a positive impact for students </w:t>
      </w:r>
      <w:r w:rsidR="005E384C" w:rsidRPr="00133BBF">
        <w:rPr>
          <w:rFonts w:asciiTheme="majorHAnsi" w:eastAsia="Calibri" w:hAnsiTheme="majorHAnsi" w:cs="Calibri"/>
        </w:rPr>
        <w:t xml:space="preserve">on </w:t>
      </w:r>
      <w:r w:rsidR="003E7E9A" w:rsidRPr="00133BBF">
        <w:rPr>
          <w:rFonts w:asciiTheme="majorHAnsi" w:eastAsia="Calibri" w:hAnsiTheme="majorHAnsi" w:cs="Calibri"/>
        </w:rPr>
        <w:t>day one</w:t>
      </w:r>
      <w:r w:rsidR="005E384C" w:rsidRPr="00133BBF">
        <w:rPr>
          <w:rFonts w:asciiTheme="majorHAnsi" w:eastAsia="Calibri" w:hAnsiTheme="majorHAnsi" w:cs="Calibri"/>
        </w:rPr>
        <w:t>.</w:t>
      </w:r>
      <w:r w:rsidR="00333284">
        <w:rPr>
          <w:rFonts w:asciiTheme="majorHAnsi" w:eastAsia="Calibri" w:hAnsiTheme="majorHAnsi" w:cs="Calibri"/>
        </w:rPr>
        <w:t xml:space="preserve"> </w:t>
      </w:r>
      <w:r>
        <w:rPr>
          <w:rFonts w:asciiTheme="majorHAnsi" w:eastAsia="Calibri" w:hAnsiTheme="majorHAnsi" w:cs="Calibri"/>
        </w:rPr>
        <w:t xml:space="preserve"> The guidelines include</w:t>
      </w:r>
      <w:r w:rsidR="00FB0AC2">
        <w:rPr>
          <w:rFonts w:asciiTheme="majorHAnsi" w:eastAsia="Calibri" w:hAnsiTheme="majorHAnsi" w:cs="Calibri"/>
        </w:rPr>
        <w:t>:</w:t>
      </w:r>
    </w:p>
    <w:p w14:paraId="7CE74A5B" w14:textId="77777777" w:rsidR="0088368C" w:rsidRDefault="00705823" w:rsidP="00EB5595">
      <w:pPr>
        <w:pStyle w:val="Normal1"/>
        <w:numPr>
          <w:ilvl w:val="0"/>
          <w:numId w:val="16"/>
        </w:numPr>
        <w:spacing w:after="0"/>
        <w:rPr>
          <w:rFonts w:asciiTheme="majorHAnsi" w:eastAsia="Calibri" w:hAnsiTheme="majorHAnsi" w:cs="Calibri"/>
        </w:rPr>
      </w:pPr>
      <w:r>
        <w:rPr>
          <w:rFonts w:asciiTheme="majorHAnsi" w:eastAsia="Calibri" w:hAnsiTheme="majorHAnsi" w:cs="Calibri"/>
        </w:rPr>
        <w:t>Intended outcomes of the pre-practicum for candidate readiness;</w:t>
      </w:r>
    </w:p>
    <w:p w14:paraId="501C7A19" w14:textId="77777777" w:rsidR="0088368C" w:rsidRDefault="00FB0AC2" w:rsidP="00EB5595">
      <w:pPr>
        <w:pStyle w:val="Normal1"/>
        <w:numPr>
          <w:ilvl w:val="0"/>
          <w:numId w:val="16"/>
        </w:numPr>
        <w:spacing w:after="0"/>
        <w:rPr>
          <w:rFonts w:asciiTheme="majorHAnsi" w:eastAsia="Calibri" w:hAnsiTheme="majorHAnsi" w:cs="Calibri"/>
        </w:rPr>
      </w:pPr>
      <w:r>
        <w:rPr>
          <w:rFonts w:asciiTheme="majorHAnsi" w:eastAsia="Calibri" w:hAnsiTheme="majorHAnsi" w:cs="Calibri"/>
        </w:rPr>
        <w:t>Expectations for providing candidates with high-quality feedback during the pre-practicum; and</w:t>
      </w:r>
    </w:p>
    <w:p w14:paraId="6F84E06E" w14:textId="77777777" w:rsidR="0088368C" w:rsidRDefault="005A4308" w:rsidP="00EB5595">
      <w:pPr>
        <w:pStyle w:val="Normal1"/>
        <w:numPr>
          <w:ilvl w:val="0"/>
          <w:numId w:val="16"/>
        </w:numPr>
        <w:spacing w:after="0"/>
        <w:rPr>
          <w:rFonts w:asciiTheme="majorHAnsi" w:eastAsia="Calibri" w:hAnsiTheme="majorHAnsi" w:cs="Calibri"/>
        </w:rPr>
      </w:pPr>
      <w:r>
        <w:rPr>
          <w:rFonts w:asciiTheme="majorHAnsi" w:eastAsia="Calibri" w:hAnsiTheme="majorHAnsi" w:cs="Calibri"/>
        </w:rPr>
        <w:t>Expectations for evaluating and monitoring candidate readiness through gateway assessments.</w:t>
      </w:r>
    </w:p>
    <w:p w14:paraId="1A3353A1" w14:textId="77777777" w:rsidR="0088368C" w:rsidRPr="00EB5595" w:rsidRDefault="0088368C" w:rsidP="00EB5595"/>
    <w:p w14:paraId="3E1C1590" w14:textId="77777777" w:rsidR="00655E95" w:rsidRPr="00E1331E" w:rsidRDefault="003E7E9A" w:rsidP="00E1331E">
      <w:pPr>
        <w:pStyle w:val="Heading1"/>
        <w:pBdr>
          <w:bottom w:val="single" w:sz="4" w:space="1" w:color="1F497D" w:themeColor="text2"/>
        </w:pBdr>
        <w:rPr>
          <w:rFonts w:ascii="Calibri" w:eastAsia="Calibri" w:hAnsi="Calibri" w:cs="Calibri"/>
          <w:i/>
          <w:color w:val="F79646"/>
        </w:rPr>
      </w:pPr>
      <w:bookmarkStart w:id="4" w:name="_Toc504653489"/>
      <w:r w:rsidRPr="00002B37">
        <w:t>The Pre-Practicum</w:t>
      </w:r>
      <w:bookmarkEnd w:id="4"/>
      <w:r w:rsidRPr="00002B37">
        <w:t xml:space="preserve"> </w:t>
      </w:r>
    </w:p>
    <w:p w14:paraId="5674197E" w14:textId="77777777" w:rsidR="00655E95" w:rsidRDefault="003E7E9A" w:rsidP="00677747">
      <w:pPr>
        <w:pStyle w:val="Heading2"/>
        <w:keepNext w:val="0"/>
        <w:widowControl w:val="0"/>
        <w:spacing w:before="360" w:after="120"/>
        <w:rPr>
          <w:color w:val="F79646"/>
        </w:rPr>
      </w:pPr>
      <w:bookmarkStart w:id="5" w:name="_Toc504653490"/>
      <w:r>
        <w:rPr>
          <w:color w:val="F79646"/>
        </w:rPr>
        <w:t>Intended Outcomes</w:t>
      </w:r>
      <w:bookmarkEnd w:id="5"/>
    </w:p>
    <w:p w14:paraId="3F02CAFE" w14:textId="06815945" w:rsidR="00655E95" w:rsidRPr="00133BBF" w:rsidRDefault="003E7E9A">
      <w:pPr>
        <w:pStyle w:val="Normal1"/>
        <w:spacing w:before="120" w:after="120"/>
        <w:rPr>
          <w:rFonts w:ascii="Calibri" w:eastAsia="Calibri" w:hAnsi="Calibri" w:cs="Calibri"/>
        </w:rPr>
      </w:pPr>
      <w:r w:rsidRPr="00133BBF">
        <w:rPr>
          <w:rFonts w:ascii="Calibri" w:eastAsia="Calibri" w:hAnsi="Calibri" w:cs="Calibri"/>
        </w:rPr>
        <w:t xml:space="preserve">Through these guidelines, ESE seeks to be descriptive of expectations, not prescriptive of approach and </w:t>
      </w:r>
      <w:r w:rsidR="002E311E" w:rsidRPr="00133BBF">
        <w:rPr>
          <w:rFonts w:ascii="Calibri" w:eastAsia="Calibri" w:hAnsi="Calibri" w:cs="Calibri"/>
        </w:rPr>
        <w:t xml:space="preserve">to </w:t>
      </w:r>
      <w:r w:rsidRPr="00133BBF">
        <w:rPr>
          <w:rFonts w:ascii="Calibri" w:eastAsia="Calibri" w:hAnsi="Calibri" w:cs="Calibri"/>
        </w:rPr>
        <w:t xml:space="preserve">afford providers the flexibility and autonomy to design and implement programming in a way that </w:t>
      </w:r>
      <w:proofErr w:type="gramStart"/>
      <w:r w:rsidRPr="00133BBF">
        <w:rPr>
          <w:rFonts w:ascii="Calibri" w:eastAsia="Calibri" w:hAnsi="Calibri" w:cs="Calibri"/>
        </w:rPr>
        <w:t>is aligned</w:t>
      </w:r>
      <w:proofErr w:type="gramEnd"/>
      <w:r w:rsidRPr="00133BBF">
        <w:rPr>
          <w:rFonts w:ascii="Calibri" w:eastAsia="Calibri" w:hAnsi="Calibri" w:cs="Calibri"/>
        </w:rPr>
        <w:t xml:space="preserve"> with their context and produces educators who are ready for the licensure role. </w:t>
      </w:r>
      <w:r w:rsidR="000A4577" w:rsidRPr="00133BBF">
        <w:rPr>
          <w:rFonts w:ascii="Calibri" w:eastAsia="Calibri" w:hAnsi="Calibri" w:cs="Calibri"/>
        </w:rPr>
        <w:t xml:space="preserve"> </w:t>
      </w:r>
      <w:r w:rsidRPr="00133BBF">
        <w:rPr>
          <w:rFonts w:ascii="Calibri" w:eastAsia="Calibri" w:hAnsi="Calibri" w:cs="Calibri"/>
        </w:rPr>
        <w:t xml:space="preserve">In support of </w:t>
      </w:r>
      <w:r w:rsidRPr="00133BBF">
        <w:rPr>
          <w:rFonts w:ascii="Calibri" w:eastAsia="Calibri" w:hAnsi="Calibri" w:cs="Calibri"/>
        </w:rPr>
        <w:lastRenderedPageBreak/>
        <w:t xml:space="preserve">this, below we outline expectations </w:t>
      </w:r>
      <w:r w:rsidR="000A4577" w:rsidRPr="00133BBF">
        <w:rPr>
          <w:rFonts w:ascii="Calibri" w:eastAsia="Calibri" w:hAnsi="Calibri" w:cs="Calibri"/>
        </w:rPr>
        <w:t>based on the</w:t>
      </w:r>
      <w:r w:rsidRPr="00133BBF">
        <w:rPr>
          <w:rFonts w:ascii="Calibri" w:eastAsia="Calibri" w:hAnsi="Calibri" w:cs="Calibri"/>
        </w:rPr>
        <w:t xml:space="preserve"> </w:t>
      </w:r>
      <w:hyperlink r:id="rId23" w:history="1">
        <w:r w:rsidRPr="00133BBF">
          <w:rPr>
            <w:rStyle w:val="Hyperlink"/>
            <w:rFonts w:ascii="Calibri" w:eastAsia="Calibri" w:hAnsi="Calibri" w:cs="Calibri"/>
          </w:rPr>
          <w:t>ESE Review Criteria</w:t>
        </w:r>
      </w:hyperlink>
      <w:r w:rsidRPr="00133BBF">
        <w:rPr>
          <w:rFonts w:ascii="Calibri" w:eastAsia="Calibri" w:hAnsi="Calibri" w:cs="Calibri"/>
        </w:rPr>
        <w:t xml:space="preserve"> that correspond </w:t>
      </w:r>
      <w:r w:rsidR="001651EA">
        <w:rPr>
          <w:rFonts w:ascii="Calibri" w:eastAsia="Calibri" w:hAnsi="Calibri" w:cs="Calibri"/>
        </w:rPr>
        <w:t xml:space="preserve">most closely </w:t>
      </w:r>
      <w:r w:rsidRPr="00133BBF">
        <w:rPr>
          <w:rFonts w:ascii="Calibri" w:eastAsia="Calibri" w:hAnsi="Calibri" w:cs="Calibri"/>
        </w:rPr>
        <w:t xml:space="preserve">to aspects of the pre-practicum phase of preparation. </w:t>
      </w:r>
    </w:p>
    <w:p w14:paraId="69325267" w14:textId="77777777" w:rsidR="00655E95" w:rsidRPr="00133BBF" w:rsidRDefault="003E7E9A">
      <w:pPr>
        <w:pStyle w:val="Normal1"/>
        <w:spacing w:before="120" w:after="120"/>
        <w:rPr>
          <w:rFonts w:ascii="Calibri" w:eastAsia="Calibri" w:hAnsi="Calibri" w:cs="Calibri"/>
        </w:rPr>
      </w:pPr>
      <w:r w:rsidRPr="00133BBF">
        <w:rPr>
          <w:rFonts w:ascii="Calibri" w:eastAsia="Calibri" w:hAnsi="Calibri" w:cs="Calibri"/>
        </w:rPr>
        <w:t>Sponsoring Organizations are responsible for designing and implementing pre-practicum experiences for initial licensure candidates such that:</w:t>
      </w:r>
    </w:p>
    <w:p w14:paraId="4A903B58" w14:textId="77777777" w:rsidR="00655E95" w:rsidRPr="00133BBF" w:rsidRDefault="003E7E9A" w:rsidP="00677747">
      <w:pPr>
        <w:pStyle w:val="Normal1"/>
        <w:widowControl w:val="0"/>
        <w:numPr>
          <w:ilvl w:val="0"/>
          <w:numId w:val="2"/>
        </w:numPr>
        <w:spacing w:before="240" w:after="120"/>
      </w:pPr>
      <w:r w:rsidRPr="00133BBF">
        <w:rPr>
          <w:rFonts w:ascii="Calibri" w:eastAsia="Calibri" w:hAnsi="Calibri" w:cs="Calibri"/>
        </w:rPr>
        <w:t xml:space="preserve">Field-based experiences </w:t>
      </w:r>
      <w:proofErr w:type="gramStart"/>
      <w:r w:rsidRPr="00133BBF">
        <w:rPr>
          <w:rFonts w:ascii="Calibri" w:eastAsia="Calibri" w:hAnsi="Calibri" w:cs="Calibri"/>
        </w:rPr>
        <w:t>are fully embedded</w:t>
      </w:r>
      <w:proofErr w:type="gramEnd"/>
      <w:r w:rsidRPr="00133BBF">
        <w:rPr>
          <w:rFonts w:ascii="Calibri" w:eastAsia="Calibri" w:hAnsi="Calibri" w:cs="Calibri"/>
        </w:rPr>
        <w:t xml:space="preserve"> in program coursework </w:t>
      </w:r>
      <w:r w:rsidR="008B60A3" w:rsidRPr="00133BBF">
        <w:rPr>
          <w:rFonts w:ascii="Calibri" w:eastAsia="Calibri" w:hAnsi="Calibri" w:cs="Calibri"/>
        </w:rPr>
        <w:t>s</w:t>
      </w:r>
      <w:r w:rsidR="00C84272" w:rsidRPr="00133BBF">
        <w:rPr>
          <w:rFonts w:ascii="Calibri" w:eastAsia="Calibri" w:hAnsi="Calibri" w:cs="Calibri"/>
        </w:rPr>
        <w:t>uch that</w:t>
      </w:r>
      <w:r w:rsidRPr="00133BBF">
        <w:rPr>
          <w:rFonts w:ascii="Calibri" w:eastAsia="Calibri" w:hAnsi="Calibri" w:cs="Calibri"/>
        </w:rPr>
        <w:t xml:space="preserve"> connections between theory and practice are explicit (Field-Based Experiences Criterion 3).</w:t>
      </w:r>
    </w:p>
    <w:p w14:paraId="1A417776" w14:textId="77777777" w:rsidR="00655E95" w:rsidRPr="00133BBF" w:rsidRDefault="003E7E9A" w:rsidP="00677747">
      <w:pPr>
        <w:pStyle w:val="Normal1"/>
        <w:widowControl w:val="0"/>
        <w:numPr>
          <w:ilvl w:val="0"/>
          <w:numId w:val="2"/>
        </w:numPr>
        <w:spacing w:before="240" w:after="120"/>
      </w:pPr>
      <w:r w:rsidRPr="00133BBF">
        <w:rPr>
          <w:rFonts w:ascii="Calibri" w:eastAsia="Calibri" w:hAnsi="Calibri" w:cs="Calibri"/>
        </w:rPr>
        <w:t>Responsibilities in pre-practicum and practicum experiences build to candidate readiness for full responsibility in licensure role (Field-Based Experiences Criterion 4).</w:t>
      </w:r>
    </w:p>
    <w:p w14:paraId="5C90B133" w14:textId="1BACA71B" w:rsidR="00655E95" w:rsidRPr="00EB5595" w:rsidRDefault="003E7E9A" w:rsidP="00677747">
      <w:pPr>
        <w:pStyle w:val="Normal1"/>
        <w:widowControl w:val="0"/>
        <w:numPr>
          <w:ilvl w:val="0"/>
          <w:numId w:val="2"/>
        </w:numPr>
        <w:spacing w:before="240" w:after="120"/>
      </w:pPr>
      <w:r w:rsidRPr="00133BBF">
        <w:rPr>
          <w:rFonts w:ascii="Calibri" w:eastAsia="Calibri" w:hAnsi="Calibri" w:cs="Calibri"/>
        </w:rPr>
        <w:t>Candidates receive high-quality, targeted feedback during field-based experiences that improves their practice (Field-Based Experiences Criterion 10).</w:t>
      </w:r>
    </w:p>
    <w:p w14:paraId="35EAC85F" w14:textId="77777777" w:rsidR="00655E95" w:rsidRPr="00133BBF" w:rsidRDefault="003E7E9A" w:rsidP="00677747">
      <w:pPr>
        <w:pStyle w:val="Normal1"/>
        <w:widowControl w:val="0"/>
        <w:numPr>
          <w:ilvl w:val="0"/>
          <w:numId w:val="2"/>
        </w:numPr>
        <w:spacing w:before="240" w:after="120"/>
      </w:pPr>
      <w:r w:rsidRPr="00133BBF">
        <w:rPr>
          <w:rFonts w:ascii="Calibri" w:eastAsia="Calibri" w:hAnsi="Calibri" w:cs="Calibri"/>
        </w:rPr>
        <w:t xml:space="preserve">Candidate readiness for the licensure role </w:t>
      </w:r>
      <w:proofErr w:type="gramStart"/>
      <w:r w:rsidRPr="00133BBF">
        <w:rPr>
          <w:rFonts w:ascii="Calibri" w:eastAsia="Calibri" w:hAnsi="Calibri" w:cs="Calibri"/>
        </w:rPr>
        <w:t>is measured</w:t>
      </w:r>
      <w:proofErr w:type="gramEnd"/>
      <w:r w:rsidRPr="00133BBF">
        <w:rPr>
          <w:rFonts w:ascii="Calibri" w:eastAsia="Calibri" w:hAnsi="Calibri" w:cs="Calibri"/>
        </w:rPr>
        <w:t xml:space="preserve"> using a performance assessment that is implemented consistently across/within programs and rigorously such that only candidates who are ready to make a positive impact for PK-12 students in the licensure role complete the program (Field-Based Experiences Criterion 12).</w:t>
      </w:r>
    </w:p>
    <w:p w14:paraId="0B15ABFF" w14:textId="77777777" w:rsidR="00655E95" w:rsidRPr="00133BBF" w:rsidRDefault="003E7E9A" w:rsidP="00677747">
      <w:pPr>
        <w:pStyle w:val="Normal1"/>
        <w:widowControl w:val="0"/>
        <w:numPr>
          <w:ilvl w:val="0"/>
          <w:numId w:val="2"/>
        </w:numPr>
        <w:spacing w:before="240" w:after="120"/>
        <w:rPr>
          <w:rFonts w:asciiTheme="majorHAnsi" w:hAnsiTheme="majorHAnsi"/>
        </w:rPr>
      </w:pPr>
      <w:r w:rsidRPr="00133BBF">
        <w:rPr>
          <w:rFonts w:asciiTheme="majorHAnsi" w:eastAsia="Calibri" w:hAnsiTheme="majorHAnsi" w:cs="Calibri"/>
        </w:rPr>
        <w:t xml:space="preserve">Candidates at risk of not meeting standards </w:t>
      </w:r>
      <w:proofErr w:type="gramStart"/>
      <w:r w:rsidRPr="00133BBF">
        <w:rPr>
          <w:rFonts w:asciiTheme="majorHAnsi" w:eastAsia="Calibri" w:hAnsiTheme="majorHAnsi" w:cs="Calibri"/>
        </w:rPr>
        <w:t>are identified</w:t>
      </w:r>
      <w:proofErr w:type="gramEnd"/>
      <w:r w:rsidRPr="00133BBF">
        <w:rPr>
          <w:rFonts w:asciiTheme="majorHAnsi" w:eastAsia="Calibri" w:hAnsiTheme="majorHAnsi" w:cs="Calibri"/>
        </w:rPr>
        <w:t xml:space="preserve"> </w:t>
      </w:r>
      <w:r w:rsidRPr="00133BBF">
        <w:rPr>
          <w:rFonts w:asciiTheme="majorHAnsi" w:eastAsia="Arial" w:hAnsiTheme="majorHAnsi" w:cs="Arial"/>
          <w:highlight w:val="white"/>
        </w:rPr>
        <w:t>throughout the program (in pre-practicum, during coursework, and while in practicum)</w:t>
      </w:r>
      <w:r w:rsidR="00AE4A43" w:rsidRPr="00133BBF">
        <w:rPr>
          <w:rFonts w:asciiTheme="majorHAnsi" w:eastAsia="Arial" w:hAnsiTheme="majorHAnsi" w:cs="Arial"/>
        </w:rPr>
        <w:t xml:space="preserve"> </w:t>
      </w:r>
      <w:r w:rsidRPr="00133BBF">
        <w:rPr>
          <w:rFonts w:asciiTheme="majorHAnsi" w:eastAsia="Calibri" w:hAnsiTheme="majorHAnsi" w:cs="Calibri"/>
        </w:rPr>
        <w:t>and receive necessary supports and guidance to improve or exit the program (The Candidate Criterion 4).</w:t>
      </w:r>
    </w:p>
    <w:p w14:paraId="5974140D" w14:textId="77777777" w:rsidR="00655E95" w:rsidRPr="00133BBF" w:rsidRDefault="003E7E9A" w:rsidP="00677747">
      <w:pPr>
        <w:pStyle w:val="Normal1"/>
        <w:widowControl w:val="0"/>
        <w:numPr>
          <w:ilvl w:val="0"/>
          <w:numId w:val="2"/>
        </w:numPr>
        <w:spacing w:before="240" w:after="360"/>
        <w:rPr>
          <w:rFonts w:asciiTheme="majorHAnsi" w:hAnsiTheme="majorHAnsi"/>
        </w:rPr>
      </w:pPr>
      <w:r w:rsidRPr="00133BBF">
        <w:rPr>
          <w:rFonts w:asciiTheme="majorHAnsi" w:eastAsia="Arial" w:hAnsiTheme="majorHAnsi" w:cs="Arial"/>
          <w:highlight w:val="white"/>
        </w:rPr>
        <w:t>Sponsoring Organization oversees and has systems in place to monitor all individual licensure programs to ensure each is effective</w:t>
      </w:r>
      <w:r w:rsidRPr="00133BBF">
        <w:rPr>
          <w:rFonts w:asciiTheme="majorHAnsi" w:eastAsia="Calibri" w:hAnsiTheme="majorHAnsi" w:cs="Calibri"/>
        </w:rPr>
        <w:t xml:space="preserve"> (Continuous Improvement Criterion 1).</w:t>
      </w:r>
    </w:p>
    <w:p w14:paraId="55321C53" w14:textId="77777777" w:rsidR="00655E95" w:rsidRDefault="003E7E9A" w:rsidP="00677747">
      <w:pPr>
        <w:pStyle w:val="Heading2"/>
        <w:keepNext w:val="0"/>
        <w:widowControl w:val="0"/>
        <w:spacing w:before="360"/>
        <w:rPr>
          <w:color w:val="F79646"/>
        </w:rPr>
      </w:pPr>
      <w:bookmarkStart w:id="6" w:name="_Toc504653491"/>
      <w:r>
        <w:rPr>
          <w:color w:val="F79646"/>
        </w:rPr>
        <w:t>Observations and Feedback</w:t>
      </w:r>
      <w:bookmarkEnd w:id="6"/>
    </w:p>
    <w:p w14:paraId="6D39C24B" w14:textId="08023BEB" w:rsidR="00CA24BB" w:rsidRDefault="008972E5" w:rsidP="00EB5595">
      <w:pPr>
        <w:pStyle w:val="Normal1"/>
        <w:rPr>
          <w:rFonts w:ascii="Calibri" w:eastAsia="Calibri" w:hAnsi="Calibri" w:cs="Calibri"/>
        </w:rPr>
      </w:pPr>
      <w:r>
        <w:rPr>
          <w:rFonts w:asciiTheme="majorHAnsi" w:eastAsia="Calibri" w:hAnsiTheme="majorHAnsi" w:cs="Calibri"/>
        </w:rPr>
        <w:t xml:space="preserve">In order for candidates to be ready to demonstrate their skills during the practicum, they must first have sufficient, robust opportunities to learn, observe, and practice during the pre-practicum.  Providing </w:t>
      </w:r>
      <w:proofErr w:type="gramStart"/>
      <w:r>
        <w:rPr>
          <w:rFonts w:asciiTheme="majorHAnsi" w:eastAsia="Calibri" w:hAnsiTheme="majorHAnsi" w:cs="Calibri"/>
        </w:rPr>
        <w:t>high-quality</w:t>
      </w:r>
      <w:proofErr w:type="gramEnd"/>
      <w:r>
        <w:rPr>
          <w:rFonts w:asciiTheme="majorHAnsi" w:eastAsia="Calibri" w:hAnsiTheme="majorHAnsi" w:cs="Calibri"/>
        </w:rPr>
        <w:t>, targeted feedback during early field-based experiences is</w:t>
      </w:r>
      <w:r w:rsidR="002232B9">
        <w:rPr>
          <w:rFonts w:asciiTheme="majorHAnsi" w:eastAsia="Calibri" w:hAnsiTheme="majorHAnsi" w:cs="Calibri"/>
        </w:rPr>
        <w:t xml:space="preserve"> therefore</w:t>
      </w:r>
      <w:r>
        <w:rPr>
          <w:rFonts w:asciiTheme="majorHAnsi" w:eastAsia="Calibri" w:hAnsiTheme="majorHAnsi" w:cs="Calibri"/>
        </w:rPr>
        <w:t xml:space="preserve"> critical to candidates’ growth, development, and ultimate readiness to assume full responsibility for the licensure role.</w:t>
      </w:r>
    </w:p>
    <w:p w14:paraId="7CFCCEC4" w14:textId="2300D7C8" w:rsidR="0088368C" w:rsidRDefault="002232B9" w:rsidP="00EB5595">
      <w:pPr>
        <w:pStyle w:val="Normal1"/>
        <w:rPr>
          <w:rFonts w:asciiTheme="majorHAnsi" w:eastAsia="Calibri" w:hAnsiTheme="majorHAnsi" w:cs="Calibri"/>
        </w:rPr>
      </w:pPr>
      <w:r>
        <w:rPr>
          <w:rFonts w:ascii="Calibri" w:eastAsia="Calibri" w:hAnsi="Calibri" w:cs="Calibri"/>
        </w:rPr>
        <w:t xml:space="preserve">Candidates must receive </w:t>
      </w:r>
      <w:r>
        <w:rPr>
          <w:rFonts w:asciiTheme="majorHAnsi" w:eastAsia="Calibri" w:hAnsiTheme="majorHAnsi" w:cs="Calibri"/>
        </w:rPr>
        <w:t>high-quality, targeted feedback during field-based experiences that improves their practice (FBE 10), and as such, Sponsoring Organizations shall design and implement pre-practicum experiences to ensure that candidates receive feedback:</w:t>
      </w:r>
    </w:p>
    <w:p w14:paraId="09953E67" w14:textId="52DA30E2" w:rsidR="0088368C" w:rsidRDefault="003229E9" w:rsidP="00EB5595">
      <w:pPr>
        <w:pStyle w:val="Normal1"/>
        <w:numPr>
          <w:ilvl w:val="0"/>
          <w:numId w:val="17"/>
        </w:numPr>
        <w:rPr>
          <w:rFonts w:asciiTheme="majorHAnsi" w:eastAsia="Calibri" w:hAnsiTheme="majorHAnsi" w:cs="Calibri"/>
        </w:rPr>
      </w:pPr>
      <w:r>
        <w:rPr>
          <w:rFonts w:asciiTheme="majorHAnsi" w:eastAsia="Calibri" w:hAnsiTheme="majorHAnsi" w:cs="Calibri"/>
        </w:rPr>
        <w:t>Based on</w:t>
      </w:r>
      <w:r w:rsidR="0078027C" w:rsidRPr="003506A3">
        <w:rPr>
          <w:rFonts w:asciiTheme="majorHAnsi" w:eastAsia="Calibri" w:hAnsiTheme="majorHAnsi" w:cs="Calibri"/>
        </w:rPr>
        <w:t xml:space="preserve"> </w:t>
      </w:r>
      <w:r>
        <w:rPr>
          <w:rFonts w:asciiTheme="majorHAnsi" w:eastAsia="Calibri" w:hAnsiTheme="majorHAnsi" w:cs="Calibri"/>
        </w:rPr>
        <w:t xml:space="preserve">observations of </w:t>
      </w:r>
      <w:r w:rsidR="0078027C" w:rsidRPr="003506A3">
        <w:rPr>
          <w:rFonts w:asciiTheme="majorHAnsi" w:eastAsia="Calibri" w:hAnsiTheme="majorHAnsi" w:cs="Calibri"/>
        </w:rPr>
        <w:t>their practice of the PSTs and SMKs in PK-12 settings and/or with PK-12 students</w:t>
      </w:r>
      <w:r w:rsidR="0078027C">
        <w:rPr>
          <w:rFonts w:asciiTheme="majorHAnsi" w:eastAsia="Calibri" w:hAnsiTheme="majorHAnsi" w:cs="Calibri"/>
        </w:rPr>
        <w:t xml:space="preserve">. Where </w:t>
      </w:r>
      <w:r w:rsidR="0078027C" w:rsidRPr="003506A3">
        <w:rPr>
          <w:rFonts w:asciiTheme="majorHAnsi" w:eastAsia="Calibri" w:hAnsiTheme="majorHAnsi" w:cs="Calibri"/>
        </w:rPr>
        <w:t>appropriate and applicable, observations may be conducted using video/streaming technology, assuming teacher-student interaction is visible in the video.</w:t>
      </w:r>
    </w:p>
    <w:p w14:paraId="00A5FE83" w14:textId="16FF4F0C" w:rsidR="00370FFF" w:rsidRDefault="002232B9" w:rsidP="00EB5595">
      <w:pPr>
        <w:pStyle w:val="Normal1"/>
        <w:numPr>
          <w:ilvl w:val="0"/>
          <w:numId w:val="17"/>
        </w:numPr>
        <w:rPr>
          <w:rFonts w:asciiTheme="majorHAnsi" w:eastAsia="Calibri" w:hAnsiTheme="majorHAnsi" w:cs="Calibri"/>
        </w:rPr>
      </w:pPr>
      <w:r>
        <w:rPr>
          <w:rFonts w:asciiTheme="majorHAnsi" w:eastAsia="Calibri" w:hAnsiTheme="majorHAnsi" w:cs="Calibri"/>
        </w:rPr>
        <w:t>A</w:t>
      </w:r>
      <w:r w:rsidR="00FE701A" w:rsidRPr="00EB5595">
        <w:rPr>
          <w:rFonts w:asciiTheme="majorHAnsi" w:eastAsia="Calibri" w:hAnsiTheme="majorHAnsi" w:cs="Calibri"/>
        </w:rPr>
        <w:t xml:space="preserve">t least </w:t>
      </w:r>
      <w:r w:rsidR="006206CA">
        <w:rPr>
          <w:rFonts w:asciiTheme="majorHAnsi" w:eastAsia="Calibri" w:hAnsiTheme="majorHAnsi" w:cs="Calibri"/>
        </w:rPr>
        <w:t>two</w:t>
      </w:r>
      <w:r w:rsidR="00FE701A" w:rsidRPr="00EB5595">
        <w:rPr>
          <w:rFonts w:asciiTheme="majorHAnsi" w:eastAsia="Calibri" w:hAnsiTheme="majorHAnsi" w:cs="Calibri"/>
        </w:rPr>
        <w:t xml:space="preserve"> times over the duration of the pre-practicum experience.  Feedback </w:t>
      </w:r>
      <w:proofErr w:type="gramStart"/>
      <w:r w:rsidR="00FE701A" w:rsidRPr="00EB5595">
        <w:rPr>
          <w:rFonts w:asciiTheme="majorHAnsi" w:eastAsia="Calibri" w:hAnsiTheme="majorHAnsi" w:cs="Calibri"/>
        </w:rPr>
        <w:t>may be provided</w:t>
      </w:r>
      <w:proofErr w:type="gramEnd"/>
      <w:r w:rsidR="00FE701A" w:rsidRPr="00EB5595">
        <w:rPr>
          <w:rFonts w:asciiTheme="majorHAnsi" w:eastAsia="Calibri" w:hAnsiTheme="majorHAnsi" w:cs="Calibri"/>
        </w:rPr>
        <w:t xml:space="preserve"> through formal pre- and post-conferences or through more informal coaching models.</w:t>
      </w:r>
    </w:p>
    <w:p w14:paraId="3B530516" w14:textId="19DE3FE4" w:rsidR="0088368C" w:rsidRDefault="002232B9" w:rsidP="00EB5595">
      <w:pPr>
        <w:pStyle w:val="Normal1"/>
        <w:numPr>
          <w:ilvl w:val="0"/>
          <w:numId w:val="17"/>
        </w:numPr>
        <w:rPr>
          <w:rFonts w:asciiTheme="majorHAnsi" w:eastAsia="Calibri" w:hAnsiTheme="majorHAnsi" w:cs="Calibri"/>
        </w:rPr>
      </w:pPr>
      <w:r>
        <w:rPr>
          <w:rFonts w:asciiTheme="majorHAnsi" w:eastAsia="Calibri" w:hAnsiTheme="majorHAnsi" w:cs="Calibri"/>
        </w:rPr>
        <w:lastRenderedPageBreak/>
        <w:t>B</w:t>
      </w:r>
      <w:r w:rsidR="00FE701A" w:rsidRPr="00EB5595">
        <w:rPr>
          <w:rFonts w:asciiTheme="majorHAnsi" w:eastAsia="Calibri" w:hAnsiTheme="majorHAnsi" w:cs="Calibri"/>
        </w:rPr>
        <w:t>y Supervising Practitioners,</w:t>
      </w:r>
      <w:r w:rsidR="00965BA5" w:rsidRPr="00370FFF">
        <w:rPr>
          <w:rFonts w:asciiTheme="majorHAnsi" w:eastAsia="Calibri" w:hAnsiTheme="majorHAnsi" w:cs="Calibri"/>
        </w:rPr>
        <w:t xml:space="preserve"> </w:t>
      </w:r>
      <w:r w:rsidR="00FE701A" w:rsidRPr="00EB5595">
        <w:rPr>
          <w:rFonts w:asciiTheme="majorHAnsi" w:eastAsia="Calibri" w:hAnsiTheme="majorHAnsi" w:cs="Calibri"/>
        </w:rPr>
        <w:t>Program Supervisors, and/or course faculty</w:t>
      </w:r>
      <w:r w:rsidR="006206CA">
        <w:rPr>
          <w:rFonts w:asciiTheme="majorHAnsi" w:eastAsia="Calibri" w:hAnsiTheme="majorHAnsi" w:cs="Calibri"/>
        </w:rPr>
        <w:t>/instructors</w:t>
      </w:r>
      <w:r w:rsidR="00FE701A" w:rsidRPr="00EB5595">
        <w:rPr>
          <w:rFonts w:asciiTheme="majorHAnsi" w:eastAsia="Calibri" w:hAnsiTheme="majorHAnsi" w:cs="Calibri"/>
        </w:rPr>
        <w:t>.</w:t>
      </w:r>
      <w:r w:rsidR="00B8368D" w:rsidRPr="00370FFF">
        <w:rPr>
          <w:rFonts w:asciiTheme="majorHAnsi" w:eastAsia="Calibri" w:hAnsiTheme="majorHAnsi" w:cs="Calibri"/>
        </w:rPr>
        <w:t xml:space="preserve"> </w:t>
      </w:r>
      <w:r w:rsidR="006206CA">
        <w:rPr>
          <w:rFonts w:asciiTheme="majorHAnsi" w:eastAsia="Calibri" w:hAnsiTheme="majorHAnsi" w:cs="Calibri"/>
        </w:rPr>
        <w:t xml:space="preserve">Host teachers, unless they </w:t>
      </w:r>
      <w:proofErr w:type="gramStart"/>
      <w:r w:rsidR="006206CA">
        <w:rPr>
          <w:rFonts w:asciiTheme="majorHAnsi" w:eastAsia="Calibri" w:hAnsiTheme="majorHAnsi" w:cs="Calibri"/>
        </w:rPr>
        <w:t>can also be classified</w:t>
      </w:r>
      <w:proofErr w:type="gramEnd"/>
      <w:r w:rsidR="006206CA">
        <w:rPr>
          <w:rFonts w:asciiTheme="majorHAnsi" w:eastAsia="Calibri" w:hAnsiTheme="majorHAnsi" w:cs="Calibri"/>
        </w:rPr>
        <w:t xml:space="preserve"> as Supervising Practitioners, should not be the ones primarily responsible for the observation and feedback cycles outlined here. They may provide informal support of feedback. </w:t>
      </w:r>
      <w:r w:rsidR="00B8368D" w:rsidRPr="00370FFF">
        <w:rPr>
          <w:rFonts w:asciiTheme="majorHAnsi" w:eastAsia="Calibri" w:hAnsiTheme="majorHAnsi" w:cs="Calibri"/>
        </w:rPr>
        <w:t>Sponsoring Organizations must ensure that the individuals responsible for providing feedback to candidates for the purpose of this requirement receive the training and support necessary to do so effectively (FBE 9</w:t>
      </w:r>
      <w:r w:rsidR="0014370D" w:rsidRPr="00370FFF">
        <w:rPr>
          <w:rFonts w:asciiTheme="majorHAnsi" w:eastAsia="Calibri" w:hAnsiTheme="majorHAnsi" w:cs="Calibri"/>
        </w:rPr>
        <w:t>).</w:t>
      </w:r>
      <w:r w:rsidR="00370FFF">
        <w:rPr>
          <w:rFonts w:asciiTheme="majorHAnsi" w:eastAsia="Calibri" w:hAnsiTheme="majorHAnsi" w:cs="Calibri"/>
        </w:rPr>
        <w:t xml:space="preserve"> </w:t>
      </w:r>
      <w:r w:rsidR="00370FFF" w:rsidRPr="00370FFF">
        <w:rPr>
          <w:rFonts w:asciiTheme="majorHAnsi" w:eastAsia="Calibri" w:hAnsiTheme="majorHAnsi" w:cs="Calibri"/>
        </w:rPr>
        <w:t xml:space="preserve"> </w:t>
      </w:r>
      <w:r>
        <w:rPr>
          <w:rFonts w:asciiTheme="majorHAnsi" w:eastAsia="Calibri" w:hAnsiTheme="majorHAnsi" w:cs="Calibri"/>
        </w:rPr>
        <w:t>In addition, i</w:t>
      </w:r>
      <w:r w:rsidR="00F467BB">
        <w:rPr>
          <w:rFonts w:asciiTheme="majorHAnsi" w:eastAsia="Calibri" w:hAnsiTheme="majorHAnsi" w:cs="Calibri"/>
        </w:rPr>
        <w:t xml:space="preserve">t is highly recommended that at least </w:t>
      </w:r>
      <w:proofErr w:type="gramStart"/>
      <w:r w:rsidR="00F467BB">
        <w:rPr>
          <w:rFonts w:asciiTheme="majorHAnsi" w:eastAsia="Calibri" w:hAnsiTheme="majorHAnsi" w:cs="Calibri"/>
        </w:rPr>
        <w:t xml:space="preserve">one of the </w:t>
      </w:r>
      <w:r w:rsidR="006206CA">
        <w:rPr>
          <w:rFonts w:asciiTheme="majorHAnsi" w:eastAsia="Calibri" w:hAnsiTheme="majorHAnsi" w:cs="Calibri"/>
        </w:rPr>
        <w:t>two</w:t>
      </w:r>
      <w:r w:rsidR="00F467BB">
        <w:rPr>
          <w:rFonts w:asciiTheme="majorHAnsi" w:eastAsia="Calibri" w:hAnsiTheme="majorHAnsi" w:cs="Calibri"/>
        </w:rPr>
        <w:t xml:space="preserve"> required observations be conducted by faculty</w:t>
      </w:r>
      <w:proofErr w:type="gramEnd"/>
      <w:r w:rsidR="00F467BB">
        <w:rPr>
          <w:rFonts w:asciiTheme="majorHAnsi" w:eastAsia="Calibri" w:hAnsiTheme="majorHAnsi" w:cs="Calibri"/>
        </w:rPr>
        <w:t xml:space="preserve"> in order to build explicit connections between theory and practice (FBE 3).</w:t>
      </w:r>
    </w:p>
    <w:p w14:paraId="73147A00" w14:textId="77777777" w:rsidR="00655E95" w:rsidRDefault="003E7E9A" w:rsidP="00AE4A43">
      <w:pPr>
        <w:pStyle w:val="Heading2"/>
        <w:spacing w:before="360"/>
        <w:rPr>
          <w:color w:val="F79646"/>
        </w:rPr>
      </w:pPr>
      <w:bookmarkStart w:id="7" w:name="_Toc504653492"/>
      <w:r>
        <w:rPr>
          <w:color w:val="F79646"/>
        </w:rPr>
        <w:t>Gateway Assessments</w:t>
      </w:r>
      <w:bookmarkEnd w:id="7"/>
    </w:p>
    <w:p w14:paraId="6B8E71D7" w14:textId="72A360B8" w:rsidR="009A2710" w:rsidRDefault="0050794B">
      <w:pPr>
        <w:pStyle w:val="Normal1"/>
        <w:rPr>
          <w:rFonts w:ascii="Calibri" w:eastAsia="Calibri" w:hAnsi="Calibri" w:cs="Calibri"/>
        </w:rPr>
      </w:pPr>
      <w:r>
        <w:rPr>
          <w:rFonts w:ascii="Calibri" w:eastAsia="Calibri" w:hAnsi="Calibri" w:cs="Calibri"/>
        </w:rPr>
        <w:t xml:space="preserve">It is imperative that </w:t>
      </w:r>
      <w:r w:rsidR="003E7E9A" w:rsidRPr="00133BBF">
        <w:rPr>
          <w:rFonts w:ascii="Calibri" w:eastAsia="Calibri" w:hAnsi="Calibri" w:cs="Calibri"/>
        </w:rPr>
        <w:t>Sponsoring Organizations</w:t>
      </w:r>
      <w:r>
        <w:rPr>
          <w:rFonts w:ascii="Calibri" w:eastAsia="Calibri" w:hAnsi="Calibri" w:cs="Calibri"/>
        </w:rPr>
        <w:t xml:space="preserve"> </w:t>
      </w:r>
      <w:r w:rsidR="003E7E9A" w:rsidRPr="00133BBF">
        <w:rPr>
          <w:rFonts w:ascii="Calibri" w:eastAsia="Calibri" w:hAnsi="Calibri" w:cs="Calibri"/>
        </w:rPr>
        <w:t xml:space="preserve">evaluate candidate readiness </w:t>
      </w:r>
      <w:r w:rsidR="00DF6326" w:rsidRPr="00133BBF">
        <w:rPr>
          <w:rFonts w:ascii="Calibri" w:eastAsia="Calibri" w:hAnsi="Calibri" w:cs="Calibri"/>
        </w:rPr>
        <w:t xml:space="preserve">prior to the practicum </w:t>
      </w:r>
      <w:r w:rsidR="00DF6326">
        <w:rPr>
          <w:rFonts w:ascii="Calibri" w:eastAsia="Calibri" w:hAnsi="Calibri" w:cs="Calibri"/>
        </w:rPr>
        <w:t>in order to 1) identify</w:t>
      </w:r>
      <w:r w:rsidR="00DF6326" w:rsidRPr="00133BBF">
        <w:rPr>
          <w:rFonts w:ascii="Calibri" w:eastAsia="Calibri" w:hAnsi="Calibri" w:cs="Calibri"/>
        </w:rPr>
        <w:t xml:space="preserve"> at-risk candidates </w:t>
      </w:r>
      <w:r w:rsidR="00DF6326">
        <w:rPr>
          <w:rFonts w:ascii="Calibri" w:eastAsia="Calibri" w:hAnsi="Calibri" w:cs="Calibri"/>
        </w:rPr>
        <w:t>and</w:t>
      </w:r>
      <w:r w:rsidR="00DF6326" w:rsidRPr="00133BBF">
        <w:rPr>
          <w:rFonts w:ascii="Calibri" w:eastAsia="Calibri" w:hAnsi="Calibri" w:cs="Calibri"/>
        </w:rPr>
        <w:t xml:space="preserve"> provide them with the necessary supports and guidance to improve or exit the program (CAN 4)</w:t>
      </w:r>
      <w:r w:rsidR="00DF6326">
        <w:rPr>
          <w:rFonts w:ascii="Calibri" w:eastAsia="Calibri" w:hAnsi="Calibri" w:cs="Calibri"/>
        </w:rPr>
        <w:t xml:space="preserve"> and 2) monitor individual licensure programs to ensure that each is effective (CI 1)</w:t>
      </w:r>
      <w:r w:rsidR="00DF6326" w:rsidRPr="00133BBF">
        <w:rPr>
          <w:rFonts w:ascii="Calibri" w:eastAsia="Calibri" w:hAnsi="Calibri" w:cs="Calibri"/>
        </w:rPr>
        <w:t xml:space="preserve">. </w:t>
      </w:r>
      <w:r w:rsidR="00DD250A">
        <w:rPr>
          <w:rFonts w:ascii="Calibri" w:eastAsia="Calibri" w:hAnsi="Calibri" w:cs="Calibri"/>
        </w:rPr>
        <w:t xml:space="preserve"> </w:t>
      </w:r>
    </w:p>
    <w:p w14:paraId="73993966" w14:textId="5187EB71" w:rsidR="00966252" w:rsidRDefault="00FC6217">
      <w:pPr>
        <w:pStyle w:val="Normal1"/>
        <w:rPr>
          <w:rFonts w:ascii="Calibri" w:eastAsia="Calibri" w:hAnsi="Calibri" w:cs="Calibri"/>
        </w:rPr>
      </w:pPr>
      <w:r>
        <w:rPr>
          <w:rFonts w:ascii="Calibri" w:eastAsia="Calibri" w:hAnsi="Calibri" w:cs="Calibri"/>
        </w:rPr>
        <w:t xml:space="preserve">Sponsoring Organizations shall administer </w:t>
      </w:r>
      <w:r w:rsidR="00DF25C1">
        <w:rPr>
          <w:rFonts w:ascii="Calibri" w:eastAsia="Calibri" w:hAnsi="Calibri" w:cs="Calibri"/>
        </w:rPr>
        <w:t>g</w:t>
      </w:r>
      <w:r w:rsidR="003E7E9A" w:rsidRPr="00133BBF">
        <w:rPr>
          <w:rFonts w:ascii="Calibri" w:eastAsia="Calibri" w:hAnsi="Calibri" w:cs="Calibri"/>
        </w:rPr>
        <w:t xml:space="preserve">ateway </w:t>
      </w:r>
      <w:r w:rsidR="00DF25C1">
        <w:rPr>
          <w:rFonts w:ascii="Calibri" w:eastAsia="Calibri" w:hAnsi="Calibri" w:cs="Calibri"/>
        </w:rPr>
        <w:t>a</w:t>
      </w:r>
      <w:r w:rsidR="00DF25C1" w:rsidRPr="00133BBF">
        <w:rPr>
          <w:rFonts w:ascii="Calibri" w:eastAsia="Calibri" w:hAnsi="Calibri" w:cs="Calibri"/>
        </w:rPr>
        <w:t>ssessment</w:t>
      </w:r>
      <w:r w:rsidR="00DF25C1">
        <w:rPr>
          <w:rFonts w:ascii="Calibri" w:eastAsia="Calibri" w:hAnsi="Calibri" w:cs="Calibri"/>
        </w:rPr>
        <w:t>s</w:t>
      </w:r>
      <w:r w:rsidR="003E7E9A" w:rsidRPr="00133BBF">
        <w:rPr>
          <w:rFonts w:ascii="Calibri" w:eastAsia="Calibri" w:hAnsi="Calibri" w:cs="Calibri"/>
        </w:rPr>
        <w:t xml:space="preserve"> </w:t>
      </w:r>
      <w:r>
        <w:rPr>
          <w:rFonts w:ascii="Calibri" w:eastAsia="Calibri" w:hAnsi="Calibri" w:cs="Calibri"/>
        </w:rPr>
        <w:t>to benchmark candidate readiness</w:t>
      </w:r>
      <w:r w:rsidR="00B52F72">
        <w:rPr>
          <w:rFonts w:ascii="Calibri" w:eastAsia="Calibri" w:hAnsi="Calibri" w:cs="Calibri"/>
        </w:rPr>
        <w:t xml:space="preserve"> </w:t>
      </w:r>
      <w:r w:rsidR="00966252">
        <w:rPr>
          <w:rFonts w:ascii="Calibri" w:eastAsia="Calibri" w:hAnsi="Calibri" w:cs="Calibri"/>
        </w:rPr>
        <w:t xml:space="preserve">at </w:t>
      </w:r>
      <w:proofErr w:type="spellStart"/>
      <w:r w:rsidR="00966252">
        <w:rPr>
          <w:rFonts w:ascii="Calibri" w:eastAsia="Calibri" w:hAnsi="Calibri" w:cs="Calibri"/>
        </w:rPr>
        <w:t>at</w:t>
      </w:r>
      <w:proofErr w:type="spellEnd"/>
      <w:r w:rsidR="00966252">
        <w:rPr>
          <w:rFonts w:ascii="Calibri" w:eastAsia="Calibri" w:hAnsi="Calibri" w:cs="Calibri"/>
        </w:rPr>
        <w:t xml:space="preserve"> least two </w:t>
      </w:r>
      <w:r w:rsidR="00B52F72">
        <w:rPr>
          <w:rFonts w:ascii="Calibri" w:eastAsia="Calibri" w:hAnsi="Calibri" w:cs="Calibri"/>
        </w:rPr>
        <w:t xml:space="preserve">junctures </w:t>
      </w:r>
      <w:r w:rsidR="00655E95" w:rsidRPr="00133BBF">
        <w:rPr>
          <w:rFonts w:ascii="Calibri" w:eastAsia="Calibri" w:hAnsi="Calibri" w:cs="Calibri"/>
        </w:rPr>
        <w:t>prior to the practicum</w:t>
      </w:r>
      <w:r w:rsidR="009A2710">
        <w:rPr>
          <w:rFonts w:ascii="Calibri" w:eastAsia="Calibri" w:hAnsi="Calibri" w:cs="Calibri"/>
        </w:rPr>
        <w:t>.</w:t>
      </w:r>
      <w:r w:rsidR="000D1479">
        <w:rPr>
          <w:rFonts w:ascii="Calibri" w:eastAsia="Calibri" w:hAnsi="Calibri" w:cs="Calibri"/>
        </w:rPr>
        <w:t xml:space="preserve"> </w:t>
      </w:r>
      <w:r w:rsidR="00C056A7">
        <w:rPr>
          <w:rFonts w:ascii="Calibri" w:eastAsia="Calibri" w:hAnsi="Calibri" w:cs="Calibri"/>
        </w:rPr>
        <w:t xml:space="preserve"> </w:t>
      </w:r>
      <w:r w:rsidR="009A2710">
        <w:rPr>
          <w:rFonts w:ascii="Calibri" w:eastAsia="Calibri" w:hAnsi="Calibri" w:cs="Calibri"/>
        </w:rPr>
        <w:t xml:space="preserve">These gateway assessments are to be </w:t>
      </w:r>
      <w:proofErr w:type="gramStart"/>
      <w:r w:rsidR="009A2710">
        <w:rPr>
          <w:rFonts w:ascii="Calibri" w:eastAsia="Calibri" w:hAnsi="Calibri" w:cs="Calibri"/>
        </w:rPr>
        <w:t>selected</w:t>
      </w:r>
      <w:proofErr w:type="gramEnd"/>
      <w:r w:rsidR="009A2710">
        <w:rPr>
          <w:rFonts w:ascii="Calibri" w:eastAsia="Calibri" w:hAnsi="Calibri" w:cs="Calibri"/>
        </w:rPr>
        <w:t xml:space="preserve"> and/or designed by Sponsoring Organizations to meet the following criteria:</w:t>
      </w:r>
    </w:p>
    <w:p w14:paraId="23901C07" w14:textId="31B15A12" w:rsidR="007654DE" w:rsidRDefault="007654DE" w:rsidP="00EB5595">
      <w:pPr>
        <w:pStyle w:val="Normal1"/>
        <w:numPr>
          <w:ilvl w:val="0"/>
          <w:numId w:val="20"/>
        </w:numPr>
        <w:rPr>
          <w:rFonts w:ascii="Calibri" w:eastAsia="Calibri" w:hAnsi="Calibri" w:cs="Calibri"/>
        </w:rPr>
      </w:pPr>
      <w:r>
        <w:rPr>
          <w:rFonts w:ascii="Calibri" w:eastAsia="Calibri" w:hAnsi="Calibri" w:cs="Calibri"/>
        </w:rPr>
        <w:t xml:space="preserve">Involve a performance-based task assessing content-specific pedagogical skill (both PSTs and SMKs). One gateway must be </w:t>
      </w:r>
      <w:r w:rsidR="00370FFF">
        <w:rPr>
          <w:rFonts w:ascii="Calibri" w:eastAsia="Calibri" w:hAnsi="Calibri" w:cs="Calibri"/>
        </w:rPr>
        <w:t>conducted</w:t>
      </w:r>
      <w:r>
        <w:rPr>
          <w:rFonts w:ascii="Calibri" w:eastAsia="Calibri" w:hAnsi="Calibri" w:cs="Calibri"/>
        </w:rPr>
        <w:t xml:space="preserve"> in a PK-12 setting and/or with PK-12 st</w:t>
      </w:r>
      <w:r w:rsidR="000D1479">
        <w:rPr>
          <w:rFonts w:ascii="Calibri" w:eastAsia="Calibri" w:hAnsi="Calibri" w:cs="Calibri"/>
        </w:rPr>
        <w:t>udents (e.g.</w:t>
      </w:r>
      <w:r w:rsidR="00C056A7">
        <w:rPr>
          <w:rFonts w:ascii="Calibri" w:eastAsia="Calibri" w:hAnsi="Calibri" w:cs="Calibri"/>
        </w:rPr>
        <w:t xml:space="preserve"> in Stage 2)</w:t>
      </w:r>
      <w:r w:rsidR="000D1479">
        <w:rPr>
          <w:rFonts w:ascii="Calibri" w:eastAsia="Calibri" w:hAnsi="Calibri" w:cs="Calibri"/>
        </w:rPr>
        <w:t xml:space="preserve"> and the other </w:t>
      </w:r>
      <w:r w:rsidR="00370FFF">
        <w:rPr>
          <w:rFonts w:ascii="Calibri" w:eastAsia="Calibri" w:hAnsi="Calibri" w:cs="Calibri"/>
        </w:rPr>
        <w:t>may be conducted</w:t>
      </w:r>
      <w:r w:rsidR="000D1479">
        <w:rPr>
          <w:rFonts w:ascii="Calibri" w:eastAsia="Calibri" w:hAnsi="Calibri" w:cs="Calibri"/>
        </w:rPr>
        <w:t xml:space="preserve"> </w:t>
      </w:r>
      <w:r w:rsidR="00370FFF">
        <w:rPr>
          <w:rFonts w:ascii="Calibri" w:eastAsia="Calibri" w:hAnsi="Calibri" w:cs="Calibri"/>
        </w:rPr>
        <w:t xml:space="preserve">in coursework, such as through </w:t>
      </w:r>
      <w:r w:rsidR="000D1479">
        <w:rPr>
          <w:rFonts w:ascii="Calibri" w:eastAsia="Calibri" w:hAnsi="Calibri" w:cs="Calibri"/>
        </w:rPr>
        <w:t>a mixed-reality simulation (e.g. in Stage 1)</w:t>
      </w:r>
      <w:r w:rsidR="00C056A7">
        <w:rPr>
          <w:rFonts w:ascii="Calibri" w:eastAsia="Calibri" w:hAnsi="Calibri" w:cs="Calibri"/>
        </w:rPr>
        <w:t>.</w:t>
      </w:r>
      <w:r w:rsidR="00370FFF" w:rsidRPr="00370FFF">
        <w:rPr>
          <w:rFonts w:asciiTheme="majorHAnsi" w:hAnsiTheme="majorHAnsi"/>
        </w:rPr>
        <w:t xml:space="preserve"> </w:t>
      </w:r>
      <w:r w:rsidR="00370FFF" w:rsidRPr="00176444">
        <w:rPr>
          <w:rFonts w:asciiTheme="majorHAnsi" w:hAnsiTheme="majorHAnsi"/>
        </w:rPr>
        <w:t xml:space="preserve">Gateway assessments </w:t>
      </w:r>
      <w:proofErr w:type="gramStart"/>
      <w:r w:rsidR="00370FFF" w:rsidRPr="00176444">
        <w:rPr>
          <w:rFonts w:asciiTheme="majorHAnsi" w:hAnsiTheme="majorHAnsi"/>
        </w:rPr>
        <w:t xml:space="preserve">may </w:t>
      </w:r>
      <w:r w:rsidR="00370FFF">
        <w:rPr>
          <w:rFonts w:asciiTheme="majorHAnsi" w:hAnsiTheme="majorHAnsi"/>
        </w:rPr>
        <w:t xml:space="preserve">also </w:t>
      </w:r>
      <w:r w:rsidR="00370FFF" w:rsidRPr="00176444">
        <w:rPr>
          <w:rFonts w:asciiTheme="majorHAnsi" w:hAnsiTheme="majorHAnsi"/>
        </w:rPr>
        <w:t>be conducted</w:t>
      </w:r>
      <w:proofErr w:type="gramEnd"/>
      <w:r w:rsidR="00370FFF" w:rsidRPr="00176444">
        <w:rPr>
          <w:rFonts w:asciiTheme="majorHAnsi" w:hAnsiTheme="majorHAnsi"/>
        </w:rPr>
        <w:t xml:space="preserve"> as part of the observation and feedback process described in the section above.  </w:t>
      </w:r>
    </w:p>
    <w:p w14:paraId="790B2FE9" w14:textId="737586FC" w:rsidR="007654DE" w:rsidRDefault="007654DE" w:rsidP="00EB5595">
      <w:pPr>
        <w:pStyle w:val="Normal1"/>
        <w:numPr>
          <w:ilvl w:val="0"/>
          <w:numId w:val="20"/>
        </w:numPr>
        <w:rPr>
          <w:rFonts w:ascii="Calibri" w:eastAsia="Calibri" w:hAnsi="Calibri" w:cs="Calibri"/>
        </w:rPr>
      </w:pPr>
      <w:r>
        <w:rPr>
          <w:rFonts w:ascii="Calibri" w:eastAsia="Calibri" w:hAnsi="Calibri" w:cs="Calibri"/>
        </w:rPr>
        <w:t xml:space="preserve">Be administered consistently within a Sponsoring Organization’s licensure program area. For example, any candidate enrolled in a Sponsoring Organization’s Elementary 1-6 program </w:t>
      </w:r>
      <w:proofErr w:type="gramStart"/>
      <w:r>
        <w:rPr>
          <w:rFonts w:ascii="Calibri" w:eastAsia="Calibri" w:hAnsi="Calibri" w:cs="Calibri"/>
        </w:rPr>
        <w:t>will be expected</w:t>
      </w:r>
      <w:proofErr w:type="gramEnd"/>
      <w:r>
        <w:rPr>
          <w:rFonts w:ascii="Calibri" w:eastAsia="Calibri" w:hAnsi="Calibri" w:cs="Calibri"/>
        </w:rPr>
        <w:t xml:space="preserve"> to participate in and pass the same gateway assessment as identified by the Sponsoring Organization, regardless of their courses or instructor assignment. Sponsoring Organizations may request to waive this requirement for individual candidates as needed.</w:t>
      </w:r>
    </w:p>
    <w:p w14:paraId="7EC85905" w14:textId="6725CD44" w:rsidR="007654DE" w:rsidRDefault="007654DE" w:rsidP="00EB5595">
      <w:pPr>
        <w:pStyle w:val="Normal1"/>
        <w:numPr>
          <w:ilvl w:val="0"/>
          <w:numId w:val="20"/>
        </w:numPr>
        <w:rPr>
          <w:rFonts w:ascii="Calibri" w:eastAsia="Calibri" w:hAnsi="Calibri" w:cs="Calibri"/>
        </w:rPr>
      </w:pPr>
      <w:r>
        <w:rPr>
          <w:rFonts w:ascii="Calibri" w:eastAsia="Calibri" w:hAnsi="Calibri" w:cs="Calibri"/>
        </w:rPr>
        <w:t>Include clearly defined minimum performance standards that candidates must meet in order to pass the assessment and ultimately advance beyond the pre-practicum.  Candidates at risk of not meeting the standards must be identified and re</w:t>
      </w:r>
      <w:r w:rsidR="00965BA5">
        <w:rPr>
          <w:rFonts w:ascii="Calibri" w:eastAsia="Calibri" w:hAnsi="Calibri" w:cs="Calibri"/>
        </w:rPr>
        <w:t>ceive the necessary supports and guidance to improve or exit the program (CAN 4).</w:t>
      </w:r>
    </w:p>
    <w:p w14:paraId="577C8C0E" w14:textId="4FD59C42" w:rsidR="00677747" w:rsidRDefault="003E7E9A" w:rsidP="00677747">
      <w:pPr>
        <w:pStyle w:val="Normal1"/>
        <w:rPr>
          <w:rFonts w:ascii="Calibri" w:eastAsia="Calibri" w:hAnsi="Calibri" w:cs="Calibri"/>
        </w:rPr>
      </w:pPr>
      <w:r w:rsidRPr="00133BBF">
        <w:rPr>
          <w:rFonts w:ascii="Calibri" w:eastAsia="Calibri" w:hAnsi="Calibri" w:cs="Calibri"/>
        </w:rPr>
        <w:t xml:space="preserve">Sponsoring Organizations are responsible for collecting data from the gateway assessments to </w:t>
      </w:r>
      <w:r w:rsidR="00655E95" w:rsidRPr="00133BBF">
        <w:rPr>
          <w:rFonts w:ascii="Calibri" w:eastAsia="Calibri" w:hAnsi="Calibri" w:cs="Calibri"/>
          <w:color w:val="333333"/>
          <w:highlight w:val="white"/>
        </w:rPr>
        <w:t xml:space="preserve">monitor </w:t>
      </w:r>
      <w:r w:rsidR="00655E95" w:rsidRPr="00133BBF">
        <w:rPr>
          <w:rFonts w:ascii="Calibri" w:eastAsia="Calibri" w:hAnsi="Calibri" w:cs="Calibri"/>
          <w:highlight w:val="white"/>
        </w:rPr>
        <w:t xml:space="preserve">individual licensure programs </w:t>
      </w:r>
      <w:r w:rsidR="00AA30EC" w:rsidRPr="00133BBF">
        <w:rPr>
          <w:rFonts w:ascii="Calibri" w:eastAsia="Calibri" w:hAnsi="Calibri" w:cs="Calibri"/>
          <w:highlight w:val="white"/>
        </w:rPr>
        <w:t>and</w:t>
      </w:r>
      <w:r w:rsidR="00655E95" w:rsidRPr="00133BBF">
        <w:rPr>
          <w:rFonts w:ascii="Calibri" w:eastAsia="Calibri" w:hAnsi="Calibri" w:cs="Calibri"/>
          <w:highlight w:val="white"/>
        </w:rPr>
        <w:t xml:space="preserve"> ensure each</w:t>
      </w:r>
      <w:r w:rsidR="00247C2A">
        <w:rPr>
          <w:rFonts w:ascii="Calibri" w:eastAsia="Calibri" w:hAnsi="Calibri" w:cs="Calibri"/>
          <w:highlight w:val="white"/>
        </w:rPr>
        <w:t xml:space="preserve"> program</w:t>
      </w:r>
      <w:r w:rsidR="00655E95" w:rsidRPr="00133BBF">
        <w:rPr>
          <w:rFonts w:ascii="Calibri" w:eastAsia="Calibri" w:hAnsi="Calibri" w:cs="Calibri"/>
          <w:highlight w:val="white"/>
        </w:rPr>
        <w:t xml:space="preserve"> is effective</w:t>
      </w:r>
      <w:r w:rsidRPr="00133BBF">
        <w:rPr>
          <w:rFonts w:ascii="Calibri" w:eastAsia="Calibri" w:hAnsi="Calibri" w:cs="Calibri"/>
        </w:rPr>
        <w:t xml:space="preserve"> (CI 1</w:t>
      </w:r>
      <w:r w:rsidR="003755EF">
        <w:rPr>
          <w:rFonts w:ascii="Calibri" w:eastAsia="Calibri" w:hAnsi="Calibri" w:cs="Calibri"/>
        </w:rPr>
        <w:t xml:space="preserve">) and </w:t>
      </w:r>
      <w:r w:rsidR="000D1479">
        <w:rPr>
          <w:rFonts w:ascii="Calibri" w:eastAsia="Calibri" w:hAnsi="Calibri" w:cs="Calibri"/>
        </w:rPr>
        <w:t>will</w:t>
      </w:r>
      <w:r w:rsidR="003755EF">
        <w:rPr>
          <w:rFonts w:ascii="Calibri" w:eastAsia="Calibri" w:hAnsi="Calibri" w:cs="Calibri"/>
        </w:rPr>
        <w:t xml:space="preserve"> demonstrate outcomes tied to the gateway assessments through the formal review process.</w:t>
      </w:r>
    </w:p>
    <w:p w14:paraId="50D87B46" w14:textId="77777777" w:rsidR="00E70C85" w:rsidRPr="00133BBF" w:rsidRDefault="00E70C85" w:rsidP="00677747">
      <w:pPr>
        <w:pStyle w:val="Normal1"/>
        <w:rPr>
          <w:rFonts w:ascii="Calibri" w:eastAsia="Calibri" w:hAnsi="Calibri" w:cs="Calibri"/>
        </w:rPr>
      </w:pPr>
    </w:p>
    <w:p w14:paraId="6015E122" w14:textId="77777777" w:rsidR="00B70A8B" w:rsidRPr="00E1331E" w:rsidRDefault="00B70A8B" w:rsidP="00E1331E">
      <w:pPr>
        <w:pStyle w:val="Heading1"/>
        <w:pBdr>
          <w:bottom w:val="single" w:sz="4" w:space="1" w:color="1F497D" w:themeColor="text2"/>
        </w:pBdr>
        <w:rPr>
          <w:color w:val="1F497D"/>
        </w:rPr>
      </w:pPr>
      <w:bookmarkStart w:id="8" w:name="_Toc504653493"/>
      <w:r w:rsidRPr="00002B37">
        <w:lastRenderedPageBreak/>
        <w:t>Background &amp; Development Timeline</w:t>
      </w:r>
      <w:bookmarkEnd w:id="8"/>
    </w:p>
    <w:p w14:paraId="426AAC58" w14:textId="77777777" w:rsidR="00B70A8B" w:rsidRPr="00133BBF" w:rsidRDefault="00B70A8B" w:rsidP="00B70A8B">
      <w:pPr>
        <w:pStyle w:val="Normal1"/>
        <w:spacing w:before="240"/>
        <w:rPr>
          <w:rFonts w:ascii="Calibri" w:eastAsia="Calibri" w:hAnsi="Calibri" w:cs="Calibri"/>
        </w:rPr>
      </w:pPr>
      <w:r w:rsidRPr="00133BBF">
        <w:rPr>
          <w:rFonts w:ascii="Calibri" w:eastAsia="Calibri" w:hAnsi="Calibri" w:cs="Calibri"/>
        </w:rPr>
        <w:t>The Pre-Practicum Guidelines align with other shifts in recent years to improve outcomes for educator preparation and PK-12 student learning, including:</w:t>
      </w:r>
    </w:p>
    <w:p w14:paraId="11628164" w14:textId="77777777" w:rsidR="00B70A8B" w:rsidRPr="00133BBF" w:rsidRDefault="00B70A8B" w:rsidP="00677747">
      <w:pPr>
        <w:pStyle w:val="Normal1"/>
        <w:widowControl w:val="0"/>
        <w:numPr>
          <w:ilvl w:val="0"/>
          <w:numId w:val="7"/>
        </w:numPr>
        <w:spacing w:before="120" w:after="120"/>
        <w:rPr>
          <w:rFonts w:ascii="Calibri" w:hAnsi="Calibri"/>
        </w:rPr>
      </w:pPr>
      <w:r w:rsidRPr="00133BBF">
        <w:rPr>
          <w:rFonts w:ascii="Calibri" w:eastAsia="Calibri" w:hAnsi="Calibri" w:cs="Calibri"/>
        </w:rPr>
        <w:t xml:space="preserve">June 2012: Updating the </w:t>
      </w:r>
      <w:hyperlink r:id="rId24">
        <w:r w:rsidRPr="00133BBF">
          <w:rPr>
            <w:rFonts w:ascii="Calibri" w:eastAsia="Calibri" w:hAnsi="Calibri" w:cs="Calibri"/>
            <w:color w:val="0000FF"/>
            <w:u w:val="single"/>
          </w:rPr>
          <w:t>Regulations for Educator Licensure and Preparation Program Approval</w:t>
        </w:r>
      </w:hyperlink>
      <w:hyperlink r:id="rId25">
        <w:r w:rsidRPr="00133BBF">
          <w:rPr>
            <w:rFonts w:ascii="Calibri" w:eastAsia="Calibri" w:hAnsi="Calibri" w:cs="Calibri"/>
            <w:color w:val="0000FF"/>
          </w:rPr>
          <w:t xml:space="preserve"> </w:t>
        </w:r>
      </w:hyperlink>
      <w:r w:rsidRPr="00133BBF">
        <w:rPr>
          <w:rFonts w:ascii="Calibri" w:eastAsia="Calibri" w:hAnsi="Calibri" w:cs="Calibri"/>
        </w:rPr>
        <w:t>(603 CMR 7.03) to heighten expectations for field-based experiences and data-driven accountability for preparation providers;</w:t>
      </w:r>
    </w:p>
    <w:p w14:paraId="0B0A8F81" w14:textId="77777777" w:rsidR="00B70A8B" w:rsidRPr="00133BBF" w:rsidRDefault="00B70A8B" w:rsidP="00677747">
      <w:pPr>
        <w:pStyle w:val="Normal1"/>
        <w:widowControl w:val="0"/>
        <w:numPr>
          <w:ilvl w:val="0"/>
          <w:numId w:val="7"/>
        </w:numPr>
        <w:spacing w:before="120" w:after="120"/>
        <w:rPr>
          <w:rFonts w:ascii="Calibri" w:hAnsi="Calibri"/>
        </w:rPr>
      </w:pPr>
      <w:r w:rsidRPr="00133BBF">
        <w:rPr>
          <w:rFonts w:ascii="Calibri" w:eastAsia="Calibri" w:hAnsi="Calibri" w:cs="Calibri"/>
        </w:rPr>
        <w:t xml:space="preserve">January 2014: Updating the </w:t>
      </w:r>
      <w:hyperlink r:id="rId26">
        <w:r w:rsidRPr="00133BBF">
          <w:rPr>
            <w:rFonts w:ascii="Calibri" w:eastAsia="Calibri" w:hAnsi="Calibri" w:cs="Calibri"/>
            <w:color w:val="0000FF"/>
            <w:u w:val="single"/>
          </w:rPr>
          <w:t>Professional Standards for Teachers (PSTs)</w:t>
        </w:r>
      </w:hyperlink>
      <w:r w:rsidRPr="00133BBF">
        <w:rPr>
          <w:rFonts w:ascii="Calibri" w:eastAsia="Calibri" w:hAnsi="Calibri" w:cs="Calibri"/>
        </w:rPr>
        <w:t xml:space="preserve"> that define the pedagogical and professional knowledge and skills required of all teachers in order to align expectations for candidates with those for in-service teachers;</w:t>
      </w:r>
    </w:p>
    <w:p w14:paraId="2F3007DA" w14:textId="77777777" w:rsidR="00133BBF" w:rsidRPr="00133BBF" w:rsidRDefault="00B70A8B" w:rsidP="00133BBF">
      <w:pPr>
        <w:pStyle w:val="Normal1"/>
        <w:widowControl w:val="0"/>
        <w:numPr>
          <w:ilvl w:val="0"/>
          <w:numId w:val="7"/>
        </w:numPr>
        <w:spacing w:before="120" w:after="120"/>
        <w:rPr>
          <w:rFonts w:ascii="Calibri" w:hAnsi="Calibri"/>
        </w:rPr>
      </w:pPr>
      <w:r w:rsidRPr="00133BBF">
        <w:rPr>
          <w:rFonts w:ascii="Calibri" w:eastAsia="Calibri" w:hAnsi="Calibri" w:cs="Calibri"/>
        </w:rPr>
        <w:t xml:space="preserve">June 2014: Developing and implementing the </w:t>
      </w:r>
      <w:hyperlink r:id="rId27">
        <w:r w:rsidRPr="00133BBF">
          <w:rPr>
            <w:rFonts w:ascii="Calibri" w:eastAsia="Calibri" w:hAnsi="Calibri" w:cs="Calibri"/>
            <w:color w:val="0000FF"/>
            <w:u w:val="single"/>
          </w:rPr>
          <w:t>Candidate Assessment of Performance</w:t>
        </w:r>
      </w:hyperlink>
      <w:r w:rsidRPr="00133BBF">
        <w:rPr>
          <w:rFonts w:ascii="Calibri" w:eastAsia="Calibri" w:hAnsi="Calibri" w:cs="Calibri"/>
        </w:rPr>
        <w:t xml:space="preserve">, a performance assessment of candidate readiness for employment aligned to the </w:t>
      </w:r>
      <w:hyperlink r:id="rId28">
        <w:r w:rsidRPr="00133BBF">
          <w:rPr>
            <w:rFonts w:ascii="Calibri" w:eastAsia="Calibri" w:hAnsi="Calibri" w:cs="Calibri"/>
            <w:color w:val="0000FF"/>
            <w:u w:val="single"/>
          </w:rPr>
          <w:t>Massachusetts Educator Evaluation Framework</w:t>
        </w:r>
      </w:hyperlink>
      <w:r w:rsidRPr="00133BBF">
        <w:rPr>
          <w:rFonts w:ascii="Calibri" w:eastAsia="Calibri" w:hAnsi="Calibri" w:cs="Calibri"/>
        </w:rPr>
        <w:t xml:space="preserve"> for in-service teachers; and</w:t>
      </w:r>
    </w:p>
    <w:p w14:paraId="60AA14AE" w14:textId="77777777" w:rsidR="00B70A8B" w:rsidRPr="00133BBF" w:rsidRDefault="00B70A8B" w:rsidP="00677747">
      <w:pPr>
        <w:pStyle w:val="Normal1"/>
        <w:widowControl w:val="0"/>
        <w:numPr>
          <w:ilvl w:val="0"/>
          <w:numId w:val="7"/>
        </w:numPr>
        <w:spacing w:before="120" w:after="120"/>
        <w:rPr>
          <w:rFonts w:ascii="Calibri" w:hAnsi="Calibri"/>
        </w:rPr>
      </w:pPr>
      <w:r w:rsidRPr="00133BBF">
        <w:rPr>
          <w:rFonts w:ascii="Calibri" w:eastAsia="Calibri" w:hAnsi="Calibri" w:cs="Calibri"/>
        </w:rPr>
        <w:t xml:space="preserve">2016 - 2017: Revising the </w:t>
      </w:r>
      <w:hyperlink r:id="rId29">
        <w:r w:rsidRPr="00133BBF">
          <w:rPr>
            <w:rFonts w:ascii="Calibri" w:eastAsia="Calibri" w:hAnsi="Calibri" w:cs="Calibri"/>
            <w:color w:val="0000FF"/>
            <w:u w:val="single"/>
          </w:rPr>
          <w:t>Massachusetts Curriculum Frameworks</w:t>
        </w:r>
      </w:hyperlink>
      <w:r w:rsidRPr="00133BBF">
        <w:rPr>
          <w:rFonts w:ascii="Calibri" w:eastAsia="Calibri" w:hAnsi="Calibri" w:cs="Calibri"/>
        </w:rPr>
        <w:t xml:space="preserve"> for English Language Arts, Mathematics, and Science and Technology/Engineering </w:t>
      </w:r>
      <w:proofErr w:type="gramStart"/>
      <w:r w:rsidRPr="00133BBF">
        <w:rPr>
          <w:rFonts w:ascii="Calibri" w:eastAsia="Calibri" w:hAnsi="Calibri" w:cs="Calibri"/>
        </w:rPr>
        <w:t>in order to better reflect</w:t>
      </w:r>
      <w:proofErr w:type="gramEnd"/>
      <w:r w:rsidRPr="00133BBF">
        <w:rPr>
          <w:rFonts w:ascii="Calibri" w:eastAsia="Calibri" w:hAnsi="Calibri" w:cs="Calibri"/>
        </w:rPr>
        <w:t xml:space="preserve"> 21</w:t>
      </w:r>
      <w:r w:rsidRPr="00133BBF">
        <w:rPr>
          <w:rFonts w:ascii="Calibri" w:eastAsia="Calibri" w:hAnsi="Calibri" w:cs="Calibri"/>
          <w:vertAlign w:val="superscript"/>
        </w:rPr>
        <w:t>st</w:t>
      </w:r>
      <w:r w:rsidRPr="00133BBF">
        <w:rPr>
          <w:rFonts w:ascii="Calibri" w:eastAsia="Calibri" w:hAnsi="Calibri" w:cs="Calibri"/>
        </w:rPr>
        <w:t xml:space="preserve"> century college- and career-readiness standards.</w:t>
      </w:r>
    </w:p>
    <w:p w14:paraId="77E832EC" w14:textId="77777777" w:rsidR="00B70A8B" w:rsidRPr="00133BBF" w:rsidRDefault="00B70A8B" w:rsidP="00B70A8B">
      <w:pPr>
        <w:pStyle w:val="Normal1"/>
        <w:spacing w:after="240"/>
        <w:rPr>
          <w:rFonts w:ascii="Calibri" w:eastAsia="Calibri" w:hAnsi="Calibri" w:cs="Calibri"/>
        </w:rPr>
      </w:pPr>
      <w:r w:rsidRPr="00133BBF">
        <w:rPr>
          <w:rFonts w:ascii="Calibri" w:eastAsia="Calibri" w:hAnsi="Calibri" w:cs="Calibri"/>
        </w:rPr>
        <w:t xml:space="preserve">In continuation of these initiatives, the Pre-Practicum Guidelines </w:t>
      </w:r>
      <w:proofErr w:type="gramStart"/>
      <w:r w:rsidRPr="00133BBF">
        <w:rPr>
          <w:rFonts w:ascii="Calibri" w:eastAsia="Calibri" w:hAnsi="Calibri" w:cs="Calibri"/>
        </w:rPr>
        <w:t>are designed</w:t>
      </w:r>
      <w:proofErr w:type="gramEnd"/>
      <w:r w:rsidRPr="00133BBF">
        <w:rPr>
          <w:rFonts w:ascii="Calibri" w:eastAsia="Calibri" w:hAnsi="Calibri" w:cs="Calibri"/>
        </w:rPr>
        <w:t xml:space="preserve"> to support Sponsoring Organizations in their efforts to accelerate candidate preparation in order to ensure full readiness on day one.  Below is a timeline of activities associated with the development of the guidelines, which involved a multi-stage process of gathering input from the field, including stakeholders from educator preparation and PreK-12:</w:t>
      </w:r>
    </w:p>
    <w:p w14:paraId="21F66E2A" w14:textId="77777777" w:rsidR="00B70A8B" w:rsidRPr="00133BBF" w:rsidRDefault="00B70A8B" w:rsidP="00677747">
      <w:pPr>
        <w:pStyle w:val="Normal1"/>
        <w:keepLines/>
        <w:numPr>
          <w:ilvl w:val="0"/>
          <w:numId w:val="1"/>
        </w:numPr>
        <w:spacing w:before="120" w:after="120"/>
        <w:rPr>
          <w:rFonts w:ascii="Calibri" w:hAnsi="Calibri"/>
        </w:rPr>
      </w:pPr>
      <w:r w:rsidRPr="00133BBF">
        <w:rPr>
          <w:rFonts w:ascii="Calibri" w:eastAsia="Calibri" w:hAnsi="Calibri" w:cs="Calibri"/>
        </w:rPr>
        <w:t>May 2017 – June 2017: ESE administered a field survey of current organization- and program-level requirements for the pre-practicum and initial interest in certain policy areas</w:t>
      </w:r>
    </w:p>
    <w:p w14:paraId="05ED006D" w14:textId="77777777" w:rsidR="00B70A8B" w:rsidRPr="00133BBF" w:rsidRDefault="00B70A8B" w:rsidP="00677747">
      <w:pPr>
        <w:pStyle w:val="Normal1"/>
        <w:keepLines/>
        <w:numPr>
          <w:ilvl w:val="0"/>
          <w:numId w:val="1"/>
        </w:numPr>
        <w:spacing w:before="120" w:after="120"/>
        <w:rPr>
          <w:rFonts w:ascii="Calibri" w:hAnsi="Calibri"/>
        </w:rPr>
      </w:pPr>
      <w:r w:rsidRPr="00133BBF">
        <w:rPr>
          <w:rFonts w:ascii="Calibri" w:eastAsia="Calibri" w:hAnsi="Calibri" w:cs="Calibri"/>
        </w:rPr>
        <w:t>September 2017 – October 2017: ESE released and solicited public comment from educator preparation and PK-12 stakeholders on a draft set of proposed policies.</w:t>
      </w:r>
    </w:p>
    <w:p w14:paraId="70360DCB" w14:textId="77777777" w:rsidR="00B70A8B" w:rsidRPr="00133BBF" w:rsidRDefault="00B70A8B" w:rsidP="00677747">
      <w:pPr>
        <w:pStyle w:val="Normal1"/>
        <w:keepLines/>
        <w:numPr>
          <w:ilvl w:val="0"/>
          <w:numId w:val="1"/>
        </w:numPr>
        <w:spacing w:before="120" w:after="120"/>
        <w:rPr>
          <w:rFonts w:ascii="Calibri" w:hAnsi="Calibri"/>
        </w:rPr>
      </w:pPr>
      <w:r w:rsidRPr="00133BBF">
        <w:rPr>
          <w:rFonts w:ascii="Calibri" w:hAnsi="Calibri"/>
        </w:rPr>
        <w:t>October-February: ESE revised guidelines using feedback from public comment.</w:t>
      </w:r>
    </w:p>
    <w:p w14:paraId="64BC076D" w14:textId="77777777" w:rsidR="00B70A8B" w:rsidRPr="00133BBF" w:rsidRDefault="00B70A8B" w:rsidP="00677747">
      <w:pPr>
        <w:pStyle w:val="Normal1"/>
        <w:keepLines/>
        <w:numPr>
          <w:ilvl w:val="0"/>
          <w:numId w:val="1"/>
        </w:numPr>
        <w:spacing w:before="120" w:after="120"/>
        <w:rPr>
          <w:rFonts w:ascii="Calibri" w:hAnsi="Calibri"/>
        </w:rPr>
      </w:pPr>
      <w:r w:rsidRPr="00133BBF">
        <w:rPr>
          <w:rFonts w:ascii="Calibri" w:eastAsia="Calibri" w:hAnsi="Calibri" w:cs="Calibri"/>
        </w:rPr>
        <w:t>February 2018: ESE released revised guidelines for public comment.</w:t>
      </w:r>
    </w:p>
    <w:p w14:paraId="1C75C2FB" w14:textId="48B7ACE9" w:rsidR="00B70A8B" w:rsidRPr="00133BBF" w:rsidRDefault="008C5E12" w:rsidP="00677747">
      <w:pPr>
        <w:pStyle w:val="Normal1"/>
        <w:keepLines/>
        <w:numPr>
          <w:ilvl w:val="0"/>
          <w:numId w:val="1"/>
        </w:numPr>
        <w:spacing w:before="120" w:after="120"/>
        <w:rPr>
          <w:rFonts w:ascii="Calibri" w:hAnsi="Calibri"/>
        </w:rPr>
      </w:pPr>
      <w:r w:rsidRPr="00133BBF">
        <w:rPr>
          <w:rFonts w:ascii="Calibri" w:eastAsia="Calibri" w:hAnsi="Calibri" w:cs="Calibri"/>
        </w:rPr>
        <w:t>M</w:t>
      </w:r>
      <w:r>
        <w:rPr>
          <w:rFonts w:ascii="Calibri" w:eastAsia="Calibri" w:hAnsi="Calibri" w:cs="Calibri"/>
        </w:rPr>
        <w:t>ay</w:t>
      </w:r>
      <w:r w:rsidRPr="00133BBF">
        <w:rPr>
          <w:rFonts w:ascii="Calibri" w:eastAsia="Calibri" w:hAnsi="Calibri" w:cs="Calibri"/>
        </w:rPr>
        <w:t xml:space="preserve"> </w:t>
      </w:r>
      <w:r w:rsidR="00B70A8B" w:rsidRPr="00133BBF">
        <w:rPr>
          <w:rFonts w:ascii="Calibri" w:eastAsia="Calibri" w:hAnsi="Calibri" w:cs="Calibri"/>
        </w:rPr>
        <w:t xml:space="preserve">2018:  ESE </w:t>
      </w:r>
      <w:r w:rsidRPr="00133BBF">
        <w:rPr>
          <w:rFonts w:ascii="Calibri" w:eastAsia="Calibri" w:hAnsi="Calibri" w:cs="Calibri"/>
        </w:rPr>
        <w:t>release</w:t>
      </w:r>
      <w:r>
        <w:rPr>
          <w:rFonts w:ascii="Calibri" w:eastAsia="Calibri" w:hAnsi="Calibri" w:cs="Calibri"/>
        </w:rPr>
        <w:t>d</w:t>
      </w:r>
      <w:r w:rsidRPr="00133BBF">
        <w:rPr>
          <w:rFonts w:ascii="Calibri" w:eastAsia="Calibri" w:hAnsi="Calibri" w:cs="Calibri"/>
        </w:rPr>
        <w:t xml:space="preserve"> </w:t>
      </w:r>
      <w:r w:rsidR="00B70A8B" w:rsidRPr="00133BBF">
        <w:rPr>
          <w:rFonts w:ascii="Calibri" w:eastAsia="Calibri" w:hAnsi="Calibri" w:cs="Calibri"/>
        </w:rPr>
        <w:t xml:space="preserve">the final set of guidelines. </w:t>
      </w:r>
    </w:p>
    <w:p w14:paraId="6CC5DD9D" w14:textId="77777777" w:rsidR="00655E95" w:rsidRPr="00706603" w:rsidRDefault="003E7E9A" w:rsidP="00254460">
      <w:pPr>
        <w:pStyle w:val="Heading1"/>
        <w:pBdr>
          <w:bottom w:val="single" w:sz="4" w:space="1" w:color="1F497D" w:themeColor="text2"/>
        </w:pBdr>
        <w:spacing w:before="240"/>
        <w:rPr>
          <w:rStyle w:val="IntenseEmphasis"/>
          <w:b/>
          <w:bCs/>
          <w:i w:val="0"/>
          <w:iCs w:val="0"/>
          <w:color w:val="365F91" w:themeColor="accent1" w:themeShade="BF"/>
        </w:rPr>
      </w:pPr>
      <w:bookmarkStart w:id="9" w:name="_Toc504653494"/>
      <w:r w:rsidRPr="00706603">
        <w:rPr>
          <w:rStyle w:val="IntenseEmphasis"/>
          <w:b/>
          <w:bCs/>
          <w:i w:val="0"/>
          <w:iCs w:val="0"/>
          <w:color w:val="365F91" w:themeColor="accent1" w:themeShade="BF"/>
        </w:rPr>
        <w:t>Conclusion</w:t>
      </w:r>
      <w:bookmarkEnd w:id="9"/>
    </w:p>
    <w:p w14:paraId="7DD3C658" w14:textId="77777777" w:rsidR="00655E95" w:rsidRPr="00133BBF" w:rsidRDefault="003E7E9A" w:rsidP="00254460">
      <w:pPr>
        <w:pStyle w:val="Normal1"/>
        <w:spacing w:before="240"/>
        <w:rPr>
          <w:rFonts w:ascii="Calibri" w:eastAsia="Calibri" w:hAnsi="Calibri" w:cs="Calibri"/>
        </w:rPr>
      </w:pPr>
      <w:r w:rsidRPr="00133BBF">
        <w:rPr>
          <w:rFonts w:ascii="Calibri" w:eastAsia="Calibri" w:hAnsi="Calibri" w:cs="Calibri"/>
        </w:rPr>
        <w:t>The pre-p</w:t>
      </w:r>
      <w:r w:rsidR="009556CA" w:rsidRPr="00133BBF">
        <w:rPr>
          <w:rFonts w:ascii="Calibri" w:eastAsia="Calibri" w:hAnsi="Calibri" w:cs="Calibri"/>
        </w:rPr>
        <w:t>racticum is a critical time for</w:t>
      </w:r>
      <w:r w:rsidRPr="00133BBF">
        <w:rPr>
          <w:rFonts w:ascii="Calibri" w:eastAsia="Calibri" w:hAnsi="Calibri" w:cs="Calibri"/>
        </w:rPr>
        <w:t xml:space="preserve"> candidates to apply learning </w:t>
      </w:r>
      <w:proofErr w:type="gramStart"/>
      <w:r w:rsidRPr="00133BBF">
        <w:rPr>
          <w:rFonts w:ascii="Calibri" w:eastAsia="Calibri" w:hAnsi="Calibri" w:cs="Calibri"/>
        </w:rPr>
        <w:t>from coursework into authentic practice in PK-12 settings with ample support, supervision, and feedback</w:t>
      </w:r>
      <w:proofErr w:type="gramEnd"/>
      <w:r w:rsidRPr="00133BBF">
        <w:rPr>
          <w:rFonts w:ascii="Calibri" w:eastAsia="Calibri" w:hAnsi="Calibri" w:cs="Calibri"/>
        </w:rPr>
        <w:t xml:space="preserve">. Meaningful and robust field-based experience in pre-practicum positions candidates to successfully demonstrate their abilities in the practicum and enter their first year of </w:t>
      </w:r>
      <w:r w:rsidR="009556CA" w:rsidRPr="00133BBF">
        <w:rPr>
          <w:rFonts w:ascii="Calibri" w:eastAsia="Calibri" w:hAnsi="Calibri" w:cs="Calibri"/>
        </w:rPr>
        <w:t>employment</w:t>
      </w:r>
      <w:r w:rsidRPr="00133BBF">
        <w:rPr>
          <w:rFonts w:ascii="Calibri" w:eastAsia="Calibri" w:hAnsi="Calibri" w:cs="Calibri"/>
        </w:rPr>
        <w:t xml:space="preserve"> fully ready to positively impact student learning </w:t>
      </w:r>
      <w:r w:rsidR="00254460" w:rsidRPr="00133BBF">
        <w:rPr>
          <w:rFonts w:ascii="Calibri" w:eastAsia="Calibri" w:hAnsi="Calibri" w:cs="Calibri"/>
        </w:rPr>
        <w:t xml:space="preserve">from </w:t>
      </w:r>
      <w:r w:rsidRPr="00133BBF">
        <w:rPr>
          <w:rFonts w:ascii="Calibri" w:eastAsia="Calibri" w:hAnsi="Calibri" w:cs="Calibri"/>
        </w:rPr>
        <w:t>day one.</w:t>
      </w:r>
    </w:p>
    <w:sectPr w:rsidR="00655E95" w:rsidRPr="00133BBF" w:rsidSect="00002B37">
      <w:type w:val="continuous"/>
      <w:pgSz w:w="12240" w:h="15840"/>
      <w:pgMar w:top="1440" w:right="1440" w:bottom="1440" w:left="1440" w:header="432" w:footer="5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38BB" w14:textId="77777777" w:rsidR="001434A5" w:rsidRDefault="001434A5" w:rsidP="00655E95">
      <w:r>
        <w:separator/>
      </w:r>
    </w:p>
  </w:endnote>
  <w:endnote w:type="continuationSeparator" w:id="0">
    <w:p w14:paraId="64FEF0E6" w14:textId="77777777" w:rsidR="001434A5" w:rsidRDefault="001434A5" w:rsidP="0065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A113" w14:textId="1E03709F" w:rsidR="00135DAD" w:rsidRDefault="00135DAD">
    <w:pPr>
      <w:pStyle w:val="Normal1"/>
      <w:tabs>
        <w:tab w:val="center" w:pos="4680"/>
        <w:tab w:val="right" w:pos="9360"/>
      </w:tabs>
      <w:jc w:val="right"/>
    </w:pPr>
    <w:r>
      <w:t xml:space="preserve">                                                   </w:t>
    </w:r>
    <w:r>
      <w:fldChar w:fldCharType="begin"/>
    </w:r>
    <w:r>
      <w:instrText>PAGE</w:instrText>
    </w:r>
    <w:r>
      <w:fldChar w:fldCharType="separate"/>
    </w:r>
    <w:r w:rsidR="00531D3C">
      <w:rPr>
        <w:noProof/>
      </w:rPr>
      <w:t>7</w:t>
    </w:r>
    <w:r>
      <w:rPr>
        <w:noProof/>
      </w:rPr>
      <w:fldChar w:fldCharType="end"/>
    </w:r>
    <w:r>
      <w:rPr>
        <w:noProof/>
        <w:lang w:eastAsia="zh-CN" w:bidi="ar-SA"/>
      </w:rPr>
      <w:drawing>
        <wp:anchor distT="0" distB="0" distL="114300" distR="114300" simplePos="0" relativeHeight="251658240" behindDoc="0" locked="0" layoutInCell="1" allowOverlap="1" wp14:anchorId="03D5E42E" wp14:editId="3F9F7B3F">
          <wp:simplePos x="0" y="0"/>
          <wp:positionH relativeFrom="margin">
            <wp:posOffset>-257171</wp:posOffset>
          </wp:positionH>
          <wp:positionV relativeFrom="paragraph">
            <wp:posOffset>-328927</wp:posOffset>
          </wp:positionV>
          <wp:extent cx="1628775" cy="657225"/>
          <wp:effectExtent l="0" t="0" r="0" b="0"/>
          <wp:wrapSquare wrapText="bothSides" distT="0" distB="0" distL="114300" distR="114300"/>
          <wp:docPr id="3" name="image5.png" descr="ESE Star Logo"/>
          <wp:cNvGraphicFramePr/>
          <a:graphic xmlns:a="http://schemas.openxmlformats.org/drawingml/2006/main">
            <a:graphicData uri="http://schemas.openxmlformats.org/drawingml/2006/picture">
              <pic:pic xmlns:pic="http://schemas.openxmlformats.org/drawingml/2006/picture">
                <pic:nvPicPr>
                  <pic:cNvPr id="0" name="image5.png" descr="ESE Star Logo"/>
                  <pic:cNvPicPr preferRelativeResize="0"/>
                </pic:nvPicPr>
                <pic:blipFill>
                  <a:blip r:embed="rId1"/>
                  <a:srcRect/>
                  <a:stretch>
                    <a:fillRect/>
                  </a:stretch>
                </pic:blipFill>
                <pic:spPr>
                  <a:xfrm>
                    <a:off x="0" y="0"/>
                    <a:ext cx="1628775" cy="65722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95AD" w14:textId="77777777" w:rsidR="00135DAD" w:rsidRDefault="00135DAD">
    <w:pPr>
      <w:pStyle w:val="Normal1"/>
      <w:tabs>
        <w:tab w:val="center" w:pos="4680"/>
        <w:tab w:val="right" w:pos="9360"/>
      </w:tabs>
      <w:jc w:val="right"/>
    </w:pPr>
  </w:p>
  <w:p w14:paraId="14E6F447" w14:textId="77777777" w:rsidR="00135DAD" w:rsidRDefault="00135DAD">
    <w:pPr>
      <w:pStyle w:val="Normal1"/>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41C8" w14:textId="77777777" w:rsidR="001434A5" w:rsidRDefault="001434A5" w:rsidP="00655E95">
      <w:r>
        <w:separator/>
      </w:r>
    </w:p>
  </w:footnote>
  <w:footnote w:type="continuationSeparator" w:id="0">
    <w:p w14:paraId="7CA08805" w14:textId="77777777" w:rsidR="001434A5" w:rsidRDefault="001434A5" w:rsidP="00655E95">
      <w:r>
        <w:continuationSeparator/>
      </w:r>
    </w:p>
  </w:footnote>
  <w:footnote w:id="1">
    <w:p w14:paraId="6448051D" w14:textId="77777777" w:rsidR="00135DAD" w:rsidRPr="00002B37" w:rsidRDefault="00135DAD" w:rsidP="006D521D">
      <w:pPr>
        <w:pStyle w:val="Normal1"/>
        <w:spacing w:after="0" w:line="240" w:lineRule="auto"/>
        <w:rPr>
          <w:rFonts w:ascii="Calibri" w:eastAsia="Calibri" w:hAnsi="Calibri" w:cs="Calibri"/>
          <w:sz w:val="18"/>
          <w:szCs w:val="18"/>
        </w:rPr>
      </w:pPr>
      <w:r w:rsidRPr="00002B37">
        <w:rPr>
          <w:sz w:val="18"/>
          <w:szCs w:val="18"/>
          <w:vertAlign w:val="superscript"/>
        </w:rPr>
        <w:footnoteRef/>
      </w:r>
      <w:r w:rsidRPr="00002B37">
        <w:rPr>
          <w:rFonts w:ascii="Calibri" w:eastAsia="Calibri" w:hAnsi="Calibri" w:cs="Calibri"/>
          <w:sz w:val="18"/>
          <w:szCs w:val="18"/>
        </w:rPr>
        <w:t xml:space="preserve"> See MA’s</w:t>
      </w:r>
      <w:hyperlink r:id="rId1">
        <w:r w:rsidRPr="00002B37">
          <w:rPr>
            <w:rFonts w:ascii="Calibri" w:eastAsia="Calibri" w:hAnsi="Calibri" w:cs="Calibri"/>
            <w:color w:val="0070C0"/>
            <w:sz w:val="18"/>
            <w:szCs w:val="18"/>
          </w:rPr>
          <w:t xml:space="preserve"> </w:t>
        </w:r>
      </w:hyperlink>
      <w:hyperlink r:id="rId2">
        <w:r w:rsidRPr="00002B37">
          <w:rPr>
            <w:rFonts w:ascii="Calibri" w:eastAsia="Calibri" w:hAnsi="Calibri" w:cs="Calibri"/>
            <w:color w:val="0070C0"/>
            <w:sz w:val="18"/>
            <w:szCs w:val="18"/>
            <w:u w:val="single"/>
          </w:rPr>
          <w:t>Equity Plan</w:t>
        </w:r>
      </w:hyperlink>
      <w:r w:rsidRPr="00002B37">
        <w:rPr>
          <w:rFonts w:ascii="Calibri" w:eastAsia="Calibri" w:hAnsi="Calibri" w:cs="Calibri"/>
          <w:sz w:val="18"/>
          <w:szCs w:val="18"/>
        </w:rPr>
        <w:t xml:space="preserve"> for more information.</w:t>
      </w:r>
    </w:p>
  </w:footnote>
  <w:footnote w:id="2">
    <w:p w14:paraId="39F91296" w14:textId="77777777" w:rsidR="00135DAD" w:rsidRPr="00002B37" w:rsidRDefault="00135DAD" w:rsidP="006D521D">
      <w:pPr>
        <w:pStyle w:val="FootnoteText"/>
        <w:spacing w:after="0" w:line="240" w:lineRule="auto"/>
        <w:rPr>
          <w:sz w:val="18"/>
          <w:szCs w:val="18"/>
        </w:rPr>
      </w:pPr>
      <w:r w:rsidRPr="00002B37">
        <w:rPr>
          <w:rStyle w:val="FootnoteReference"/>
          <w:sz w:val="18"/>
          <w:szCs w:val="18"/>
        </w:rPr>
        <w:footnoteRef/>
      </w:r>
      <w:r w:rsidRPr="00002B37">
        <w:rPr>
          <w:sz w:val="18"/>
          <w:szCs w:val="18"/>
        </w:rPr>
        <w:t xml:space="preserve">  </w:t>
      </w:r>
      <w:r w:rsidRPr="00002B37">
        <w:rPr>
          <w:rFonts w:ascii="Calibri" w:eastAsia="Calibri" w:hAnsi="Calibri" w:cs="Calibri"/>
          <w:sz w:val="18"/>
          <w:szCs w:val="18"/>
        </w:rPr>
        <w:t xml:space="preserve">See: Silver-Thorn, 2013; Boyd </w:t>
      </w:r>
      <w:proofErr w:type="gramStart"/>
      <w:r w:rsidRPr="00002B37">
        <w:rPr>
          <w:rFonts w:ascii="Calibri" w:eastAsia="Calibri" w:hAnsi="Calibri" w:cs="Calibri"/>
          <w:sz w:val="18"/>
          <w:szCs w:val="18"/>
        </w:rPr>
        <w:t>et</w:t>
      </w:r>
      <w:proofErr w:type="gramEnd"/>
      <w:r w:rsidRPr="00002B37">
        <w:rPr>
          <w:rFonts w:ascii="Calibri" w:eastAsia="Calibri" w:hAnsi="Calibri" w:cs="Calibri"/>
          <w:sz w:val="18"/>
          <w:szCs w:val="18"/>
        </w:rPr>
        <w:t xml:space="preserve">. </w:t>
      </w:r>
      <w:proofErr w:type="gramStart"/>
      <w:r w:rsidRPr="00002B37">
        <w:rPr>
          <w:rFonts w:ascii="Calibri" w:eastAsia="Calibri" w:hAnsi="Calibri" w:cs="Calibri"/>
          <w:sz w:val="18"/>
          <w:szCs w:val="18"/>
        </w:rPr>
        <w:t>al</w:t>
      </w:r>
      <w:proofErr w:type="gramEnd"/>
      <w:r w:rsidRPr="00002B37">
        <w:rPr>
          <w:rFonts w:ascii="Calibri" w:eastAsia="Calibri" w:hAnsi="Calibri" w:cs="Calibri"/>
          <w:sz w:val="18"/>
          <w:szCs w:val="18"/>
        </w:rPr>
        <w:t xml:space="preserve">, 2009; </w:t>
      </w:r>
      <w:proofErr w:type="spellStart"/>
      <w:r w:rsidRPr="00002B37">
        <w:rPr>
          <w:rFonts w:ascii="Calibri" w:eastAsia="Calibri" w:hAnsi="Calibri" w:cs="Calibri"/>
          <w:sz w:val="18"/>
          <w:szCs w:val="18"/>
        </w:rPr>
        <w:t>Guha</w:t>
      </w:r>
      <w:proofErr w:type="spellEnd"/>
      <w:r w:rsidRPr="00002B37">
        <w:rPr>
          <w:rFonts w:ascii="Calibri" w:eastAsia="Calibri" w:hAnsi="Calibri" w:cs="Calibri"/>
          <w:sz w:val="18"/>
          <w:szCs w:val="18"/>
        </w:rPr>
        <w:t xml:space="preserve"> et. al, 2016</w:t>
      </w:r>
    </w:p>
  </w:footnote>
  <w:footnote w:id="3">
    <w:p w14:paraId="234AD14C" w14:textId="77777777" w:rsidR="00135DAD" w:rsidRDefault="00135DAD" w:rsidP="006D521D">
      <w:pPr>
        <w:pStyle w:val="Normal1"/>
        <w:spacing w:after="0" w:line="240" w:lineRule="auto"/>
        <w:rPr>
          <w:rFonts w:ascii="Calibri" w:eastAsia="Calibri" w:hAnsi="Calibri" w:cs="Calibri"/>
          <w:sz w:val="20"/>
          <w:szCs w:val="20"/>
        </w:rPr>
      </w:pPr>
      <w:r w:rsidRPr="00002B37">
        <w:rPr>
          <w:sz w:val="18"/>
          <w:szCs w:val="18"/>
          <w:vertAlign w:val="superscript"/>
        </w:rPr>
        <w:footnoteRef/>
      </w:r>
      <w:r w:rsidRPr="00002B37">
        <w:rPr>
          <w:rFonts w:ascii="Calibri" w:eastAsia="Calibri" w:hAnsi="Calibri" w:cs="Calibri"/>
          <w:sz w:val="18"/>
          <w:szCs w:val="18"/>
        </w:rPr>
        <w:t xml:space="preserve"> See: Teach Plus, 2015; AACTE, 2012; NCATE,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7954" w14:textId="6053C6EF" w:rsidR="00135DAD" w:rsidRDefault="00135DAD">
    <w:pPr>
      <w:pStyle w:val="Normal1"/>
      <w:tabs>
        <w:tab w:val="center" w:pos="4680"/>
        <w:tab w:val="right" w:pos="9360"/>
      </w:tabs>
      <w:jc w:val="right"/>
    </w:pPr>
    <w:r>
      <w:rPr>
        <w:rFonts w:ascii="Calibri" w:eastAsia="Calibri" w:hAnsi="Calibri" w:cs="Calibri"/>
        <w:color w:val="A6A6A6"/>
      </w:rPr>
      <w:t xml:space="preserve">Guidelines for the Pre-Practicum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908"/>
    <w:multiLevelType w:val="hybridMultilevel"/>
    <w:tmpl w:val="1468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678E"/>
    <w:multiLevelType w:val="hybridMultilevel"/>
    <w:tmpl w:val="E972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E6703"/>
    <w:multiLevelType w:val="multilevel"/>
    <w:tmpl w:val="384E7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1D0713"/>
    <w:multiLevelType w:val="multilevel"/>
    <w:tmpl w:val="3858F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D34319"/>
    <w:multiLevelType w:val="hybridMultilevel"/>
    <w:tmpl w:val="F7C6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84B2D"/>
    <w:multiLevelType w:val="hybridMultilevel"/>
    <w:tmpl w:val="67CE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65D25"/>
    <w:multiLevelType w:val="hybridMultilevel"/>
    <w:tmpl w:val="E398BE16"/>
    <w:lvl w:ilvl="0" w:tplc="C7B610D4">
      <w:start w:val="1"/>
      <w:numFmt w:val="bullet"/>
      <w:lvlText w:val=""/>
      <w:lvlJc w:val="left"/>
      <w:pPr>
        <w:ind w:left="720" w:hanging="360"/>
      </w:pPr>
      <w:rPr>
        <w:rFonts w:asciiTheme="majorHAnsi" w:hAnsi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E70C4"/>
    <w:multiLevelType w:val="multilevel"/>
    <w:tmpl w:val="BBDA303E"/>
    <w:lvl w:ilvl="0">
      <w:start w:val="1"/>
      <w:numFmt w:val="bullet"/>
      <w:lvlText w:val="●"/>
      <w:lvlJc w:val="left"/>
      <w:pPr>
        <w:ind w:left="720" w:hanging="360"/>
      </w:pPr>
      <w:rPr>
        <w:rFonts w:asciiTheme="majorHAnsi" w:hAnsiTheme="maj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5C417D"/>
    <w:multiLevelType w:val="hybridMultilevel"/>
    <w:tmpl w:val="2FA6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96FB0"/>
    <w:multiLevelType w:val="multilevel"/>
    <w:tmpl w:val="1A163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F52F10"/>
    <w:multiLevelType w:val="multilevel"/>
    <w:tmpl w:val="73167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DC290F"/>
    <w:multiLevelType w:val="hybridMultilevel"/>
    <w:tmpl w:val="9C16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7738B"/>
    <w:multiLevelType w:val="multilevel"/>
    <w:tmpl w:val="384E7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064517"/>
    <w:multiLevelType w:val="hybridMultilevel"/>
    <w:tmpl w:val="6824938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645C6B95"/>
    <w:multiLevelType w:val="multilevel"/>
    <w:tmpl w:val="E188C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E3352F"/>
    <w:multiLevelType w:val="hybridMultilevel"/>
    <w:tmpl w:val="3418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43B56"/>
    <w:multiLevelType w:val="multilevel"/>
    <w:tmpl w:val="FF82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837FB9"/>
    <w:multiLevelType w:val="hybridMultilevel"/>
    <w:tmpl w:val="48928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92732"/>
    <w:multiLevelType w:val="multilevel"/>
    <w:tmpl w:val="B9DA6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8728B7"/>
    <w:multiLevelType w:val="hybridMultilevel"/>
    <w:tmpl w:val="830E167C"/>
    <w:lvl w:ilvl="0" w:tplc="C7B610D4">
      <w:start w:val="1"/>
      <w:numFmt w:val="bullet"/>
      <w:lvlText w:val=""/>
      <w:lvlJc w:val="left"/>
      <w:pPr>
        <w:ind w:left="720" w:hanging="360"/>
      </w:pPr>
      <w:rPr>
        <w:rFonts w:asciiTheme="majorHAnsi" w:hAnsi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7"/>
  </w:num>
  <w:num w:numId="5">
    <w:abstractNumId w:val="18"/>
  </w:num>
  <w:num w:numId="6">
    <w:abstractNumId w:val="14"/>
  </w:num>
  <w:num w:numId="7">
    <w:abstractNumId w:val="9"/>
  </w:num>
  <w:num w:numId="8">
    <w:abstractNumId w:val="2"/>
  </w:num>
  <w:num w:numId="9">
    <w:abstractNumId w:val="6"/>
  </w:num>
  <w:num w:numId="10">
    <w:abstractNumId w:val="19"/>
  </w:num>
  <w:num w:numId="11">
    <w:abstractNumId w:val="1"/>
  </w:num>
  <w:num w:numId="12">
    <w:abstractNumId w:val="13"/>
  </w:num>
  <w:num w:numId="13">
    <w:abstractNumId w:val="17"/>
  </w:num>
  <w:num w:numId="14">
    <w:abstractNumId w:val="12"/>
  </w:num>
  <w:num w:numId="15">
    <w:abstractNumId w:val="8"/>
  </w:num>
  <w:num w:numId="16">
    <w:abstractNumId w:val="0"/>
  </w:num>
  <w:num w:numId="17">
    <w:abstractNumId w:val="4"/>
  </w:num>
  <w:num w:numId="18">
    <w:abstractNumId w:val="15"/>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95"/>
    <w:rsid w:val="00002B37"/>
    <w:rsid w:val="0002308E"/>
    <w:rsid w:val="00070613"/>
    <w:rsid w:val="000A4577"/>
    <w:rsid w:val="000D1479"/>
    <w:rsid w:val="00130481"/>
    <w:rsid w:val="00133BBF"/>
    <w:rsid w:val="00135DAD"/>
    <w:rsid w:val="001434A5"/>
    <w:rsid w:val="0014370D"/>
    <w:rsid w:val="001651EA"/>
    <w:rsid w:val="00194449"/>
    <w:rsid w:val="002232B9"/>
    <w:rsid w:val="00235647"/>
    <w:rsid w:val="00247C2A"/>
    <w:rsid w:val="00254460"/>
    <w:rsid w:val="00261AA0"/>
    <w:rsid w:val="00272B15"/>
    <w:rsid w:val="002C0319"/>
    <w:rsid w:val="002E311E"/>
    <w:rsid w:val="003229E9"/>
    <w:rsid w:val="00333284"/>
    <w:rsid w:val="0033569B"/>
    <w:rsid w:val="003506A3"/>
    <w:rsid w:val="00370FFF"/>
    <w:rsid w:val="003755EF"/>
    <w:rsid w:val="003811E1"/>
    <w:rsid w:val="003E7E9A"/>
    <w:rsid w:val="003F2780"/>
    <w:rsid w:val="004C7D2B"/>
    <w:rsid w:val="004E1349"/>
    <w:rsid w:val="004E6BC2"/>
    <w:rsid w:val="0050794B"/>
    <w:rsid w:val="00507D67"/>
    <w:rsid w:val="00517B22"/>
    <w:rsid w:val="00531D3C"/>
    <w:rsid w:val="005610DA"/>
    <w:rsid w:val="005642D9"/>
    <w:rsid w:val="00592980"/>
    <w:rsid w:val="005A4308"/>
    <w:rsid w:val="005C39CF"/>
    <w:rsid w:val="005C4660"/>
    <w:rsid w:val="005E0E75"/>
    <w:rsid w:val="005E384C"/>
    <w:rsid w:val="00617CC9"/>
    <w:rsid w:val="006206CA"/>
    <w:rsid w:val="00644A3C"/>
    <w:rsid w:val="006533F5"/>
    <w:rsid w:val="00655E95"/>
    <w:rsid w:val="00675A68"/>
    <w:rsid w:val="00677747"/>
    <w:rsid w:val="00687735"/>
    <w:rsid w:val="006B58B6"/>
    <w:rsid w:val="006D3951"/>
    <w:rsid w:val="006D521D"/>
    <w:rsid w:val="006F4F1E"/>
    <w:rsid w:val="00705823"/>
    <w:rsid w:val="00706603"/>
    <w:rsid w:val="0076158C"/>
    <w:rsid w:val="007654DE"/>
    <w:rsid w:val="0078027C"/>
    <w:rsid w:val="007C16EC"/>
    <w:rsid w:val="007C2535"/>
    <w:rsid w:val="007C64C5"/>
    <w:rsid w:val="0082099C"/>
    <w:rsid w:val="008617EE"/>
    <w:rsid w:val="0088368C"/>
    <w:rsid w:val="008972E5"/>
    <w:rsid w:val="008B60A3"/>
    <w:rsid w:val="008C5E12"/>
    <w:rsid w:val="008D539A"/>
    <w:rsid w:val="009077B4"/>
    <w:rsid w:val="009556CA"/>
    <w:rsid w:val="00965BA5"/>
    <w:rsid w:val="00966252"/>
    <w:rsid w:val="0099188E"/>
    <w:rsid w:val="00996598"/>
    <w:rsid w:val="009A2710"/>
    <w:rsid w:val="009C4E61"/>
    <w:rsid w:val="009D1703"/>
    <w:rsid w:val="00A42F53"/>
    <w:rsid w:val="00A53537"/>
    <w:rsid w:val="00A60808"/>
    <w:rsid w:val="00A93170"/>
    <w:rsid w:val="00AA30EC"/>
    <w:rsid w:val="00AB2C11"/>
    <w:rsid w:val="00AE4A43"/>
    <w:rsid w:val="00AF6CED"/>
    <w:rsid w:val="00B410A0"/>
    <w:rsid w:val="00B52F72"/>
    <w:rsid w:val="00B70A8B"/>
    <w:rsid w:val="00B8368D"/>
    <w:rsid w:val="00C056A7"/>
    <w:rsid w:val="00C05CF4"/>
    <w:rsid w:val="00C26E3C"/>
    <w:rsid w:val="00C3215E"/>
    <w:rsid w:val="00C84272"/>
    <w:rsid w:val="00CA24BB"/>
    <w:rsid w:val="00CA5F66"/>
    <w:rsid w:val="00CF5882"/>
    <w:rsid w:val="00D049D8"/>
    <w:rsid w:val="00D1527B"/>
    <w:rsid w:val="00D21EAA"/>
    <w:rsid w:val="00D527F7"/>
    <w:rsid w:val="00D530C5"/>
    <w:rsid w:val="00DA4683"/>
    <w:rsid w:val="00DD250A"/>
    <w:rsid w:val="00DF25C1"/>
    <w:rsid w:val="00DF6326"/>
    <w:rsid w:val="00E1331E"/>
    <w:rsid w:val="00E70C85"/>
    <w:rsid w:val="00EB5595"/>
    <w:rsid w:val="00EF7057"/>
    <w:rsid w:val="00F42615"/>
    <w:rsid w:val="00F467BB"/>
    <w:rsid w:val="00FB0AC2"/>
    <w:rsid w:val="00FC6217"/>
    <w:rsid w:val="00FD7BF4"/>
    <w:rsid w:val="00FE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93450"/>
  <w15:docId w15:val="{AF29B3A7-EEAA-4AEC-A2F9-8449C590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37"/>
  </w:style>
  <w:style w:type="paragraph" w:styleId="Heading1">
    <w:name w:val="heading 1"/>
    <w:basedOn w:val="Normal"/>
    <w:next w:val="Normal"/>
    <w:link w:val="Heading1Char"/>
    <w:uiPriority w:val="9"/>
    <w:qFormat/>
    <w:rsid w:val="00002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2B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2B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2B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02B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02B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02B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2B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02B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5E95"/>
  </w:style>
  <w:style w:type="paragraph" w:styleId="Title">
    <w:name w:val="Title"/>
    <w:basedOn w:val="Normal"/>
    <w:next w:val="Normal"/>
    <w:link w:val="TitleChar"/>
    <w:uiPriority w:val="10"/>
    <w:qFormat/>
    <w:rsid w:val="00002B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2B37"/>
    <w:pPr>
      <w:numPr>
        <w:ilvl w:val="1"/>
      </w:numPr>
    </w:pPr>
    <w:rPr>
      <w:rFonts w:asciiTheme="majorHAnsi" w:eastAsiaTheme="majorEastAsia" w:hAnsiTheme="majorHAnsi" w:cstheme="majorBidi"/>
      <w:i/>
      <w:iCs/>
      <w:color w:val="4F81BD" w:themeColor="accent1"/>
      <w:spacing w:val="15"/>
      <w:sz w:val="24"/>
      <w:szCs w:val="24"/>
    </w:rPr>
  </w:style>
  <w:style w:type="paragraph" w:styleId="CommentText">
    <w:name w:val="annotation text"/>
    <w:basedOn w:val="Normal"/>
    <w:link w:val="CommentTextChar"/>
    <w:uiPriority w:val="99"/>
    <w:semiHidden/>
    <w:unhideWhenUsed/>
    <w:rsid w:val="00655E95"/>
    <w:rPr>
      <w:sz w:val="20"/>
      <w:szCs w:val="20"/>
    </w:rPr>
  </w:style>
  <w:style w:type="character" w:customStyle="1" w:styleId="CommentTextChar">
    <w:name w:val="Comment Text Char"/>
    <w:basedOn w:val="DefaultParagraphFont"/>
    <w:link w:val="CommentText"/>
    <w:uiPriority w:val="99"/>
    <w:semiHidden/>
    <w:rsid w:val="00655E95"/>
    <w:rPr>
      <w:sz w:val="20"/>
      <w:szCs w:val="20"/>
    </w:rPr>
  </w:style>
  <w:style w:type="character" w:styleId="CommentReference">
    <w:name w:val="annotation reference"/>
    <w:basedOn w:val="DefaultParagraphFont"/>
    <w:uiPriority w:val="99"/>
    <w:semiHidden/>
    <w:unhideWhenUsed/>
    <w:rsid w:val="00655E95"/>
    <w:rPr>
      <w:sz w:val="16"/>
      <w:szCs w:val="16"/>
    </w:rPr>
  </w:style>
  <w:style w:type="paragraph" w:styleId="BalloonText">
    <w:name w:val="Balloon Text"/>
    <w:basedOn w:val="Normal"/>
    <w:link w:val="BalloonTextChar"/>
    <w:uiPriority w:val="99"/>
    <w:semiHidden/>
    <w:unhideWhenUsed/>
    <w:rsid w:val="003E7E9A"/>
    <w:rPr>
      <w:rFonts w:ascii="Tahoma" w:hAnsi="Tahoma" w:cs="Tahoma"/>
      <w:sz w:val="16"/>
      <w:szCs w:val="16"/>
    </w:rPr>
  </w:style>
  <w:style w:type="character" w:customStyle="1" w:styleId="BalloonTextChar">
    <w:name w:val="Balloon Text Char"/>
    <w:basedOn w:val="DefaultParagraphFont"/>
    <w:link w:val="BalloonText"/>
    <w:uiPriority w:val="99"/>
    <w:semiHidden/>
    <w:rsid w:val="003E7E9A"/>
    <w:rPr>
      <w:rFonts w:ascii="Tahoma" w:hAnsi="Tahoma" w:cs="Tahoma"/>
      <w:sz w:val="16"/>
      <w:szCs w:val="16"/>
    </w:rPr>
  </w:style>
  <w:style w:type="paragraph" w:styleId="TOC1">
    <w:name w:val="toc 1"/>
    <w:basedOn w:val="Normal"/>
    <w:next w:val="Normal"/>
    <w:autoRedefine/>
    <w:uiPriority w:val="39"/>
    <w:unhideWhenUsed/>
    <w:qFormat/>
    <w:rsid w:val="00002B37"/>
    <w:pPr>
      <w:tabs>
        <w:tab w:val="right" w:pos="9350"/>
      </w:tabs>
      <w:spacing w:after="100" w:line="480" w:lineRule="auto"/>
    </w:pPr>
  </w:style>
  <w:style w:type="paragraph" w:styleId="TOC2">
    <w:name w:val="toc 2"/>
    <w:basedOn w:val="Normal"/>
    <w:next w:val="Normal"/>
    <w:autoRedefine/>
    <w:uiPriority w:val="39"/>
    <w:unhideWhenUsed/>
    <w:qFormat/>
    <w:rsid w:val="00706603"/>
    <w:pPr>
      <w:tabs>
        <w:tab w:val="right" w:leader="dot" w:pos="9350"/>
      </w:tabs>
      <w:spacing w:after="100" w:line="480" w:lineRule="auto"/>
      <w:ind w:left="240"/>
    </w:pPr>
  </w:style>
  <w:style w:type="character" w:styleId="Hyperlink">
    <w:name w:val="Hyperlink"/>
    <w:basedOn w:val="DefaultParagraphFont"/>
    <w:uiPriority w:val="99"/>
    <w:unhideWhenUsed/>
    <w:rsid w:val="000A457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75A68"/>
    <w:rPr>
      <w:b/>
      <w:bCs/>
    </w:rPr>
  </w:style>
  <w:style w:type="character" w:customStyle="1" w:styleId="CommentSubjectChar">
    <w:name w:val="Comment Subject Char"/>
    <w:basedOn w:val="CommentTextChar"/>
    <w:link w:val="CommentSubject"/>
    <w:uiPriority w:val="99"/>
    <w:semiHidden/>
    <w:rsid w:val="00675A68"/>
    <w:rPr>
      <w:b/>
      <w:bCs/>
      <w:sz w:val="20"/>
      <w:szCs w:val="20"/>
    </w:rPr>
  </w:style>
  <w:style w:type="paragraph" w:styleId="ListParagraph">
    <w:name w:val="List Paragraph"/>
    <w:basedOn w:val="Normal"/>
    <w:uiPriority w:val="34"/>
    <w:qFormat/>
    <w:rsid w:val="00002B37"/>
    <w:pPr>
      <w:ind w:left="720"/>
      <w:contextualSpacing/>
    </w:pPr>
  </w:style>
  <w:style w:type="paragraph" w:styleId="FootnoteText">
    <w:name w:val="footnote text"/>
    <w:basedOn w:val="Normal"/>
    <w:link w:val="FootnoteTextChar"/>
    <w:uiPriority w:val="99"/>
    <w:semiHidden/>
    <w:unhideWhenUsed/>
    <w:rsid w:val="005642D9"/>
    <w:rPr>
      <w:sz w:val="20"/>
      <w:szCs w:val="20"/>
    </w:rPr>
  </w:style>
  <w:style w:type="character" w:customStyle="1" w:styleId="FootnoteTextChar">
    <w:name w:val="Footnote Text Char"/>
    <w:basedOn w:val="DefaultParagraphFont"/>
    <w:link w:val="FootnoteText"/>
    <w:uiPriority w:val="99"/>
    <w:semiHidden/>
    <w:rsid w:val="005642D9"/>
    <w:rPr>
      <w:sz w:val="20"/>
      <w:szCs w:val="20"/>
    </w:rPr>
  </w:style>
  <w:style w:type="character" w:styleId="FootnoteReference">
    <w:name w:val="footnote reference"/>
    <w:basedOn w:val="DefaultParagraphFont"/>
    <w:uiPriority w:val="99"/>
    <w:semiHidden/>
    <w:unhideWhenUsed/>
    <w:rsid w:val="005642D9"/>
    <w:rPr>
      <w:vertAlign w:val="superscript"/>
    </w:rPr>
  </w:style>
  <w:style w:type="character" w:styleId="IntenseEmphasis">
    <w:name w:val="Intense Emphasis"/>
    <w:basedOn w:val="DefaultParagraphFont"/>
    <w:uiPriority w:val="21"/>
    <w:qFormat/>
    <w:rsid w:val="00002B37"/>
    <w:rPr>
      <w:b/>
      <w:bCs/>
      <w:i/>
      <w:iCs/>
      <w:color w:val="4F81BD" w:themeColor="accent1"/>
    </w:rPr>
  </w:style>
  <w:style w:type="paragraph" w:styleId="IntenseQuote">
    <w:name w:val="Intense Quote"/>
    <w:basedOn w:val="Normal"/>
    <w:next w:val="Normal"/>
    <w:link w:val="IntenseQuoteChar"/>
    <w:uiPriority w:val="30"/>
    <w:qFormat/>
    <w:rsid w:val="00002B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2B37"/>
    <w:rPr>
      <w:b/>
      <w:bCs/>
      <w:i/>
      <w:iCs/>
      <w:color w:val="4F81BD" w:themeColor="accent1"/>
    </w:rPr>
  </w:style>
  <w:style w:type="character" w:styleId="Strong">
    <w:name w:val="Strong"/>
    <w:basedOn w:val="DefaultParagraphFont"/>
    <w:uiPriority w:val="22"/>
    <w:qFormat/>
    <w:rsid w:val="00002B37"/>
    <w:rPr>
      <w:b/>
      <w:bCs/>
    </w:rPr>
  </w:style>
  <w:style w:type="character" w:customStyle="1" w:styleId="Heading7Char">
    <w:name w:val="Heading 7 Char"/>
    <w:basedOn w:val="DefaultParagraphFont"/>
    <w:link w:val="Heading7"/>
    <w:uiPriority w:val="9"/>
    <w:rsid w:val="00002B37"/>
    <w:rPr>
      <w:rFonts w:asciiTheme="majorHAnsi" w:eastAsiaTheme="majorEastAsia" w:hAnsiTheme="majorHAnsi" w:cstheme="majorBidi"/>
      <w:i/>
      <w:iCs/>
      <w:color w:val="404040" w:themeColor="text1" w:themeTint="BF"/>
    </w:rPr>
  </w:style>
  <w:style w:type="paragraph" w:styleId="TOC7">
    <w:name w:val="toc 7"/>
    <w:basedOn w:val="Normal"/>
    <w:next w:val="Normal"/>
    <w:autoRedefine/>
    <w:uiPriority w:val="39"/>
    <w:unhideWhenUsed/>
    <w:rsid w:val="00B70A8B"/>
    <w:pPr>
      <w:tabs>
        <w:tab w:val="right" w:pos="10070"/>
      </w:tabs>
      <w:spacing w:after="100"/>
    </w:pPr>
    <w:rPr>
      <w:b/>
      <w:bCs/>
      <w:noProof/>
    </w:rPr>
  </w:style>
  <w:style w:type="paragraph" w:styleId="TOCHeading">
    <w:name w:val="TOC Heading"/>
    <w:basedOn w:val="Heading1"/>
    <w:next w:val="Normal"/>
    <w:uiPriority w:val="39"/>
    <w:semiHidden/>
    <w:unhideWhenUsed/>
    <w:qFormat/>
    <w:rsid w:val="00002B37"/>
    <w:pPr>
      <w:outlineLvl w:val="9"/>
    </w:pPr>
  </w:style>
  <w:style w:type="character" w:customStyle="1" w:styleId="Heading1Char">
    <w:name w:val="Heading 1 Char"/>
    <w:basedOn w:val="DefaultParagraphFont"/>
    <w:link w:val="Heading1"/>
    <w:uiPriority w:val="9"/>
    <w:rsid w:val="00002B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2B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2B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2B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02B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02B3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002B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02B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2B37"/>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002B37"/>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002B3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02B37"/>
    <w:rPr>
      <w:i/>
      <w:iCs/>
    </w:rPr>
  </w:style>
  <w:style w:type="paragraph" w:styleId="NoSpacing">
    <w:name w:val="No Spacing"/>
    <w:uiPriority w:val="1"/>
    <w:qFormat/>
    <w:rsid w:val="00002B37"/>
    <w:pPr>
      <w:spacing w:after="0" w:line="240" w:lineRule="auto"/>
    </w:pPr>
  </w:style>
  <w:style w:type="paragraph" w:styleId="Quote">
    <w:name w:val="Quote"/>
    <w:basedOn w:val="Normal"/>
    <w:next w:val="Normal"/>
    <w:link w:val="QuoteChar"/>
    <w:uiPriority w:val="29"/>
    <w:qFormat/>
    <w:rsid w:val="00002B37"/>
    <w:rPr>
      <w:i/>
      <w:iCs/>
      <w:color w:val="000000" w:themeColor="text1"/>
    </w:rPr>
  </w:style>
  <w:style w:type="character" w:customStyle="1" w:styleId="QuoteChar">
    <w:name w:val="Quote Char"/>
    <w:basedOn w:val="DefaultParagraphFont"/>
    <w:link w:val="Quote"/>
    <w:uiPriority w:val="29"/>
    <w:rsid w:val="00002B37"/>
    <w:rPr>
      <w:i/>
      <w:iCs/>
      <w:color w:val="000000" w:themeColor="text1"/>
    </w:rPr>
  </w:style>
  <w:style w:type="character" w:styleId="SubtleEmphasis">
    <w:name w:val="Subtle Emphasis"/>
    <w:basedOn w:val="DefaultParagraphFont"/>
    <w:uiPriority w:val="19"/>
    <w:qFormat/>
    <w:rsid w:val="00002B37"/>
    <w:rPr>
      <w:i/>
      <w:iCs/>
      <w:color w:val="808080" w:themeColor="text1" w:themeTint="7F"/>
    </w:rPr>
  </w:style>
  <w:style w:type="character" w:styleId="SubtleReference">
    <w:name w:val="Subtle Reference"/>
    <w:basedOn w:val="DefaultParagraphFont"/>
    <w:uiPriority w:val="31"/>
    <w:qFormat/>
    <w:rsid w:val="00002B37"/>
    <w:rPr>
      <w:smallCaps/>
      <w:color w:val="C0504D" w:themeColor="accent2"/>
      <w:u w:val="single"/>
    </w:rPr>
  </w:style>
  <w:style w:type="character" w:styleId="IntenseReference">
    <w:name w:val="Intense Reference"/>
    <w:basedOn w:val="DefaultParagraphFont"/>
    <w:uiPriority w:val="32"/>
    <w:qFormat/>
    <w:rsid w:val="00002B37"/>
    <w:rPr>
      <w:b/>
      <w:bCs/>
      <w:smallCaps/>
      <w:color w:val="C0504D" w:themeColor="accent2"/>
      <w:spacing w:val="5"/>
      <w:u w:val="single"/>
    </w:rPr>
  </w:style>
  <w:style w:type="character" w:styleId="BookTitle">
    <w:name w:val="Book Title"/>
    <w:basedOn w:val="DefaultParagraphFont"/>
    <w:uiPriority w:val="33"/>
    <w:qFormat/>
    <w:rsid w:val="00002B37"/>
    <w:rPr>
      <w:b/>
      <w:bCs/>
      <w:smallCaps/>
      <w:spacing w:val="5"/>
    </w:rPr>
  </w:style>
  <w:style w:type="paragraph" w:styleId="TOC3">
    <w:name w:val="toc 3"/>
    <w:basedOn w:val="Normal"/>
    <w:next w:val="Normal"/>
    <w:autoRedefine/>
    <w:uiPriority w:val="39"/>
    <w:semiHidden/>
    <w:unhideWhenUsed/>
    <w:qFormat/>
    <w:rsid w:val="00706603"/>
    <w:pPr>
      <w:spacing w:after="100"/>
      <w:ind w:left="440"/>
    </w:pPr>
    <w:rPr>
      <w:lang w:bidi="ar-SA"/>
    </w:rPr>
  </w:style>
  <w:style w:type="paragraph" w:styleId="Header">
    <w:name w:val="header"/>
    <w:basedOn w:val="Normal"/>
    <w:link w:val="HeaderChar"/>
    <w:uiPriority w:val="99"/>
    <w:unhideWhenUsed/>
    <w:rsid w:val="0070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603"/>
  </w:style>
  <w:style w:type="paragraph" w:styleId="Footer">
    <w:name w:val="footer"/>
    <w:basedOn w:val="Normal"/>
    <w:link w:val="FooterChar"/>
    <w:uiPriority w:val="99"/>
    <w:unhideWhenUsed/>
    <w:rsid w:val="0070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603"/>
  </w:style>
  <w:style w:type="paragraph" w:styleId="Revision">
    <w:name w:val="Revision"/>
    <w:hidden/>
    <w:uiPriority w:val="99"/>
    <w:semiHidden/>
    <w:rsid w:val="00DF6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oe.mass.edu/lawsregs/603cmr7.html?section=02" TargetMode="External"/><Relationship Id="rId26" Type="http://schemas.openxmlformats.org/officeDocument/2006/relationships/hyperlink" Target="http://www.doe.mass.edu/edprep/advisories/TeachersGuidelines.pdf" TargetMode="External"/><Relationship Id="rId3" Type="http://schemas.openxmlformats.org/officeDocument/2006/relationships/customXml" Target="../customXml/item3.xml"/><Relationship Id="rId21" Type="http://schemas.openxmlformats.org/officeDocument/2006/relationships/hyperlink" Target="http://www.doe.mass.edu/edprep/toolkit/smk.html"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doe.mass.edu/edprep/cap/" TargetMode="External"/><Relationship Id="rId25" Type="http://schemas.openxmlformats.org/officeDocument/2006/relationships/hyperlink" Target="http://www.doe.mass.edu/lawsregs/603cmr7.html?section=03" TargetMode="External"/><Relationship Id="rId2" Type="http://schemas.openxmlformats.org/officeDocument/2006/relationships/customXml" Target="../customXml/item2.xml"/><Relationship Id="rId16" Type="http://schemas.openxmlformats.org/officeDocument/2006/relationships/hyperlink" Target="http://www.doe.mass.edu/edprep/advisories/TeachersGuidelines.pdf" TargetMode="External"/><Relationship Id="rId20" Type="http://schemas.openxmlformats.org/officeDocument/2006/relationships/hyperlink" Target="http://www.doe.mass.edu/edprep/advisories/TeachersGuidelines.pdf" TargetMode="External"/><Relationship Id="rId29" Type="http://schemas.openxmlformats.org/officeDocument/2006/relationships/hyperlink" Target="http://www.doe.mass.edu/framewor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7.html?section=03"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edprep/toolkit/1819/criterialist.pdf" TargetMode="External"/><Relationship Id="rId28" Type="http://schemas.openxmlformats.org/officeDocument/2006/relationships/hyperlink" Target="http://www.doe.mass.edu/edeval/" TargetMode="External"/><Relationship Id="rId10" Type="http://schemas.openxmlformats.org/officeDocument/2006/relationships/footnotes" Target="footnotes.xml"/><Relationship Id="rId19" Type="http://schemas.openxmlformats.org/officeDocument/2006/relationships/hyperlink" Target="http://www.doe.mass.edu/edprep/advisories/TeachersGuideline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lawsregs/603cmr7.html?section=02" TargetMode="External"/><Relationship Id="rId27" Type="http://schemas.openxmlformats.org/officeDocument/2006/relationships/hyperlink" Target="http://www.doe.mass.edu/edprep/cap/guidelines.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educators/equitableaccess/2017equityupdate.pdf" TargetMode="External"/><Relationship Id="rId1" Type="http://schemas.openxmlformats.org/officeDocument/2006/relationships/hyperlink" Target="http://www.doe.mass.edu/educators/equitableaccess/2017equity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DESE-231-41611</_dlc_DocId>
    <_dlc_DocIdUrl xmlns="733efe1c-5bbe-4968-87dc-d400e65c879f">
      <Url>https://sharepoint.doemass.org/ese/webteam/cps/_layouts/DocIdRedir.aspx?ID=DESE-231-41611</Url>
      <Description>DESE-231-41611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4CC87-9399-4892-ADE9-02BBFA7CF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C3370-D47E-40AA-BD75-527662CD24FC}">
  <ds:schemaRefs>
    <ds:schemaRef ds:uri="http://schemas.microsoft.com/sharepoint/events"/>
  </ds:schemaRefs>
</ds:datastoreItem>
</file>

<file path=customXml/itemProps3.xml><?xml version="1.0" encoding="utf-8"?>
<ds:datastoreItem xmlns:ds="http://schemas.openxmlformats.org/officeDocument/2006/customXml" ds:itemID="{99651900-194A-4921-97C6-17BAC4D595E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27B3AF4-6E68-44C7-8B0D-F280A5B7E763}">
  <ds:schemaRefs>
    <ds:schemaRef ds:uri="http://schemas.microsoft.com/sharepoint/v3/contenttype/forms"/>
  </ds:schemaRefs>
</ds:datastoreItem>
</file>

<file path=customXml/itemProps5.xml><?xml version="1.0" encoding="utf-8"?>
<ds:datastoreItem xmlns:ds="http://schemas.openxmlformats.org/officeDocument/2006/customXml" ds:itemID="{0DA4A9B7-55D3-48C8-B15F-136C64A2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2156</Words>
  <Characters>13264</Characters>
  <Application>Microsoft Office Word</Application>
  <DocSecurity>0</DocSecurity>
  <Lines>228</Lines>
  <Paragraphs>84</Paragraphs>
  <ScaleCrop>false</ScaleCrop>
  <HeadingPairs>
    <vt:vector size="2" baseType="variant">
      <vt:variant>
        <vt:lpstr>Title</vt:lpstr>
      </vt:variant>
      <vt:variant>
        <vt:i4>1</vt:i4>
      </vt:variant>
    </vt:vector>
  </HeadingPairs>
  <TitlesOfParts>
    <vt:vector size="1" baseType="lpstr">
      <vt:lpstr>Pre-Practicum Guidelines for Teachers - May 2018</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Pre-Practicum Guidelines for Teachers - May 2018</dc:title>
  <dc:creator>DESE</dc:creator>
  <cp:lastModifiedBy>Zou, Dong</cp:lastModifiedBy>
  <cp:revision>5</cp:revision>
  <cp:lastPrinted>2018-05-03T15:14:00Z</cp:lastPrinted>
  <dcterms:created xsi:type="dcterms:W3CDTF">2018-05-02T15:53:00Z</dcterms:created>
  <dcterms:modified xsi:type="dcterms:W3CDTF">2018-05-03T15:14:00Z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2018</vt:lpwstr>
  </property>
</Properties>
</file>