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21A90" w14:textId="77777777" w:rsidR="00FA65BE" w:rsidRDefault="00FA65BE" w:rsidP="00FA65BE">
      <w:pPr>
        <w:pStyle w:val="Heading2"/>
        <w:rPr>
          <w:b/>
          <w:color w:val="4472C4" w:themeColor="accent5"/>
        </w:rPr>
      </w:pPr>
      <w:bookmarkStart w:id="0" w:name="_GoBack"/>
      <w:bookmarkEnd w:id="0"/>
      <w:r>
        <w:rPr>
          <w:b/>
          <w:noProof/>
          <w:color w:val="4472C4" w:themeColor="accent5"/>
        </w:rPr>
        <w:drawing>
          <wp:anchor distT="0" distB="0" distL="114300" distR="114300" simplePos="0" relativeHeight="251658240" behindDoc="1" locked="0" layoutInCell="1" allowOverlap="1" wp14:anchorId="12772DDA" wp14:editId="0DE4DF8C">
            <wp:simplePos x="0" y="0"/>
            <wp:positionH relativeFrom="margin">
              <wp:posOffset>6073140</wp:posOffset>
            </wp:positionH>
            <wp:positionV relativeFrom="margin">
              <wp:posOffset>-312420</wp:posOffset>
            </wp:positionV>
            <wp:extent cx="775335" cy="375285"/>
            <wp:effectExtent l="0" t="0" r="5715" b="0"/>
            <wp:wrapSquare wrapText="bothSides"/>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lancy\AppData\Local\Microsoft\Windows\INetCache\Content.Word\Master-Logo_695x338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82F" w:rsidRPr="003E1776">
        <w:rPr>
          <w:b/>
          <w:color w:val="4472C4" w:themeColor="accent5"/>
        </w:rPr>
        <w:t>Pre-Practicum Gateway Task</w:t>
      </w:r>
      <w:r w:rsidR="002B5E12" w:rsidRPr="003E1776">
        <w:rPr>
          <w:b/>
          <w:color w:val="4472C4" w:themeColor="accent5"/>
        </w:rPr>
        <w:t xml:space="preserve">:  </w:t>
      </w:r>
      <w:r w:rsidR="00531B07" w:rsidRPr="003E1776">
        <w:rPr>
          <w:b/>
          <w:color w:val="4472C4" w:themeColor="accent5"/>
        </w:rPr>
        <w:t>Adapting Instructional Materials</w:t>
      </w:r>
    </w:p>
    <w:p w14:paraId="2A01D729" w14:textId="77777777" w:rsidR="006C0FD2" w:rsidRPr="006C0FD2" w:rsidRDefault="006C0FD2" w:rsidP="006C0FD2">
      <w:pPr>
        <w:rPr>
          <w:i/>
          <w:color w:val="2F5496" w:themeColor="accent5" w:themeShade="BF"/>
        </w:rPr>
      </w:pPr>
      <w:r w:rsidRPr="006C0FD2">
        <w:rPr>
          <w:i/>
          <w:color w:val="2F5496" w:themeColor="accent5" w:themeShade="BF"/>
        </w:rPr>
        <w:t>Candidates will adapt high-quality instructional materials to meet the needs of all learners.</w:t>
      </w:r>
    </w:p>
    <w:p w14:paraId="23A8195C" w14:textId="77777777" w:rsidR="006C0FD2" w:rsidRDefault="006C0FD2" w:rsidP="00F5618C">
      <w:pPr>
        <w:shd w:val="clear" w:color="auto" w:fill="D9E2F3" w:themeFill="accent5" w:themeFillTint="33"/>
        <w:spacing w:before="360"/>
        <w:rPr>
          <w:b/>
        </w:rPr>
      </w:pPr>
      <w:r w:rsidRPr="00857CA3">
        <w:rPr>
          <w:b/>
        </w:rPr>
        <w:t xml:space="preserve">Alignment to </w:t>
      </w:r>
      <w:hyperlink r:id="rId13" w:history="1">
        <w:r w:rsidR="00710385" w:rsidRPr="00004845">
          <w:rPr>
            <w:rStyle w:val="Hyperlink"/>
            <w:b/>
          </w:rPr>
          <w:t>Professional Standards for Teachers</w:t>
        </w:r>
      </w:hyperlink>
      <w:r w:rsidRPr="00857CA3">
        <w:rPr>
          <w:b/>
        </w:rPr>
        <w:t>:</w:t>
      </w:r>
    </w:p>
    <w:p w14:paraId="02E1B39F" w14:textId="77777777" w:rsidR="006C0FD2" w:rsidRPr="003E1289" w:rsidRDefault="006C0FD2" w:rsidP="006C0FD2">
      <w:pPr>
        <w:pStyle w:val="ListParagraph"/>
        <w:numPr>
          <w:ilvl w:val="0"/>
          <w:numId w:val="17"/>
        </w:numPr>
      </w:pPr>
      <w:r w:rsidRPr="006C0FD2">
        <w:rPr>
          <w:b/>
        </w:rPr>
        <w:t>Indicator II-A</w:t>
      </w:r>
      <w:r>
        <w:rPr>
          <w:b/>
        </w:rPr>
        <w:t>.</w:t>
      </w:r>
      <w:r w:rsidRPr="006C0FD2">
        <w:rPr>
          <w:b/>
        </w:rPr>
        <w:t xml:space="preserve"> Instruction:</w:t>
      </w:r>
      <w:r>
        <w:t xml:space="preserve"> </w:t>
      </w:r>
      <w:r w:rsidRPr="003E1289">
        <w:t>Uses instructional practices that reflect high expectations regarding content and quality of effort and work; engage all students; and are personalized to accommodate diverse learning styles, needs, interests, and levels of readiness.</w:t>
      </w:r>
    </w:p>
    <w:p w14:paraId="27B47C08" w14:textId="77777777" w:rsidR="006C0FD2" w:rsidRDefault="006C0FD2" w:rsidP="006C0FD2">
      <w:pPr>
        <w:pStyle w:val="ListParagraph"/>
        <w:numPr>
          <w:ilvl w:val="1"/>
          <w:numId w:val="17"/>
        </w:numPr>
      </w:pPr>
      <w:r w:rsidRPr="006C0FD2">
        <w:rPr>
          <w:b/>
        </w:rPr>
        <w:t>Element II-A-1. Quality of Effort and Work:</w:t>
      </w:r>
      <w:r>
        <w:t xml:space="preserve"> </w:t>
      </w:r>
      <w:r w:rsidRPr="00147620">
        <w:t>Consistently defines high expectations for the quality of student work and the perseverance and effort required to produce it; often provides exemplars, rubrics, and guided practice.</w:t>
      </w:r>
    </w:p>
    <w:p w14:paraId="52070B42" w14:textId="77777777" w:rsidR="006C0FD2" w:rsidRDefault="006C0FD2" w:rsidP="006C0FD2">
      <w:pPr>
        <w:pStyle w:val="ListParagraph"/>
        <w:numPr>
          <w:ilvl w:val="1"/>
          <w:numId w:val="17"/>
        </w:numPr>
      </w:pPr>
      <w:r w:rsidRPr="006C0FD2">
        <w:rPr>
          <w:b/>
        </w:rPr>
        <w:t>Element II-A-2. Student Engagement:</w:t>
      </w:r>
      <w:r>
        <w:t xml:space="preserve"> </w:t>
      </w:r>
      <w:r w:rsidRPr="00147620">
        <w:t>Consistently uses instructional practices that are likely to motivate and engage most students in the content of the lesson.</w:t>
      </w:r>
    </w:p>
    <w:p w14:paraId="7347D756" w14:textId="77777777" w:rsidR="006C0FD2" w:rsidRPr="00147620" w:rsidRDefault="006C0FD2" w:rsidP="006C0FD2">
      <w:pPr>
        <w:pStyle w:val="ListParagraph"/>
        <w:numPr>
          <w:ilvl w:val="1"/>
          <w:numId w:val="17"/>
        </w:numPr>
      </w:pPr>
      <w:r w:rsidRPr="006C0FD2">
        <w:rPr>
          <w:b/>
        </w:rPr>
        <w:t>Element II-A-3. Meeting Diverse Needs:</w:t>
      </w:r>
      <w:r>
        <w:t xml:space="preserve"> </w:t>
      </w:r>
      <w:r w:rsidRPr="00147620">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p w14:paraId="261D01D1" w14:textId="77777777" w:rsidR="00586F97" w:rsidRDefault="00586F97" w:rsidP="00F5618C">
      <w:pPr>
        <w:shd w:val="clear" w:color="auto" w:fill="D9E2F3" w:themeFill="accent5" w:themeFillTint="33"/>
        <w:spacing w:before="240"/>
        <w:rPr>
          <w:b/>
        </w:rPr>
      </w:pPr>
      <w:r>
        <w:rPr>
          <w:b/>
        </w:rPr>
        <w:t>Licensure Field/Grade-Level:</w:t>
      </w:r>
    </w:p>
    <w:p w14:paraId="41DB8744" w14:textId="77777777" w:rsidR="006C0FD2" w:rsidRPr="00586F97" w:rsidRDefault="006C0FD2" w:rsidP="006C0FD2">
      <w:pPr>
        <w:spacing w:before="240"/>
      </w:pPr>
      <w:r>
        <w:t>This task can be adapted for use in any licensure program. See below for suggested instructions for developing, administering, and completing this task.</w:t>
      </w:r>
    </w:p>
    <w:p w14:paraId="1DE11B77" w14:textId="77777777" w:rsidR="00857CA3" w:rsidRDefault="00857CA3" w:rsidP="00F5618C">
      <w:pPr>
        <w:shd w:val="clear" w:color="auto" w:fill="D9E2F3" w:themeFill="accent5" w:themeFillTint="33"/>
        <w:spacing w:before="360"/>
      </w:pPr>
      <w:r>
        <w:rPr>
          <w:b/>
        </w:rPr>
        <w:t xml:space="preserve">Instructions for </w:t>
      </w:r>
      <w:r w:rsidR="004221A8">
        <w:rPr>
          <w:b/>
        </w:rPr>
        <w:t>Administering the Task:</w:t>
      </w:r>
    </w:p>
    <w:p w14:paraId="5FE75CF3" w14:textId="77777777" w:rsidR="004F6AA4" w:rsidRDefault="00BE4EA8" w:rsidP="004F6AA4">
      <w:r>
        <w:rPr>
          <w:noProof/>
        </w:rPr>
        <mc:AlternateContent>
          <mc:Choice Requires="wps">
            <w:drawing>
              <wp:anchor distT="0" distB="0" distL="114300" distR="114300" simplePos="0" relativeHeight="251662336" behindDoc="1" locked="0" layoutInCell="1" allowOverlap="1" wp14:anchorId="463E6933" wp14:editId="63569880">
                <wp:simplePos x="0" y="0"/>
                <wp:positionH relativeFrom="column">
                  <wp:posOffset>5052060</wp:posOffset>
                </wp:positionH>
                <wp:positionV relativeFrom="paragraph">
                  <wp:posOffset>295275</wp:posOffset>
                </wp:positionV>
                <wp:extent cx="1943100" cy="1752600"/>
                <wp:effectExtent l="0" t="0" r="19050" b="19050"/>
                <wp:wrapSquare wrapText="bothSides"/>
                <wp:docPr id="1" name="Rectangle 1"/>
                <wp:cNvGraphicFramePr/>
                <a:graphic xmlns:a="http://schemas.openxmlformats.org/drawingml/2006/main">
                  <a:graphicData uri="http://schemas.microsoft.com/office/word/2010/wordprocessingShape">
                    <wps:wsp>
                      <wps:cNvSpPr/>
                      <wps:spPr>
                        <a:xfrm>
                          <a:off x="0" y="0"/>
                          <a:ext cx="1943100" cy="1752600"/>
                        </a:xfrm>
                        <a:prstGeom prst="rect">
                          <a:avLst/>
                        </a:prstGeom>
                        <a:solidFill>
                          <a:schemeClr val="accent1">
                            <a:lumMod val="20000"/>
                            <a:lumOff val="80000"/>
                          </a:schemeClr>
                        </a:solidFill>
                        <a:ln>
                          <a:prstDash val="dash"/>
                        </a:ln>
                      </wps:spPr>
                      <wps:style>
                        <a:lnRef idx="1">
                          <a:schemeClr val="accent1"/>
                        </a:lnRef>
                        <a:fillRef idx="2">
                          <a:schemeClr val="accent1"/>
                        </a:fillRef>
                        <a:effectRef idx="1">
                          <a:schemeClr val="accent1"/>
                        </a:effectRef>
                        <a:fontRef idx="minor">
                          <a:schemeClr val="dk1"/>
                        </a:fontRef>
                      </wps:style>
                      <wps:txbx>
                        <w:txbxContent>
                          <w:p w14:paraId="6F6C8B8F" w14:textId="77777777" w:rsidR="00BE4EA8" w:rsidRPr="00961DF5" w:rsidRDefault="00BE4EA8" w:rsidP="00BE4EA8">
                            <w:pPr>
                              <w:shd w:val="clear" w:color="auto" w:fill="D9E2F3" w:themeFill="accent5" w:themeFillTint="33"/>
                              <w:rPr>
                                <w:sz w:val="18"/>
                              </w:rPr>
                            </w:pPr>
                            <w:r w:rsidRPr="00961DF5">
                              <w:rPr>
                                <w:sz w:val="18"/>
                              </w:rPr>
                              <w:t xml:space="preserve">Consider using the instructional materials in use in partner districts (see </w:t>
                            </w:r>
                            <w:hyperlink r:id="rId14" w:history="1">
                              <w:r w:rsidRPr="00961DF5">
                                <w:rPr>
                                  <w:rStyle w:val="Hyperlink"/>
                                  <w:sz w:val="18"/>
                                </w:rPr>
                                <w:t>Heatmap</w:t>
                              </w:r>
                              <w:r w:rsidRPr="00BE4EA8">
                                <w:rPr>
                                  <w:rStyle w:val="Hyperlink"/>
                                  <w:sz w:val="18"/>
                                </w:rPr>
                                <w:t>s</w:t>
                              </w:r>
                            </w:hyperlink>
                            <w:r w:rsidRPr="00961DF5">
                              <w:rPr>
                                <w:sz w:val="18"/>
                              </w:rPr>
                              <w:t xml:space="preserve">) or select a lesson from a </w:t>
                            </w:r>
                            <w:r>
                              <w:rPr>
                                <w:sz w:val="18"/>
                              </w:rPr>
                              <w:t>highly-rated</w:t>
                            </w:r>
                            <w:r w:rsidRPr="00961DF5">
                              <w:rPr>
                                <w:sz w:val="18"/>
                              </w:rPr>
                              <w:t xml:space="preserve"> curriculum (see </w:t>
                            </w:r>
                            <w:hyperlink r:id="rId15" w:history="1">
                              <w:r w:rsidRPr="00961DF5">
                                <w:rPr>
                                  <w:rStyle w:val="Hyperlink"/>
                                  <w:sz w:val="18"/>
                                </w:rPr>
                                <w:t>CURATE resources</w:t>
                              </w:r>
                            </w:hyperlink>
                            <w:r w:rsidRPr="00961DF5">
                              <w:rPr>
                                <w:sz w:val="18"/>
                              </w:rPr>
                              <w:t>). Providing candidates with access to and practice with high-quality inst</w:t>
                            </w:r>
                            <w:r>
                              <w:rPr>
                                <w:sz w:val="18"/>
                              </w:rPr>
                              <w:t>ructional materials builds content knowledge fluency and helps prepare them to be critical consumers of curricular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6933" id="Rectangle 1" o:spid="_x0000_s1026" style="position:absolute;margin-left:397.8pt;margin-top:23.25pt;width:153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" fillcolor="#deeaf6 [660]" strokecolor="#5b9bd5 [3204]" strokeweight=".5pt">
                <v:stroke dashstyle="dash"/>
                <v:textbox>
                  <w:txbxContent>
                    <w:p w14:paraId="6F6C8B8F" w14:textId="77777777" w:rsidR="00BE4EA8" w:rsidRPr="00961DF5" w:rsidRDefault="00BE4EA8" w:rsidP="00BE4EA8">
                      <w:pPr>
                        <w:shd w:val="clear" w:color="auto" w:fill="D9E2F3" w:themeFill="accent5" w:themeFillTint="33"/>
                        <w:rPr>
                          <w:sz w:val="18"/>
                        </w:rPr>
                      </w:pPr>
                      <w:r w:rsidRPr="00961DF5">
                        <w:rPr>
                          <w:sz w:val="18"/>
                        </w:rPr>
                        <w:t xml:space="preserve">Consider using the instructional materials in use in partner districts (see </w:t>
                      </w:r>
                      <w:hyperlink r:id="rId16" w:history="1">
                        <w:r w:rsidRPr="00961DF5">
                          <w:rPr>
                            <w:rStyle w:val="Hyperlink"/>
                            <w:sz w:val="18"/>
                          </w:rPr>
                          <w:t>Heatmap</w:t>
                        </w:r>
                        <w:r w:rsidRPr="00BE4EA8">
                          <w:rPr>
                            <w:rStyle w:val="Hyperlink"/>
                            <w:sz w:val="18"/>
                          </w:rPr>
                          <w:t>s</w:t>
                        </w:r>
                      </w:hyperlink>
                      <w:r w:rsidRPr="00961DF5">
                        <w:rPr>
                          <w:sz w:val="18"/>
                        </w:rPr>
                        <w:t xml:space="preserve">) or select a lesson from a </w:t>
                      </w:r>
                      <w:r>
                        <w:rPr>
                          <w:sz w:val="18"/>
                        </w:rPr>
                        <w:t>highly-rated</w:t>
                      </w:r>
                      <w:r w:rsidRPr="00961DF5">
                        <w:rPr>
                          <w:sz w:val="18"/>
                        </w:rPr>
                        <w:t xml:space="preserve"> curriculum (see </w:t>
                      </w:r>
                      <w:hyperlink r:id="rId17" w:history="1">
                        <w:r w:rsidRPr="00961DF5">
                          <w:rPr>
                            <w:rStyle w:val="Hyperlink"/>
                            <w:sz w:val="18"/>
                          </w:rPr>
                          <w:t>CURATE resources</w:t>
                        </w:r>
                      </w:hyperlink>
                      <w:r w:rsidRPr="00961DF5">
                        <w:rPr>
                          <w:sz w:val="18"/>
                        </w:rPr>
                        <w:t>). Providing candidates with access to and practice with high-quality inst</w:t>
                      </w:r>
                      <w:r>
                        <w:rPr>
                          <w:sz w:val="18"/>
                        </w:rPr>
                        <w:t>ructional materials builds content knowledge fluency and helps prepare them to be critical consumers of curricular materials.</w:t>
                      </w:r>
                    </w:p>
                  </w:txbxContent>
                </v:textbox>
                <w10:wrap type="square"/>
              </v:rect>
            </w:pict>
          </mc:Fallback>
        </mc:AlternateContent>
      </w:r>
      <w:r w:rsidR="004F6AA4" w:rsidRPr="00FA65BE">
        <w:t>Note:</w:t>
      </w:r>
      <w:r w:rsidR="004F6AA4">
        <w:t xml:space="preserve"> This task is designed to be completed during Pre-Practicum Stage 1</w:t>
      </w:r>
      <w:r w:rsidR="004F6AA4">
        <w:rPr>
          <w:rStyle w:val="FootnoteReference"/>
        </w:rPr>
        <w:footnoteReference w:id="1"/>
      </w:r>
      <w:r w:rsidR="004F6AA4">
        <w:t xml:space="preserve"> because it does not require a candidate to directly engage with students in a PK-12 classroom.</w:t>
      </w:r>
    </w:p>
    <w:p w14:paraId="49E5C35F" w14:textId="6C477200" w:rsidR="00BE4EA8" w:rsidRDefault="00090AB9" w:rsidP="00961DF5">
      <w:pPr>
        <w:pStyle w:val="ListParagraph"/>
        <w:numPr>
          <w:ilvl w:val="0"/>
          <w:numId w:val="20"/>
        </w:numPr>
      </w:pPr>
      <w:r>
        <w:t>Select</w:t>
      </w:r>
      <w:r w:rsidR="000341D6">
        <w:t xml:space="preserve"> </w:t>
      </w:r>
      <w:r w:rsidR="00BE4EA8">
        <w:t>a</w:t>
      </w:r>
      <w:r w:rsidR="000341D6">
        <w:t xml:space="preserve"> lesson</w:t>
      </w:r>
      <w:r w:rsidR="004C3092">
        <w:t xml:space="preserve"> address</w:t>
      </w:r>
      <w:r w:rsidR="00BE4EA8">
        <w:t>ing</w:t>
      </w:r>
      <w:r w:rsidR="004C3092">
        <w:t xml:space="preserve"> </w:t>
      </w:r>
      <w:r w:rsidR="00F650E1">
        <w:t>specific</w:t>
      </w:r>
      <w:r w:rsidR="00147620">
        <w:t xml:space="preserve"> standards from the </w:t>
      </w:r>
      <w:hyperlink r:id="rId18" w:history="1">
        <w:r w:rsidR="00147620" w:rsidRPr="00147620">
          <w:rPr>
            <w:rStyle w:val="Hyperlink"/>
          </w:rPr>
          <w:t>Massachusetts Curriculum Frameworks</w:t>
        </w:r>
      </w:hyperlink>
      <w:r w:rsidR="00BE4EA8">
        <w:t xml:space="preserve">. </w:t>
      </w:r>
      <w:r w:rsidR="00FA65BE" w:rsidRPr="00FA65BE">
        <w:rPr>
          <w:i/>
        </w:rPr>
        <w:t>All teacher candidates in the program should be provided with the same sample instructional materials to complete this task.</w:t>
      </w:r>
    </w:p>
    <w:p w14:paraId="0E84FF56" w14:textId="77777777" w:rsidR="00F5618C" w:rsidRDefault="00F5618C" w:rsidP="00961DF5">
      <w:pPr>
        <w:pStyle w:val="ListParagraph"/>
        <w:numPr>
          <w:ilvl w:val="0"/>
          <w:numId w:val="20"/>
        </w:numPr>
        <w:spacing w:before="240"/>
        <w:contextualSpacing w:val="0"/>
      </w:pPr>
      <w:r>
        <w:t xml:space="preserve">Calibrate around expectations for candidates’ responses </w:t>
      </w:r>
      <w:r w:rsidR="00BE4EA8">
        <w:t xml:space="preserve">by responding to </w:t>
      </w:r>
      <w:r>
        <w:t xml:space="preserve">the scorer calibration questions on </w:t>
      </w:r>
      <w:hyperlink w:anchor="_Scoring_Guide:_Scorer" w:history="1">
        <w:r w:rsidRPr="000F27BF">
          <w:rPr>
            <w:rStyle w:val="Hyperlink"/>
          </w:rPr>
          <w:t>page 5</w:t>
        </w:r>
      </w:hyperlink>
      <w:r>
        <w:t xml:space="preserve">. Be clear about the specific information that you </w:t>
      </w:r>
      <w:r w:rsidRPr="00961DF5">
        <w:rPr>
          <w:i/>
        </w:rPr>
        <w:t>must see</w:t>
      </w:r>
      <w:r>
        <w:t xml:space="preserve"> in the candidates’ responses in order to receive a score of “Meets Expectations.” </w:t>
      </w:r>
    </w:p>
    <w:p w14:paraId="1F444855" w14:textId="77777777" w:rsidR="00F5618C" w:rsidRPr="00A83655" w:rsidRDefault="00F5618C" w:rsidP="00F5618C">
      <w:pPr>
        <w:pStyle w:val="ListParagraph"/>
        <w:numPr>
          <w:ilvl w:val="0"/>
          <w:numId w:val="20"/>
        </w:numPr>
        <w:contextualSpacing w:val="0"/>
      </w:pPr>
      <w:r>
        <w:t>Provide the candidate(s) with the instructions (</w:t>
      </w:r>
      <w:hyperlink w:anchor="instructsionsforcand" w:history="1">
        <w:r w:rsidRPr="00F5070B">
          <w:rPr>
            <w:rStyle w:val="Hyperlink"/>
          </w:rPr>
          <w:t>page 2</w:t>
        </w:r>
      </w:hyperlink>
      <w:r>
        <w:t xml:space="preserve">) and the sample lesson. </w:t>
      </w:r>
    </w:p>
    <w:p w14:paraId="1997A04D" w14:textId="77777777" w:rsidR="00F5618C" w:rsidRDefault="00F5618C" w:rsidP="00F5618C">
      <w:pPr>
        <w:pStyle w:val="ListParagraph"/>
        <w:numPr>
          <w:ilvl w:val="0"/>
          <w:numId w:val="20"/>
        </w:numPr>
        <w:contextualSpacing w:val="0"/>
      </w:pPr>
      <w:r>
        <w:t>Use the rubric to score the candidate’s submission.</w:t>
      </w:r>
    </w:p>
    <w:p w14:paraId="68ED5F05" w14:textId="77777777" w:rsidR="00F5618C" w:rsidRDefault="00F5618C" w:rsidP="00F5618C">
      <w:pPr>
        <w:pStyle w:val="ListParagraph"/>
        <w:numPr>
          <w:ilvl w:val="0"/>
          <w:numId w:val="20"/>
        </w:numPr>
        <w:contextualSpacing w:val="0"/>
      </w:pPr>
      <w:r>
        <w:t>Reconvene as a department or with the other scorers of this task to review candidate responses, identify trends, and discuss implications or adjustments necessary to continue to support candidate readiness and programmatic continuous improvement.</w:t>
      </w:r>
    </w:p>
    <w:p w14:paraId="756333BB" w14:textId="77777777" w:rsidR="00711490" w:rsidRDefault="00711490" w:rsidP="00711490"/>
    <w:p w14:paraId="79C482DE" w14:textId="77777777" w:rsidR="00DF2D98" w:rsidRDefault="00057ED5" w:rsidP="00F5618C">
      <w:pPr>
        <w:shd w:val="clear" w:color="auto" w:fill="D9E2F3" w:themeFill="accent5" w:themeFillTint="33"/>
        <w:spacing w:before="240"/>
        <w:rPr>
          <w:b/>
        </w:rPr>
      </w:pPr>
      <w:r>
        <w:rPr>
          <w:b/>
        </w:rPr>
        <w:lastRenderedPageBreak/>
        <w:t>Instructions for the Teacher Candidate:</w:t>
      </w:r>
    </w:p>
    <w:p w14:paraId="02DD7B42" w14:textId="77777777" w:rsidR="00E933F7" w:rsidRDefault="00165F20" w:rsidP="00384C68">
      <w:pPr>
        <w:spacing w:before="240"/>
      </w:pPr>
      <w:r>
        <w:rPr>
          <w:noProof/>
        </w:rPr>
        <mc:AlternateContent>
          <mc:Choice Requires="wps">
            <w:drawing>
              <wp:anchor distT="0" distB="0" distL="114300" distR="114300" simplePos="0" relativeHeight="251660288" behindDoc="1" locked="0" layoutInCell="1" allowOverlap="1" wp14:anchorId="0C255D0A" wp14:editId="106F09C0">
                <wp:simplePos x="0" y="0"/>
                <wp:positionH relativeFrom="column">
                  <wp:posOffset>5135880</wp:posOffset>
                </wp:positionH>
                <wp:positionV relativeFrom="paragraph">
                  <wp:posOffset>345440</wp:posOffset>
                </wp:positionV>
                <wp:extent cx="1943100" cy="3086100"/>
                <wp:effectExtent l="0" t="0" r="19050" b="19050"/>
                <wp:wrapSquare wrapText="bothSides"/>
                <wp:docPr id="3" name="Rectangle 3"/>
                <wp:cNvGraphicFramePr/>
                <a:graphic xmlns:a="http://schemas.openxmlformats.org/drawingml/2006/main">
                  <a:graphicData uri="http://schemas.microsoft.com/office/word/2010/wordprocessingShape">
                    <wps:wsp>
                      <wps:cNvSpPr/>
                      <wps:spPr>
                        <a:xfrm>
                          <a:off x="0" y="0"/>
                          <a:ext cx="1943100" cy="3086100"/>
                        </a:xfrm>
                        <a:prstGeom prst="rect">
                          <a:avLst/>
                        </a:prstGeom>
                        <a:solidFill>
                          <a:schemeClr val="accent1">
                            <a:lumMod val="20000"/>
                            <a:lumOff val="80000"/>
                          </a:schemeClr>
                        </a:solidFill>
                        <a:ln>
                          <a:prstDash val="dash"/>
                        </a:ln>
                      </wps:spPr>
                      <wps:style>
                        <a:lnRef idx="1">
                          <a:schemeClr val="accent1"/>
                        </a:lnRef>
                        <a:fillRef idx="2">
                          <a:schemeClr val="accent1"/>
                        </a:fillRef>
                        <a:effectRef idx="1">
                          <a:schemeClr val="accent1"/>
                        </a:effectRef>
                        <a:fontRef idx="minor">
                          <a:schemeClr val="dk1"/>
                        </a:fontRef>
                      </wps:style>
                      <wps:txbx>
                        <w:txbxContent>
                          <w:p w14:paraId="64A17B6E" w14:textId="77777777" w:rsidR="006C0FD2" w:rsidRPr="00961DF5" w:rsidRDefault="002B5664" w:rsidP="00F5618C">
                            <w:pPr>
                              <w:shd w:val="clear" w:color="auto" w:fill="D9E2F3" w:themeFill="accent5" w:themeFillTint="33"/>
                              <w:rPr>
                                <w:sz w:val="18"/>
                                <w:szCs w:val="16"/>
                              </w:rPr>
                            </w:pPr>
                            <w:r w:rsidRPr="00961DF5">
                              <w:rPr>
                                <w:sz w:val="18"/>
                                <w:szCs w:val="16"/>
                              </w:rPr>
                              <w:t xml:space="preserve">In practice, effective educators tailor instruction to the learning needs, interests, and cultural identities of the students in their classroom. This task is designed to </w:t>
                            </w:r>
                            <w:r w:rsidR="00EA6F21" w:rsidRPr="00961DF5">
                              <w:rPr>
                                <w:sz w:val="18"/>
                                <w:szCs w:val="16"/>
                              </w:rPr>
                              <w:t xml:space="preserve">encourage </w:t>
                            </w:r>
                            <w:r w:rsidRPr="00961DF5">
                              <w:rPr>
                                <w:sz w:val="18"/>
                                <w:szCs w:val="16"/>
                              </w:rPr>
                              <w:t xml:space="preserve">candidates to consider the characteristics of high-quality instructional materials, as well as the adaptations necessary to ensure that instruction is engaging, inclusive, and rigorous for </w:t>
                            </w:r>
                            <w:r w:rsidRPr="00961DF5">
                              <w:rPr>
                                <w:i/>
                                <w:sz w:val="18"/>
                                <w:szCs w:val="16"/>
                              </w:rPr>
                              <w:t>any</w:t>
                            </w:r>
                            <w:r w:rsidRPr="00961DF5">
                              <w:rPr>
                                <w:sz w:val="18"/>
                                <w:szCs w:val="16"/>
                              </w:rPr>
                              <w:t xml:space="preserve"> studen</w:t>
                            </w:r>
                            <w:r w:rsidR="006C0FD2" w:rsidRPr="00961DF5">
                              <w:rPr>
                                <w:sz w:val="18"/>
                                <w:szCs w:val="16"/>
                              </w:rPr>
                              <w:t>ts to whom they may be assigned.</w:t>
                            </w:r>
                          </w:p>
                          <w:p w14:paraId="22091DE7" w14:textId="77777777" w:rsidR="00711490" w:rsidRPr="00961DF5" w:rsidRDefault="00EA6F21" w:rsidP="00F5618C">
                            <w:pPr>
                              <w:shd w:val="clear" w:color="auto" w:fill="D9E2F3" w:themeFill="accent5" w:themeFillTint="33"/>
                              <w:rPr>
                                <w:sz w:val="18"/>
                                <w:szCs w:val="16"/>
                              </w:rPr>
                            </w:pPr>
                            <w:r w:rsidRPr="00961DF5">
                              <w:rPr>
                                <w:sz w:val="18"/>
                                <w:szCs w:val="16"/>
                              </w:rPr>
                              <w:t>Research shows that</w:t>
                            </w:r>
                            <w:r w:rsidR="00A97576" w:rsidRPr="00961DF5">
                              <w:rPr>
                                <w:sz w:val="18"/>
                                <w:szCs w:val="16"/>
                              </w:rPr>
                              <w:t xml:space="preserve"> student outcomes improve, especially for struggling students, with consistent access to grade-appropriate assignments, strong and engaging instruction, and teachers who hold high expectations (</w:t>
                            </w:r>
                            <w:hyperlink r:id="rId19" w:history="1">
                              <w:r w:rsidR="00A97576" w:rsidRPr="00961DF5">
                                <w:rPr>
                                  <w:rStyle w:val="Hyperlink"/>
                                  <w:sz w:val="18"/>
                                  <w:szCs w:val="16"/>
                                </w:rPr>
                                <w:t>TNTP, 2018</w:t>
                              </w:r>
                            </w:hyperlink>
                            <w:r w:rsidR="00A97576" w:rsidRPr="00961DF5">
                              <w:rPr>
                                <w:sz w:val="18"/>
                                <w:szCs w:val="16"/>
                              </w:rPr>
                              <w:t xml:space="preserve">). </w:t>
                            </w:r>
                          </w:p>
                          <w:p w14:paraId="52CCF2D2" w14:textId="77777777" w:rsidR="00711490" w:rsidRDefault="00711490" w:rsidP="00F5618C">
                            <w:pPr>
                              <w:shd w:val="clear" w:color="auto" w:fill="D9E2F3" w:themeFill="accent5" w:themeFillTint="3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5D0A" id="Rectangle 3" o:spid="_x0000_s1027" style="position:absolute;margin-left:404.4pt;margin-top:27.2pt;width:153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" fillcolor="#deeaf6 [660]" strokecolor="#5b9bd5 [3204]" strokeweight=".5pt">
                <v:stroke dashstyle="dash"/>
                <v:textbox>
                  <w:txbxContent>
                    <w:p w14:paraId="64A17B6E" w14:textId="77777777" w:rsidR="006C0FD2" w:rsidRPr="00961DF5" w:rsidRDefault="002B5664" w:rsidP="00F5618C">
                      <w:pPr>
                        <w:shd w:val="clear" w:color="auto" w:fill="D9E2F3" w:themeFill="accent5" w:themeFillTint="33"/>
                        <w:rPr>
                          <w:sz w:val="18"/>
                          <w:szCs w:val="16"/>
                        </w:rPr>
                      </w:pPr>
                      <w:r w:rsidRPr="00961DF5">
                        <w:rPr>
                          <w:sz w:val="18"/>
                          <w:szCs w:val="16"/>
                        </w:rPr>
                        <w:t xml:space="preserve">In practice, effective educators tailor instruction to the learning needs, interests, and cultural identities of the students in their classroom. This task is designed to </w:t>
                      </w:r>
                      <w:r w:rsidR="00EA6F21" w:rsidRPr="00961DF5">
                        <w:rPr>
                          <w:sz w:val="18"/>
                          <w:szCs w:val="16"/>
                        </w:rPr>
                        <w:t xml:space="preserve">encourage </w:t>
                      </w:r>
                      <w:r w:rsidRPr="00961DF5">
                        <w:rPr>
                          <w:sz w:val="18"/>
                          <w:szCs w:val="16"/>
                        </w:rPr>
                        <w:t xml:space="preserve">candidates to consider the characteristics of high-quality instructional materials, as well as the adaptations necessary to ensure that instruction is engaging, inclusive, and rigorous for </w:t>
                      </w:r>
                      <w:r w:rsidRPr="00961DF5">
                        <w:rPr>
                          <w:i/>
                          <w:sz w:val="18"/>
                          <w:szCs w:val="16"/>
                        </w:rPr>
                        <w:t>any</w:t>
                      </w:r>
                      <w:r w:rsidRPr="00961DF5">
                        <w:rPr>
                          <w:sz w:val="18"/>
                          <w:szCs w:val="16"/>
                        </w:rPr>
                        <w:t xml:space="preserve"> studen</w:t>
                      </w:r>
                      <w:r w:rsidR="006C0FD2" w:rsidRPr="00961DF5">
                        <w:rPr>
                          <w:sz w:val="18"/>
                          <w:szCs w:val="16"/>
                        </w:rPr>
                        <w:t>ts to whom they may be assigned.</w:t>
                      </w:r>
                    </w:p>
                    <w:p w14:paraId="22091DE7" w14:textId="77777777" w:rsidR="00711490" w:rsidRPr="00961DF5" w:rsidRDefault="00EA6F21" w:rsidP="00F5618C">
                      <w:pPr>
                        <w:shd w:val="clear" w:color="auto" w:fill="D9E2F3" w:themeFill="accent5" w:themeFillTint="33"/>
                        <w:rPr>
                          <w:sz w:val="18"/>
                          <w:szCs w:val="16"/>
                        </w:rPr>
                      </w:pPr>
                      <w:r w:rsidRPr="00961DF5">
                        <w:rPr>
                          <w:sz w:val="18"/>
                          <w:szCs w:val="16"/>
                        </w:rPr>
                        <w:t>Research shows that</w:t>
                      </w:r>
                      <w:r w:rsidR="00A97576" w:rsidRPr="00961DF5">
                        <w:rPr>
                          <w:sz w:val="18"/>
                          <w:szCs w:val="16"/>
                        </w:rPr>
                        <w:t xml:space="preserve"> student outcomes improve, especially for struggling students, with consistent access to grade-appropriate assignments, strong and engaging instruction, and teachers who hold high expectations (</w:t>
                      </w:r>
                      <w:hyperlink r:id="rId20" w:history="1">
                        <w:r w:rsidR="00A97576" w:rsidRPr="00961DF5">
                          <w:rPr>
                            <w:rStyle w:val="Hyperlink"/>
                            <w:sz w:val="18"/>
                            <w:szCs w:val="16"/>
                          </w:rPr>
                          <w:t>TNTP, 2018</w:t>
                        </w:r>
                      </w:hyperlink>
                      <w:r w:rsidR="00A97576" w:rsidRPr="00961DF5">
                        <w:rPr>
                          <w:sz w:val="18"/>
                          <w:szCs w:val="16"/>
                        </w:rPr>
                        <w:t xml:space="preserve">). </w:t>
                      </w:r>
                    </w:p>
                    <w:p w14:paraId="52CCF2D2" w14:textId="77777777" w:rsidR="00711490" w:rsidRDefault="00711490" w:rsidP="00F5618C">
                      <w:pPr>
                        <w:shd w:val="clear" w:color="auto" w:fill="D9E2F3" w:themeFill="accent5" w:themeFillTint="33"/>
                      </w:pPr>
                    </w:p>
                  </w:txbxContent>
                </v:textbox>
                <w10:wrap type="square"/>
              </v:rect>
            </w:pict>
          </mc:Fallback>
        </mc:AlternateContent>
      </w:r>
      <w:r w:rsidR="00147620">
        <w:t>Imagine that y</w:t>
      </w:r>
      <w:r w:rsidR="000341D6">
        <w:t xml:space="preserve">ou are preparing a lesson </w:t>
      </w:r>
      <w:r w:rsidR="00384C68">
        <w:t>for a classroom of diverse learners</w:t>
      </w:r>
      <w:r w:rsidR="000341D6">
        <w:t xml:space="preserve">.  Review the sample instructional </w:t>
      </w:r>
      <w:r w:rsidR="00221EF3">
        <w:t xml:space="preserve">materials provided and </w:t>
      </w:r>
      <w:r>
        <w:t>r</w:t>
      </w:r>
      <w:r w:rsidR="00836F67">
        <w:t xml:space="preserve">espond to the following prompts (up to </w:t>
      </w:r>
      <w:r w:rsidR="00DE743E">
        <w:t xml:space="preserve">3 </w:t>
      </w:r>
      <w:r w:rsidR="00836F67">
        <w:t>single-spaced pages).</w:t>
      </w:r>
    </w:p>
    <w:p w14:paraId="02B25CB8" w14:textId="31CA2E7D" w:rsidR="00923247" w:rsidRDefault="00923247" w:rsidP="00923247">
      <w:pPr>
        <w:pStyle w:val="ListParagraph"/>
        <w:numPr>
          <w:ilvl w:val="0"/>
          <w:numId w:val="25"/>
        </w:numPr>
        <w:spacing w:before="240" w:line="254" w:lineRule="auto"/>
        <w:ind w:left="547"/>
      </w:pPr>
      <w:r>
        <w:t xml:space="preserve">Explain the ways in which these instructional materials require students to engage in discipline-specific practices or expectations as described in </w:t>
      </w:r>
      <w:r w:rsidR="00D87BA2">
        <w:t>the Curriculum Frameworks (e.g.</w:t>
      </w:r>
      <w:r>
        <w:t xml:space="preserve"> Standards for Mathematical Practice in mathematics</w:t>
      </w:r>
      <w:r w:rsidR="00D87BA2">
        <w:t>,</w:t>
      </w:r>
      <w:r>
        <w:t xml:space="preserve"> </w:t>
      </w:r>
    </w:p>
    <w:p w14:paraId="0F9BBB64" w14:textId="2ACDCA9D" w:rsidR="00923247" w:rsidRDefault="00923247" w:rsidP="00923247">
      <w:pPr>
        <w:pStyle w:val="ListParagraph"/>
        <w:spacing w:before="240" w:line="254" w:lineRule="auto"/>
        <w:ind w:left="547"/>
      </w:pPr>
      <w:r>
        <w:t>integration of the strands in English language arts and literacy</w:t>
      </w:r>
      <w:r w:rsidR="00D87BA2">
        <w:t>, or Science and Engineering Practices</w:t>
      </w:r>
      <w:r>
        <w:t>) in grade-appropriate ways.</w:t>
      </w:r>
    </w:p>
    <w:p w14:paraId="55D91D28" w14:textId="1B07ABC5" w:rsidR="00711490" w:rsidRDefault="00AF6EF2" w:rsidP="00711490">
      <w:pPr>
        <w:pStyle w:val="ListParagraph"/>
        <w:numPr>
          <w:ilvl w:val="0"/>
          <w:numId w:val="18"/>
        </w:numPr>
        <w:spacing w:before="240"/>
        <w:ind w:left="547"/>
        <w:contextualSpacing w:val="0"/>
      </w:pPr>
      <w:r>
        <w:t xml:space="preserve">a) </w:t>
      </w:r>
      <w:r w:rsidR="006B2C90">
        <w:t xml:space="preserve">Identify </w:t>
      </w:r>
      <w:r w:rsidR="006B2C90" w:rsidRPr="00B568A5">
        <w:rPr>
          <w:i/>
        </w:rPr>
        <w:t>where</w:t>
      </w:r>
      <w:r w:rsidR="006B2C90">
        <w:t xml:space="preserve"> and </w:t>
      </w:r>
      <w:r w:rsidR="006B2C90" w:rsidRPr="00B568A5">
        <w:rPr>
          <w:i/>
        </w:rPr>
        <w:t>how</w:t>
      </w:r>
      <w:r w:rsidR="006B2C90">
        <w:t xml:space="preserve"> the instructional materials</w:t>
      </w:r>
      <w:r w:rsidR="0082711D">
        <w:t xml:space="preserve"> support teachers to</w:t>
      </w:r>
      <w:r w:rsidR="006B2C90">
        <w:t>:</w:t>
      </w:r>
    </w:p>
    <w:p w14:paraId="05407D03" w14:textId="77777777" w:rsidR="00711490" w:rsidRDefault="00711490" w:rsidP="00AF6EF2">
      <w:pPr>
        <w:pStyle w:val="ListParagraph"/>
        <w:numPr>
          <w:ilvl w:val="1"/>
          <w:numId w:val="10"/>
        </w:numPr>
        <w:contextualSpacing w:val="0"/>
      </w:pPr>
      <w:r>
        <w:t>Engage all students;</w:t>
      </w:r>
    </w:p>
    <w:p w14:paraId="16089F74" w14:textId="77777777" w:rsidR="00711490" w:rsidRDefault="00711490" w:rsidP="00AF6EF2">
      <w:pPr>
        <w:pStyle w:val="ListParagraph"/>
        <w:numPr>
          <w:ilvl w:val="1"/>
          <w:numId w:val="10"/>
        </w:numPr>
        <w:contextualSpacing w:val="0"/>
      </w:pPr>
      <w:r>
        <w:t>M</w:t>
      </w:r>
      <w:r w:rsidR="00D76CF9">
        <w:t xml:space="preserve">eet the needs of a classroom of diverse learners (including English Learners, Students </w:t>
      </w:r>
      <w:r w:rsidR="000341D6">
        <w:t>w</w:t>
      </w:r>
      <w:r w:rsidR="00D76CF9">
        <w:t>ith Disabilities, advanced students, and students at risk of not meeting standards)</w:t>
      </w:r>
      <w:r>
        <w:t>; and</w:t>
      </w:r>
    </w:p>
    <w:p w14:paraId="63D9E3EE" w14:textId="77777777" w:rsidR="00AF6EF2" w:rsidRDefault="00711490" w:rsidP="00AF6EF2">
      <w:pPr>
        <w:pStyle w:val="ListParagraph"/>
        <w:numPr>
          <w:ilvl w:val="1"/>
          <w:numId w:val="10"/>
        </w:numPr>
        <w:contextualSpacing w:val="0"/>
      </w:pPr>
      <w:r>
        <w:t>C</w:t>
      </w:r>
      <w:r w:rsidR="00442996">
        <w:t>ommunicate high expectations</w:t>
      </w:r>
      <w:r w:rsidR="00164D94">
        <w:t xml:space="preserve"> throughout the lesson.</w:t>
      </w:r>
    </w:p>
    <w:p w14:paraId="390A038B" w14:textId="68611A6D" w:rsidR="00164D94" w:rsidRPr="00090AB9" w:rsidRDefault="00AF6EF2" w:rsidP="00D3791F">
      <w:pPr>
        <w:ind w:left="547"/>
      </w:pPr>
      <w:r>
        <w:t xml:space="preserve">b) </w:t>
      </w:r>
      <w:r w:rsidR="00164D94">
        <w:t xml:space="preserve">Where there are gaps, explain </w:t>
      </w:r>
      <w:r w:rsidR="00164D94" w:rsidRPr="00B568A5">
        <w:rPr>
          <w:i/>
        </w:rPr>
        <w:t>how</w:t>
      </w:r>
      <w:r w:rsidR="00164D94">
        <w:t xml:space="preserve"> and </w:t>
      </w:r>
      <w:r w:rsidR="00164D94" w:rsidRPr="00B568A5">
        <w:rPr>
          <w:i/>
        </w:rPr>
        <w:t>why</w:t>
      </w:r>
      <w:r w:rsidR="00164D94">
        <w:t xml:space="preserve"> you would adapt the materials to</w:t>
      </w:r>
      <w:r w:rsidR="0082711D">
        <w:t xml:space="preserve"> better support teachers to</w:t>
      </w:r>
      <w:r w:rsidR="00164D94">
        <w:t xml:space="preserve"> engage all students, meet the needs of a classroom of diverse learners, and/o</w:t>
      </w:r>
      <w:r w:rsidR="006B2C90">
        <w:t>r communicate high expectations.</w:t>
      </w:r>
      <w:r w:rsidR="003D19FE">
        <w:t xml:space="preserve"> </w:t>
      </w:r>
    </w:p>
    <w:p w14:paraId="5036BC6B" w14:textId="77777777" w:rsidR="003B713E" w:rsidRDefault="00B87C63" w:rsidP="00DF2D98">
      <w:pPr>
        <w:pStyle w:val="ListParagraph"/>
        <w:numPr>
          <w:ilvl w:val="0"/>
          <w:numId w:val="18"/>
        </w:numPr>
        <w:spacing w:before="240"/>
        <w:ind w:left="547"/>
        <w:contextualSpacing w:val="0"/>
      </w:pPr>
      <w:r>
        <w:t xml:space="preserve">Provide an example of an exemplary student work product/response that </w:t>
      </w:r>
      <w:r w:rsidR="00AB1D79">
        <w:t>c</w:t>
      </w:r>
      <w:r>
        <w:t xml:space="preserve">ould be generated using these instructional materials and explain how you know that this exemplar </w:t>
      </w:r>
      <w:r w:rsidR="00AB1D79">
        <w:t xml:space="preserve">is reflective of </w:t>
      </w:r>
      <w:r w:rsidR="004C3092">
        <w:t>grade-level, standards-aligned</w:t>
      </w:r>
      <w:r w:rsidR="00AB1D79">
        <w:t xml:space="preserve"> expectations.</w:t>
      </w:r>
    </w:p>
    <w:p w14:paraId="5EE7354D" w14:textId="77777777" w:rsidR="00CF4832" w:rsidRDefault="00CF4832" w:rsidP="00F5618C">
      <w:pPr>
        <w:shd w:val="clear" w:color="auto" w:fill="D9E2F3" w:themeFill="accent5" w:themeFillTint="33"/>
        <w:spacing w:before="240"/>
        <w:rPr>
          <w:b/>
        </w:rPr>
      </w:pPr>
      <w:r w:rsidRPr="00CF4832">
        <w:rPr>
          <w:b/>
        </w:rPr>
        <w:t>Optional Extension Activities:</w:t>
      </w:r>
    </w:p>
    <w:p w14:paraId="66F4C268" w14:textId="77777777" w:rsidR="00057ED5" w:rsidRPr="00594E8C" w:rsidRDefault="0087577B" w:rsidP="00E933F7">
      <w:pPr>
        <w:pStyle w:val="ListParagraph"/>
        <w:numPr>
          <w:ilvl w:val="0"/>
          <w:numId w:val="7"/>
        </w:numPr>
        <w:contextualSpacing w:val="0"/>
        <w:rPr>
          <w:b/>
        </w:rPr>
      </w:pPr>
      <w:r>
        <w:t xml:space="preserve"> </w:t>
      </w:r>
      <w:r w:rsidR="00165F20">
        <w:t xml:space="preserve">(Stage 2) </w:t>
      </w:r>
      <w:r w:rsidR="00FA670B" w:rsidRPr="00FA65BE">
        <w:t xml:space="preserve">Use the instructional materials in </w:t>
      </w:r>
      <w:r w:rsidR="00FA65BE" w:rsidRPr="00FA65BE">
        <w:t xml:space="preserve">a </w:t>
      </w:r>
      <w:r w:rsidR="00FA670B" w:rsidRPr="00FA65BE">
        <w:t xml:space="preserve">classroom setting, videotape </w:t>
      </w:r>
      <w:r w:rsidR="00FA65BE" w:rsidRPr="00FA65BE">
        <w:t>your</w:t>
      </w:r>
      <w:r w:rsidR="00FA670B" w:rsidRPr="00FA65BE">
        <w:t xml:space="preserve"> lesson</w:t>
      </w:r>
      <w:r w:rsidR="00165F20">
        <w:t>,</w:t>
      </w:r>
      <w:r w:rsidR="00FA670B" w:rsidRPr="00FA65BE">
        <w:t xml:space="preserve"> and receive feedback from </w:t>
      </w:r>
      <w:r w:rsidR="00FA65BE" w:rsidRPr="00FA65BE">
        <w:t xml:space="preserve">a </w:t>
      </w:r>
      <w:r w:rsidR="00FA670B" w:rsidRPr="00FA65BE">
        <w:t>supervisor about the</w:t>
      </w:r>
      <w:r w:rsidR="00FA65BE" w:rsidRPr="00FA65BE">
        <w:t xml:space="preserve"> instructional</w:t>
      </w:r>
      <w:r w:rsidR="00FA670B" w:rsidRPr="00FA65BE">
        <w:t xml:space="preserve"> choices that you made that impacted student learning</w:t>
      </w:r>
      <w:r w:rsidR="00165F20">
        <w:t xml:space="preserve"> (I-A-3 Well-Structured Units and Lessons).</w:t>
      </w:r>
    </w:p>
    <w:p w14:paraId="56D2FE26" w14:textId="77777777" w:rsidR="00CF4832" w:rsidRDefault="00CF4832" w:rsidP="00F5618C">
      <w:pPr>
        <w:ind w:left="360"/>
      </w:pPr>
    </w:p>
    <w:p w14:paraId="776CE6FF" w14:textId="77777777" w:rsidR="00CF4832" w:rsidRDefault="00CF4832" w:rsidP="00CF4832">
      <w:pPr>
        <w:pStyle w:val="ListParagraph"/>
        <w:contextualSpacing w:val="0"/>
      </w:pPr>
    </w:p>
    <w:p w14:paraId="27E6B3C2" w14:textId="77777777" w:rsidR="0087577B" w:rsidRDefault="0087577B" w:rsidP="00C063FB">
      <w:pPr>
        <w:pStyle w:val="Heading2"/>
      </w:pPr>
    </w:p>
    <w:p w14:paraId="588ADB56" w14:textId="77777777" w:rsidR="003E1776" w:rsidRDefault="003E1776">
      <w:pPr>
        <w:rPr>
          <w:rFonts w:asciiTheme="majorHAnsi" w:eastAsiaTheme="majorEastAsia" w:hAnsiTheme="majorHAnsi" w:cstheme="majorBidi"/>
          <w:color w:val="2E74B5" w:themeColor="accent1" w:themeShade="BF"/>
          <w:sz w:val="26"/>
          <w:szCs w:val="26"/>
        </w:rPr>
      </w:pPr>
      <w:r>
        <w:br w:type="page"/>
      </w:r>
    </w:p>
    <w:p w14:paraId="620D657B" w14:textId="77777777" w:rsidR="00C063FB" w:rsidRPr="003E1776" w:rsidRDefault="00531B07" w:rsidP="00C063FB">
      <w:pPr>
        <w:pStyle w:val="Heading2"/>
        <w:rPr>
          <w:b/>
        </w:rPr>
      </w:pPr>
      <w:r w:rsidRPr="003E1776">
        <w:rPr>
          <w:b/>
        </w:rPr>
        <w:lastRenderedPageBreak/>
        <w:t>Sample Instructional Materials</w:t>
      </w:r>
    </w:p>
    <w:p w14:paraId="36FB0776" w14:textId="77777777" w:rsidR="00C063FB" w:rsidRDefault="00F5618C">
      <w:r w:rsidRPr="00427575">
        <w:rPr>
          <w:i/>
        </w:rPr>
        <w:t>Administration Instructions:</w:t>
      </w:r>
      <w:r>
        <w:t xml:space="preserve"> Use this space to insert the sample lesson plans or instructional materials for the candidates to review.</w:t>
      </w:r>
    </w:p>
    <w:p w14:paraId="575A034C" w14:textId="77777777" w:rsidR="00C063FB" w:rsidRDefault="00C063FB">
      <w:r>
        <w:br w:type="page"/>
      </w:r>
    </w:p>
    <w:p w14:paraId="333D54C0" w14:textId="77777777" w:rsidR="00C063FB" w:rsidRPr="003E1776" w:rsidRDefault="00C063FB" w:rsidP="00C063FB">
      <w:pPr>
        <w:pStyle w:val="Heading2"/>
        <w:rPr>
          <w:b/>
        </w:rPr>
      </w:pPr>
      <w:r w:rsidRPr="003E1776">
        <w:rPr>
          <w:b/>
        </w:rPr>
        <w:lastRenderedPageBreak/>
        <w:t>Scoring Guide</w:t>
      </w:r>
    </w:p>
    <w:p w14:paraId="52E910EE" w14:textId="77777777" w:rsidR="002D7340" w:rsidRDefault="002D7340" w:rsidP="002D7340">
      <w:r>
        <w:t>The candidate’s submission will be scored according to the following criteria.</w:t>
      </w:r>
      <w:r w:rsidRPr="00E81B73">
        <w:t xml:space="preserve"> </w:t>
      </w:r>
      <w:r>
        <w:t>In order to achieve a passing score on this gateway task, the candidate will demonstrate “Meeting” for all criteria.</w:t>
      </w:r>
    </w:p>
    <w:tbl>
      <w:tblPr>
        <w:tblStyle w:val="ListTable2-Accent5"/>
        <w:tblW w:w="11213" w:type="dxa"/>
        <w:tblLook w:val="04A0" w:firstRow="1" w:lastRow="0" w:firstColumn="1" w:lastColumn="0" w:noHBand="0" w:noVBand="1"/>
        <w:tblDescription w:val="Criteria &#10;1. Candidate describes the Curriculum Framework Practices (for STE or Math) or integration of Framework strands (for ELA) that students will be engaged in using the instructional materials.                                                                               Not Meeting:  Does not clearly describe content-specific practices or expectations                                                                                                                 Approaching:  Candidate’s explanation of content-specific practices (STE or Math) or strand integration (ELA) reflects a basic or partial understanding of the Curriculum Framework                                                                               Meeting: Candidate’s explanation of content-specific practices (STE or Math) or strand integration (ELA) reflects a thorough understanding of the Curriculum Framework&#10;2. Candidate demonstrates understanding of ways that the materials should be adapted and implemented to best meet the needs of all students, including those with the greatest areas of need.                                                                  Not Meeting: Does not clearly describe how materials could be adapted or implemented                                                                                                Approaching: Provides a description of at least one way in which the materials could be adapted and implemented but is missing detail                         Meeting: Provides a thorough description of the ways in which the materials could be adapted and implemented to engage all students, meet the needs of diverse learners, and communicate high expectations.                                     Meeting: Response demonstrates understanding of expectations of teaching and learning in this licensure/content area.&#10;3.  Candidate articulates high expectations for the quality of student work to be produced through use of the instructional materials.                                   Not Meeting: Student work exemplar is not aligned to the standards              Not Meeting: Does not articulate how/why exemplar is reflective of high expectations                                                                                              Approaching: Student work exemplar is mostly aligned to the standards but does not fully meet expectations of rigor or cognitive complexity for the grade-level.                                                                                                     Meeting: Student work exemplar meets expectations for grade-level standards including the rigor or cognitive complexity                                                 Meeting: Clearly articulates why exemplar is reflective of high expectations&#10;"/>
      </w:tblPr>
      <w:tblGrid>
        <w:gridCol w:w="3554"/>
        <w:gridCol w:w="2373"/>
        <w:gridCol w:w="2589"/>
        <w:gridCol w:w="2697"/>
      </w:tblGrid>
      <w:tr w:rsidR="002D7340" w14:paraId="717FB817" w14:textId="77777777" w:rsidTr="00AB2CCC">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3554" w:type="dxa"/>
          </w:tcPr>
          <w:p w14:paraId="523B69BB" w14:textId="77777777" w:rsidR="002D7340" w:rsidRDefault="002D7340" w:rsidP="00EA5FE9">
            <w:r>
              <w:t>Criteria</w:t>
            </w:r>
          </w:p>
        </w:tc>
        <w:tc>
          <w:tcPr>
            <w:tcW w:w="2373" w:type="dxa"/>
          </w:tcPr>
          <w:p w14:paraId="4C53FAA8" w14:textId="77777777" w:rsidR="002D7340" w:rsidRDefault="002D7340" w:rsidP="00EA5FE9">
            <w:pPr>
              <w:jc w:val="center"/>
              <w:cnfStyle w:val="100000000000" w:firstRow="1" w:lastRow="0" w:firstColumn="0" w:lastColumn="0" w:oddVBand="0" w:evenVBand="0" w:oddHBand="0" w:evenHBand="0" w:firstRowFirstColumn="0" w:firstRowLastColumn="0" w:lastRowFirstColumn="0" w:lastRowLastColumn="0"/>
            </w:pPr>
            <w:r>
              <w:t>Not Meeting</w:t>
            </w:r>
          </w:p>
        </w:tc>
        <w:tc>
          <w:tcPr>
            <w:tcW w:w="2589" w:type="dxa"/>
          </w:tcPr>
          <w:p w14:paraId="4CC3E30F" w14:textId="77777777" w:rsidR="002D7340" w:rsidRDefault="002D7340" w:rsidP="00EA5FE9">
            <w:pPr>
              <w:jc w:val="center"/>
              <w:cnfStyle w:val="100000000000" w:firstRow="1" w:lastRow="0" w:firstColumn="0" w:lastColumn="0" w:oddVBand="0" w:evenVBand="0" w:oddHBand="0" w:evenHBand="0" w:firstRowFirstColumn="0" w:firstRowLastColumn="0" w:lastRowFirstColumn="0" w:lastRowLastColumn="0"/>
            </w:pPr>
            <w:r>
              <w:t>Approaching</w:t>
            </w:r>
          </w:p>
        </w:tc>
        <w:tc>
          <w:tcPr>
            <w:tcW w:w="2697" w:type="dxa"/>
          </w:tcPr>
          <w:p w14:paraId="11EAA319" w14:textId="77777777" w:rsidR="002D7340" w:rsidRDefault="002D7340" w:rsidP="00EA5FE9">
            <w:pPr>
              <w:jc w:val="center"/>
              <w:cnfStyle w:val="100000000000" w:firstRow="1" w:lastRow="0" w:firstColumn="0" w:lastColumn="0" w:oddVBand="0" w:evenVBand="0" w:oddHBand="0" w:evenHBand="0" w:firstRowFirstColumn="0" w:firstRowLastColumn="0" w:lastRowFirstColumn="0" w:lastRowLastColumn="0"/>
            </w:pPr>
            <w:r>
              <w:t>Meeting</w:t>
            </w:r>
          </w:p>
        </w:tc>
      </w:tr>
      <w:tr w:rsidR="002D7340" w14:paraId="1CC1A63E" w14:textId="77777777" w:rsidTr="00AB2CCC">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3554" w:type="dxa"/>
          </w:tcPr>
          <w:p w14:paraId="4BC64B88" w14:textId="232E3D60" w:rsidR="002D7340" w:rsidRPr="00961DF5" w:rsidRDefault="00EB6A8C" w:rsidP="00961DF5">
            <w:pPr>
              <w:pStyle w:val="ListParagraph"/>
              <w:numPr>
                <w:ilvl w:val="0"/>
                <w:numId w:val="23"/>
              </w:numPr>
              <w:rPr>
                <w:sz w:val="20"/>
                <w:szCs w:val="20"/>
              </w:rPr>
            </w:pPr>
            <w:r>
              <w:rPr>
                <w:sz w:val="20"/>
                <w:szCs w:val="20"/>
              </w:rPr>
              <w:t>Candidate describes the Curriculum Framework Practices (for STE or Math) or integration of Framework strands (for ELA) that students will be engaged in using the instructional materials.</w:t>
            </w:r>
          </w:p>
        </w:tc>
        <w:tc>
          <w:tcPr>
            <w:tcW w:w="2373" w:type="dxa"/>
          </w:tcPr>
          <w:p w14:paraId="114C7FF1" w14:textId="1FC31098" w:rsidR="002D7340" w:rsidRPr="00595144" w:rsidRDefault="009B201D" w:rsidP="00B7309F">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w:t>
            </w:r>
            <w:r w:rsidR="00F55093">
              <w:rPr>
                <w:sz w:val="20"/>
                <w:szCs w:val="20"/>
              </w:rPr>
              <w:t>oes not clearly describe content-specific practices</w:t>
            </w:r>
            <w:r w:rsidR="00EB6A8C">
              <w:rPr>
                <w:sz w:val="20"/>
                <w:szCs w:val="20"/>
              </w:rPr>
              <w:t xml:space="preserve"> or </w:t>
            </w:r>
            <w:r w:rsidR="00B7309F">
              <w:rPr>
                <w:sz w:val="20"/>
                <w:szCs w:val="20"/>
              </w:rPr>
              <w:t>expectations</w:t>
            </w:r>
          </w:p>
        </w:tc>
        <w:tc>
          <w:tcPr>
            <w:tcW w:w="2589" w:type="dxa"/>
          </w:tcPr>
          <w:p w14:paraId="3ED50ABB" w14:textId="07E8E5D7" w:rsidR="002D7340" w:rsidRPr="00595144" w:rsidRDefault="00EB6A8C" w:rsidP="00CF1B45">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Candidate’s explanation of content-specific practices (STE or Math) or strand integration (ELA) </w:t>
            </w:r>
            <w:r w:rsidR="00F55093">
              <w:rPr>
                <w:sz w:val="20"/>
                <w:szCs w:val="20"/>
              </w:rPr>
              <w:t xml:space="preserve">reflects a basic or partial understanding of the </w:t>
            </w:r>
            <w:r w:rsidR="00CF1B45">
              <w:rPr>
                <w:sz w:val="20"/>
                <w:szCs w:val="20"/>
              </w:rPr>
              <w:t>Curriculum Framework</w:t>
            </w:r>
          </w:p>
        </w:tc>
        <w:tc>
          <w:tcPr>
            <w:tcW w:w="2697" w:type="dxa"/>
          </w:tcPr>
          <w:p w14:paraId="0E097B08" w14:textId="257D263C" w:rsidR="002D7340" w:rsidRPr="00595144" w:rsidRDefault="00F55093" w:rsidP="00EB6A8C">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Candidate’s explanation of content-specific practices</w:t>
            </w:r>
            <w:r w:rsidR="00EB6A8C">
              <w:rPr>
                <w:sz w:val="20"/>
                <w:szCs w:val="20"/>
              </w:rPr>
              <w:t xml:space="preserve"> (STE or Math)</w:t>
            </w:r>
            <w:r w:rsidR="00673B31">
              <w:rPr>
                <w:sz w:val="20"/>
                <w:szCs w:val="20"/>
              </w:rPr>
              <w:t xml:space="preserve"> or </w:t>
            </w:r>
            <w:r w:rsidR="00EB6A8C">
              <w:rPr>
                <w:sz w:val="20"/>
                <w:szCs w:val="20"/>
              </w:rPr>
              <w:t xml:space="preserve">strand integration (ELA) </w:t>
            </w:r>
            <w:r>
              <w:rPr>
                <w:sz w:val="20"/>
                <w:szCs w:val="20"/>
              </w:rPr>
              <w:t xml:space="preserve">reflects a thorough understanding of the </w:t>
            </w:r>
            <w:r w:rsidR="00CF1B45">
              <w:rPr>
                <w:sz w:val="20"/>
                <w:szCs w:val="20"/>
              </w:rPr>
              <w:t>Curriculum Framework</w:t>
            </w:r>
          </w:p>
        </w:tc>
      </w:tr>
      <w:tr w:rsidR="002D7340" w14:paraId="25412192" w14:textId="77777777" w:rsidTr="00AB2CCC">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3554" w:type="dxa"/>
          </w:tcPr>
          <w:p w14:paraId="4C13652D" w14:textId="77777777" w:rsidR="002D7340" w:rsidRPr="00961DF5" w:rsidRDefault="005149B7" w:rsidP="00961DF5">
            <w:pPr>
              <w:pStyle w:val="ListParagraph"/>
              <w:numPr>
                <w:ilvl w:val="0"/>
                <w:numId w:val="23"/>
              </w:numPr>
              <w:rPr>
                <w:sz w:val="20"/>
                <w:szCs w:val="20"/>
              </w:rPr>
            </w:pPr>
            <w:r w:rsidRPr="00961DF5">
              <w:rPr>
                <w:sz w:val="20"/>
                <w:szCs w:val="20"/>
              </w:rPr>
              <w:t xml:space="preserve">Candidate demonstrates understanding of ways </w:t>
            </w:r>
            <w:r w:rsidR="003D3879" w:rsidRPr="00961DF5">
              <w:rPr>
                <w:sz w:val="20"/>
                <w:szCs w:val="20"/>
              </w:rPr>
              <w:t>that</w:t>
            </w:r>
            <w:r w:rsidRPr="00961DF5">
              <w:rPr>
                <w:sz w:val="20"/>
                <w:szCs w:val="20"/>
              </w:rPr>
              <w:t xml:space="preserve"> the materials should be adapted</w:t>
            </w:r>
            <w:r w:rsidR="004C3092" w:rsidRPr="00961DF5">
              <w:rPr>
                <w:sz w:val="20"/>
                <w:szCs w:val="20"/>
              </w:rPr>
              <w:t xml:space="preserve"> and implemented</w:t>
            </w:r>
            <w:r w:rsidRPr="00961DF5">
              <w:rPr>
                <w:sz w:val="20"/>
                <w:szCs w:val="20"/>
              </w:rPr>
              <w:t xml:space="preserve"> to best meet the needs of</w:t>
            </w:r>
            <w:r w:rsidR="004C3092" w:rsidRPr="00961DF5">
              <w:rPr>
                <w:sz w:val="20"/>
                <w:szCs w:val="20"/>
              </w:rPr>
              <w:t xml:space="preserve"> all</w:t>
            </w:r>
            <w:r w:rsidRPr="00961DF5">
              <w:rPr>
                <w:sz w:val="20"/>
                <w:szCs w:val="20"/>
              </w:rPr>
              <w:t xml:space="preserve"> students</w:t>
            </w:r>
            <w:r w:rsidR="004C3092" w:rsidRPr="00961DF5">
              <w:rPr>
                <w:sz w:val="20"/>
                <w:szCs w:val="20"/>
              </w:rPr>
              <w:t>, including those with the greatest areas of need</w:t>
            </w:r>
            <w:r w:rsidRPr="00961DF5">
              <w:rPr>
                <w:sz w:val="20"/>
                <w:szCs w:val="20"/>
              </w:rPr>
              <w:t>.</w:t>
            </w:r>
          </w:p>
        </w:tc>
        <w:tc>
          <w:tcPr>
            <w:tcW w:w="2373" w:type="dxa"/>
          </w:tcPr>
          <w:p w14:paraId="1F1D4238" w14:textId="77777777" w:rsidR="002D7340" w:rsidRDefault="00562DD0" w:rsidP="003E1776">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Does not clearly describe how materials could be adapted or implemented</w:t>
            </w:r>
          </w:p>
        </w:tc>
        <w:tc>
          <w:tcPr>
            <w:tcW w:w="2589" w:type="dxa"/>
          </w:tcPr>
          <w:p w14:paraId="40823423" w14:textId="77777777" w:rsidR="002D7340" w:rsidRPr="00B77BC6" w:rsidRDefault="00562DD0" w:rsidP="003E1776">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Provides a description of at least one way in which the materials could be adapted and implemented but is missing detail</w:t>
            </w:r>
          </w:p>
        </w:tc>
        <w:tc>
          <w:tcPr>
            <w:tcW w:w="2697" w:type="dxa"/>
          </w:tcPr>
          <w:p w14:paraId="5E16FBBA" w14:textId="77777777" w:rsidR="002D7340" w:rsidRDefault="00562DD0" w:rsidP="00DE743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Provides a thorough description of the ways in which the materials could be adapted and impl</w:t>
            </w:r>
            <w:r w:rsidR="00DE743E">
              <w:rPr>
                <w:sz w:val="20"/>
                <w:szCs w:val="20"/>
              </w:rPr>
              <w:t>emented to engage all students</w:t>
            </w:r>
            <w:r w:rsidR="00F5618C">
              <w:rPr>
                <w:sz w:val="20"/>
                <w:szCs w:val="20"/>
              </w:rPr>
              <w:t>,</w:t>
            </w:r>
            <w:r w:rsidR="00DE743E">
              <w:rPr>
                <w:sz w:val="20"/>
                <w:szCs w:val="20"/>
              </w:rPr>
              <w:t xml:space="preserve"> </w:t>
            </w:r>
            <w:r>
              <w:rPr>
                <w:sz w:val="20"/>
                <w:szCs w:val="20"/>
              </w:rPr>
              <w:t>meet the needs of diverse learners</w:t>
            </w:r>
            <w:r w:rsidR="00F5618C">
              <w:rPr>
                <w:sz w:val="20"/>
                <w:szCs w:val="20"/>
              </w:rPr>
              <w:t>, and communicate high expectations.</w:t>
            </w:r>
            <w:r w:rsidR="00AF6EF2">
              <w:rPr>
                <w:sz w:val="20"/>
                <w:szCs w:val="20"/>
              </w:rPr>
              <w:t xml:space="preserve"> </w:t>
            </w:r>
          </w:p>
          <w:p w14:paraId="32C406AE" w14:textId="77777777" w:rsidR="00F5618C" w:rsidRPr="008600DE" w:rsidRDefault="00F5618C" w:rsidP="00DE743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Response demonstrates understanding of expectations of teaching and learning in this licensure/content area.</w:t>
            </w:r>
          </w:p>
        </w:tc>
      </w:tr>
      <w:tr w:rsidR="008D2DDB" w14:paraId="7A0100B6" w14:textId="77777777" w:rsidTr="00AB2CCC">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3554" w:type="dxa"/>
          </w:tcPr>
          <w:p w14:paraId="4EB1A824" w14:textId="77777777" w:rsidR="008D2DDB" w:rsidRPr="00961DF5" w:rsidRDefault="005149B7" w:rsidP="00961DF5">
            <w:pPr>
              <w:pStyle w:val="ListParagraph"/>
              <w:numPr>
                <w:ilvl w:val="0"/>
                <w:numId w:val="23"/>
              </w:numPr>
              <w:rPr>
                <w:sz w:val="20"/>
                <w:szCs w:val="20"/>
              </w:rPr>
            </w:pPr>
            <w:r w:rsidRPr="00961DF5">
              <w:rPr>
                <w:sz w:val="20"/>
                <w:szCs w:val="20"/>
              </w:rPr>
              <w:t>Candidate articulates high expectations for the quality of student work to be produced through use of the instructional materials.</w:t>
            </w:r>
          </w:p>
        </w:tc>
        <w:tc>
          <w:tcPr>
            <w:tcW w:w="2373" w:type="dxa"/>
          </w:tcPr>
          <w:p w14:paraId="108C5F92" w14:textId="77777777" w:rsidR="008D2DDB" w:rsidRDefault="00F55093" w:rsidP="003E1776">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Student work exemplar </w:t>
            </w:r>
            <w:r w:rsidR="00AE6538">
              <w:rPr>
                <w:sz w:val="20"/>
                <w:szCs w:val="20"/>
              </w:rPr>
              <w:t>is not aligned to the standards</w:t>
            </w:r>
          </w:p>
          <w:p w14:paraId="743B2C7E" w14:textId="77777777" w:rsidR="004C3092" w:rsidRDefault="004C3092" w:rsidP="003E1776">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Does not articulate how/why exemplar is reflective of high expectations</w:t>
            </w:r>
          </w:p>
        </w:tc>
        <w:tc>
          <w:tcPr>
            <w:tcW w:w="2589" w:type="dxa"/>
          </w:tcPr>
          <w:p w14:paraId="1D26D06B" w14:textId="77777777" w:rsidR="00F55093" w:rsidRPr="009B201D" w:rsidRDefault="00562DD0" w:rsidP="00AE6538">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Student work exemplar</w:t>
            </w:r>
            <w:r w:rsidR="00F55093">
              <w:rPr>
                <w:sz w:val="20"/>
                <w:szCs w:val="20"/>
              </w:rPr>
              <w:t xml:space="preserve"> </w:t>
            </w:r>
            <w:r w:rsidR="00AE6538">
              <w:rPr>
                <w:sz w:val="20"/>
                <w:szCs w:val="20"/>
              </w:rPr>
              <w:t xml:space="preserve">is </w:t>
            </w:r>
            <w:r w:rsidR="00510E8D">
              <w:rPr>
                <w:sz w:val="20"/>
                <w:szCs w:val="20"/>
              </w:rPr>
              <w:t xml:space="preserve">mostly </w:t>
            </w:r>
            <w:r w:rsidR="00AE6538">
              <w:rPr>
                <w:sz w:val="20"/>
                <w:szCs w:val="20"/>
              </w:rPr>
              <w:t xml:space="preserve">aligned to the standards but does not fully meet expectations </w:t>
            </w:r>
            <w:r w:rsidR="0063298B">
              <w:rPr>
                <w:sz w:val="20"/>
                <w:szCs w:val="20"/>
              </w:rPr>
              <w:t>of rigor or cognitive complexity for</w:t>
            </w:r>
            <w:r w:rsidR="00AE6538">
              <w:rPr>
                <w:sz w:val="20"/>
                <w:szCs w:val="20"/>
              </w:rPr>
              <w:t xml:space="preserve"> the grade-level.</w:t>
            </w:r>
          </w:p>
        </w:tc>
        <w:tc>
          <w:tcPr>
            <w:tcW w:w="2697" w:type="dxa"/>
          </w:tcPr>
          <w:p w14:paraId="7516490C" w14:textId="77777777" w:rsidR="008D2DDB" w:rsidRDefault="00562DD0" w:rsidP="003E1776">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Student work exemplar</w:t>
            </w:r>
            <w:r w:rsidR="00F55093">
              <w:rPr>
                <w:sz w:val="20"/>
                <w:szCs w:val="20"/>
              </w:rPr>
              <w:t xml:space="preserve"> meets</w:t>
            </w:r>
            <w:r>
              <w:rPr>
                <w:sz w:val="20"/>
                <w:szCs w:val="20"/>
              </w:rPr>
              <w:t xml:space="preserve"> expectations for grade-level standards</w:t>
            </w:r>
            <w:r w:rsidR="0063298B">
              <w:rPr>
                <w:sz w:val="20"/>
                <w:szCs w:val="20"/>
              </w:rPr>
              <w:t xml:space="preserve"> including the rigor or cognitive complexity</w:t>
            </w:r>
          </w:p>
          <w:p w14:paraId="72FD49B1" w14:textId="77777777" w:rsidR="00F55093" w:rsidRPr="00F55093" w:rsidRDefault="009B201D" w:rsidP="003E1776">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Clearly articulates why exemplar is reflective of high expectations</w:t>
            </w:r>
          </w:p>
        </w:tc>
      </w:tr>
    </w:tbl>
    <w:p w14:paraId="1385383C" w14:textId="77777777" w:rsidR="00C063FB" w:rsidRDefault="00C063FB"/>
    <w:p w14:paraId="78CB21D9" w14:textId="77777777" w:rsidR="00F5618C" w:rsidRDefault="00F5618C">
      <w:r>
        <w:br w:type="page"/>
      </w:r>
    </w:p>
    <w:p w14:paraId="23DE69AF" w14:textId="77777777" w:rsidR="00F5618C" w:rsidRPr="003E1776" w:rsidRDefault="00F5618C" w:rsidP="00F5618C">
      <w:pPr>
        <w:pStyle w:val="Heading2"/>
        <w:rPr>
          <w:b/>
        </w:rPr>
      </w:pPr>
      <w:r w:rsidRPr="003E1776">
        <w:rPr>
          <w:b/>
        </w:rPr>
        <w:lastRenderedPageBreak/>
        <w:t>Scoring Guide</w:t>
      </w:r>
      <w:r>
        <w:rPr>
          <w:b/>
        </w:rPr>
        <w:t>: Scorer Calibration</w:t>
      </w:r>
    </w:p>
    <w:p w14:paraId="26892F20" w14:textId="77777777" w:rsidR="00F5618C" w:rsidRDefault="00F5618C" w:rsidP="00F5618C">
      <w:r>
        <w:t>The candidate’s submission will be scored according to the following criteria.</w:t>
      </w:r>
      <w:r w:rsidRPr="00E81B73">
        <w:t xml:space="preserve"> </w:t>
      </w:r>
      <w:r>
        <w:t>In order to achieve a passing score on this gateway task, the candidate will demonstrate “Meeting” for all criteria.</w:t>
      </w:r>
      <w:r w:rsidR="00961DF5">
        <w:t xml:space="preserve"> Do not list all potential responses but rather identify the </w:t>
      </w:r>
      <w:r w:rsidR="00961DF5" w:rsidRPr="00D36B2C">
        <w:rPr>
          <w:i/>
        </w:rPr>
        <w:t xml:space="preserve">“Must See’s” </w:t>
      </w:r>
      <w:r w:rsidR="00961DF5">
        <w:t>that must be present in a candidate’s response in order for them to receive a score of Meets Expectations.</w:t>
      </w:r>
    </w:p>
    <w:tbl>
      <w:tblPr>
        <w:tblStyle w:val="ListTable2-Accent5"/>
        <w:tblW w:w="10620" w:type="dxa"/>
        <w:tblLook w:val="04A0" w:firstRow="1" w:lastRow="0" w:firstColumn="1" w:lastColumn="0" w:noHBand="0" w:noVBand="1"/>
        <w:tblDescription w:val="1. Candidate describes the Curriculum Framework Practices (for STE or Math) or integration of Framework strands (for ELA) that students will be engaged in using the instructional materials.                                                                     Meeting Expectations Criteria: Candidate’s explanation of content-specific practices reflects a thorough understanding of the Curriculum Framework What Must You See in a Candidate’s Response in order to Meet Expectations?: What practices (for STE or Math) or strand integration (for ELA) should the candidate identify and highlight in the lesson?&#10;2. Candidate demonstrates understanding of ways that the materials should be adapted and implemented to best meet the needs of all students, including those with the greatest areas of need.                                                          Meeting Expectations Criteria: Provides a thorough description of the ways in which the materials could be adapted and implemented to engage all students and meet the needs of diverse learners and clearly articulates how they would know they were successful.                                                                             Meeting Expectations Criteria: Response demonstrates understanding of expectations of teaching and learning in this licensure/content area. What Must You See in a Candidate’s Response in order to Meet Expectations?: In what ways should the lesson be adapted to engage all students, meet diverse needs, and reinforce high expectations?                                                            What Must You See in a Candidate’s Response in order to Meet Expectations?: What are the specific expectations of teaching and learning in this licensure/content area that should be incorporated into this response?&#10;3. Candidate articulates high expectations for the quality of student work to be produced through use of the instructional materials.                                                                                                                    Meeting Expectations Criteria:  Student work exemplar meets expectations for grade-level standards including the rigor or cognitive complexity                                                                                       Meeting Expectations Criteria: Clearly articulates why exemplar is reflective of high expectations                                                                                                       What Must You See in a Candidate’s Response in order to Meet Expectations?: What would represent high-quality student work in this lesson?&#10;"/>
      </w:tblPr>
      <w:tblGrid>
        <w:gridCol w:w="3554"/>
        <w:gridCol w:w="2697"/>
        <w:gridCol w:w="4369"/>
      </w:tblGrid>
      <w:tr w:rsidR="00F5618C" w14:paraId="4868915A" w14:textId="77777777" w:rsidTr="000F0FF2">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3554" w:type="dxa"/>
          </w:tcPr>
          <w:p w14:paraId="77E19C37" w14:textId="77777777" w:rsidR="00F5618C" w:rsidRDefault="00F5618C" w:rsidP="00AC764E"/>
        </w:tc>
        <w:tc>
          <w:tcPr>
            <w:tcW w:w="2697" w:type="dxa"/>
          </w:tcPr>
          <w:p w14:paraId="2532CFA9" w14:textId="0C249DD7" w:rsidR="00F5618C" w:rsidRDefault="00961DF5" w:rsidP="00AC764E">
            <w:pPr>
              <w:jc w:val="center"/>
              <w:cnfStyle w:val="100000000000" w:firstRow="1" w:lastRow="0" w:firstColumn="0" w:lastColumn="0" w:oddVBand="0" w:evenVBand="0" w:oddHBand="0" w:evenHBand="0" w:firstRowFirstColumn="0" w:firstRowLastColumn="0" w:lastRowFirstColumn="0" w:lastRowLastColumn="0"/>
            </w:pPr>
            <w:r>
              <w:t>Meeting Expectations Cr</w:t>
            </w:r>
            <w:r w:rsidR="00EB6A8C">
              <w:t>it</w:t>
            </w:r>
            <w:r>
              <w:t>eria</w:t>
            </w:r>
          </w:p>
        </w:tc>
        <w:tc>
          <w:tcPr>
            <w:tcW w:w="4369" w:type="dxa"/>
          </w:tcPr>
          <w:p w14:paraId="29554C9B" w14:textId="77777777" w:rsidR="00F5618C" w:rsidRDefault="00961DF5" w:rsidP="00F5618C">
            <w:pPr>
              <w:cnfStyle w:val="100000000000" w:firstRow="1" w:lastRow="0" w:firstColumn="0" w:lastColumn="0" w:oddVBand="0" w:evenVBand="0" w:oddHBand="0" w:evenHBand="0" w:firstRowFirstColumn="0" w:firstRowLastColumn="0" w:lastRowFirstColumn="0" w:lastRowLastColumn="0"/>
            </w:pPr>
            <w:r>
              <w:t>What Must You See in a Candidate’s Response in order to Meet Expectations?</w:t>
            </w:r>
          </w:p>
        </w:tc>
      </w:tr>
      <w:tr w:rsidR="00F5618C" w14:paraId="603762CE" w14:textId="77777777" w:rsidTr="000F0FF2">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6E9D08A0" w14:textId="10998A83" w:rsidR="00F5618C" w:rsidRPr="00961DF5" w:rsidRDefault="00EB6A8C" w:rsidP="00961DF5">
            <w:pPr>
              <w:pStyle w:val="ListParagraph"/>
              <w:numPr>
                <w:ilvl w:val="0"/>
                <w:numId w:val="24"/>
              </w:numPr>
              <w:rPr>
                <w:sz w:val="20"/>
                <w:szCs w:val="20"/>
              </w:rPr>
            </w:pPr>
            <w:r>
              <w:rPr>
                <w:sz w:val="20"/>
                <w:szCs w:val="20"/>
              </w:rPr>
              <w:t>Candidate describes the Curriculum Framework Practices (for STE or Math) or integration of Framework strands (for ELA) that students will be engaged in using the instructional materials.</w:t>
            </w:r>
          </w:p>
        </w:tc>
        <w:tc>
          <w:tcPr>
            <w:tcW w:w="2697" w:type="dxa"/>
          </w:tcPr>
          <w:p w14:paraId="1960E7A6" w14:textId="5B321C09" w:rsidR="00F5618C" w:rsidRPr="00595144" w:rsidRDefault="00F5618C" w:rsidP="00516A37">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Candidate’s explanation of content-specific practices reflects a thorough understanding of the </w:t>
            </w:r>
            <w:r w:rsidR="00516A37">
              <w:rPr>
                <w:sz w:val="20"/>
                <w:szCs w:val="20"/>
              </w:rPr>
              <w:t>Curriculum Framework</w:t>
            </w:r>
          </w:p>
        </w:tc>
        <w:tc>
          <w:tcPr>
            <w:tcW w:w="4369" w:type="dxa"/>
          </w:tcPr>
          <w:p w14:paraId="35A39928" w14:textId="4E7D2A05" w:rsidR="00F5618C" w:rsidRDefault="00F5618C" w:rsidP="001B50E4">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What </w:t>
            </w:r>
            <w:r w:rsidR="001B50E4">
              <w:rPr>
                <w:sz w:val="20"/>
                <w:szCs w:val="20"/>
              </w:rPr>
              <w:t>practices (for STE or Math) or strand integration (for ELA)</w:t>
            </w:r>
            <w:r>
              <w:rPr>
                <w:sz w:val="20"/>
                <w:szCs w:val="20"/>
              </w:rPr>
              <w:t xml:space="preserve"> should the candidate identify and highlight in the lesson?</w:t>
            </w:r>
          </w:p>
        </w:tc>
      </w:tr>
      <w:tr w:rsidR="00F5618C" w14:paraId="560710BE" w14:textId="77777777" w:rsidTr="000F0FF2">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47D6596B" w14:textId="77777777" w:rsidR="00F5618C" w:rsidRPr="00961DF5" w:rsidRDefault="00F5618C" w:rsidP="00961DF5">
            <w:pPr>
              <w:pStyle w:val="ListParagraph"/>
              <w:numPr>
                <w:ilvl w:val="0"/>
                <w:numId w:val="24"/>
              </w:numPr>
              <w:rPr>
                <w:sz w:val="20"/>
                <w:szCs w:val="20"/>
              </w:rPr>
            </w:pPr>
            <w:r w:rsidRPr="00961DF5">
              <w:rPr>
                <w:sz w:val="20"/>
                <w:szCs w:val="20"/>
              </w:rPr>
              <w:t>Candidate demonstrates understanding of ways that the materials should be adapted and implemented to best meet the needs of all students, including those with the greatest areas of need.</w:t>
            </w:r>
          </w:p>
        </w:tc>
        <w:tc>
          <w:tcPr>
            <w:tcW w:w="2697" w:type="dxa"/>
          </w:tcPr>
          <w:p w14:paraId="05313CE2" w14:textId="77777777" w:rsidR="00F5618C" w:rsidRDefault="00F5618C" w:rsidP="00AC764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Provides a thorough description of the ways in which the materials could be adapted and implemented to engage all students and meet the needs of diverse learners and clearly articulates how they would know they were successful. </w:t>
            </w:r>
          </w:p>
          <w:p w14:paraId="4CF969DD" w14:textId="77777777" w:rsidR="00F5618C" w:rsidRPr="008600DE" w:rsidRDefault="00F5618C" w:rsidP="00AC764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Response demonstrates understanding of expectations of teaching and learning in this licensure/content area.</w:t>
            </w:r>
          </w:p>
        </w:tc>
        <w:tc>
          <w:tcPr>
            <w:tcW w:w="4369" w:type="dxa"/>
          </w:tcPr>
          <w:p w14:paraId="175F333B" w14:textId="2C6A5C56" w:rsidR="00F5618C" w:rsidRDefault="00F5618C" w:rsidP="00AC764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 what ways should the lesson be adapted to engage all students</w:t>
            </w:r>
            <w:r w:rsidR="00CF1B45">
              <w:rPr>
                <w:sz w:val="20"/>
                <w:szCs w:val="20"/>
              </w:rPr>
              <w:t>,</w:t>
            </w:r>
            <w:r>
              <w:rPr>
                <w:sz w:val="20"/>
                <w:szCs w:val="20"/>
              </w:rPr>
              <w:t xml:space="preserve"> meet diverse needs</w:t>
            </w:r>
            <w:r w:rsidR="00CF1B45">
              <w:rPr>
                <w:sz w:val="20"/>
                <w:szCs w:val="20"/>
              </w:rPr>
              <w:t>, and reinforce high expectations</w:t>
            </w:r>
            <w:r>
              <w:rPr>
                <w:sz w:val="20"/>
                <w:szCs w:val="20"/>
              </w:rPr>
              <w:t>?</w:t>
            </w:r>
          </w:p>
          <w:p w14:paraId="3A3D2025" w14:textId="77777777" w:rsidR="00F5618C" w:rsidRDefault="00F5618C" w:rsidP="00AC764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What are the specific expectations of teaching and learning in this licensure/content area that should be incorporated into this response?</w:t>
            </w:r>
          </w:p>
        </w:tc>
      </w:tr>
      <w:tr w:rsidR="00F5618C" w14:paraId="4DCAB559" w14:textId="77777777" w:rsidTr="000F0FF2">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681A390A" w14:textId="253C966A" w:rsidR="00EB6A8C" w:rsidRPr="00EB6A8C" w:rsidRDefault="00F5618C" w:rsidP="00EB6A8C">
            <w:pPr>
              <w:pStyle w:val="ListParagraph"/>
              <w:numPr>
                <w:ilvl w:val="0"/>
                <w:numId w:val="24"/>
              </w:numPr>
              <w:rPr>
                <w:sz w:val="20"/>
                <w:szCs w:val="20"/>
              </w:rPr>
            </w:pPr>
            <w:r w:rsidRPr="00961DF5">
              <w:rPr>
                <w:sz w:val="20"/>
                <w:szCs w:val="20"/>
              </w:rPr>
              <w:t>Candidate articulates high expectations for the quality of student work to be produced through use of the instructional materials.</w:t>
            </w:r>
          </w:p>
        </w:tc>
        <w:tc>
          <w:tcPr>
            <w:tcW w:w="2697" w:type="dxa"/>
          </w:tcPr>
          <w:p w14:paraId="510B23AD" w14:textId="77777777" w:rsidR="00F5618C" w:rsidRDefault="00F5618C" w:rsidP="00AC764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Student work exemplar meets expectations for grade-level standards including the rigor or cognitive complexity</w:t>
            </w:r>
          </w:p>
          <w:p w14:paraId="33648508" w14:textId="77777777" w:rsidR="00F5618C" w:rsidRPr="00F55093" w:rsidRDefault="00F5618C" w:rsidP="00AC764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Clearly articulates why exemplar is reflective of high expectations</w:t>
            </w:r>
          </w:p>
        </w:tc>
        <w:tc>
          <w:tcPr>
            <w:tcW w:w="4369" w:type="dxa"/>
          </w:tcPr>
          <w:p w14:paraId="32504DF0" w14:textId="77777777" w:rsidR="00F5618C" w:rsidRDefault="00F5618C" w:rsidP="00AC764E">
            <w:pPr>
              <w:pStyle w:val="ListParagraph"/>
              <w:numPr>
                <w:ilvl w:val="0"/>
                <w:numId w:val="19"/>
              </w:numPr>
              <w:spacing w:after="120"/>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What would represent high-quality student work in this lesson?</w:t>
            </w:r>
          </w:p>
        </w:tc>
      </w:tr>
    </w:tbl>
    <w:p w14:paraId="749BE3E8" w14:textId="77777777" w:rsidR="00F5618C" w:rsidRDefault="00F5618C"/>
    <w:p w14:paraId="1B832D8D" w14:textId="77777777" w:rsidR="0018205B" w:rsidRDefault="0018205B"/>
    <w:sectPr w:rsidR="0018205B" w:rsidSect="00C945CD">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F1C6" w14:textId="77777777" w:rsidR="00C2462F" w:rsidRDefault="00C2462F" w:rsidP="004F6AA4">
      <w:pPr>
        <w:spacing w:after="0" w:line="240" w:lineRule="auto"/>
      </w:pPr>
      <w:r>
        <w:separator/>
      </w:r>
    </w:p>
  </w:endnote>
  <w:endnote w:type="continuationSeparator" w:id="0">
    <w:p w14:paraId="6D0181E2" w14:textId="77777777" w:rsidR="00C2462F" w:rsidRDefault="00C2462F" w:rsidP="004F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043367"/>
      <w:docPartObj>
        <w:docPartGallery w:val="Page Numbers (Bottom of Page)"/>
        <w:docPartUnique/>
      </w:docPartObj>
    </w:sdtPr>
    <w:sdtEndPr>
      <w:rPr>
        <w:noProof/>
      </w:rPr>
    </w:sdtEndPr>
    <w:sdtContent>
      <w:p w14:paraId="5D8E27AB" w14:textId="5C29995D" w:rsidR="00D612D3" w:rsidRDefault="00D612D3">
        <w:pPr>
          <w:pStyle w:val="Footer"/>
          <w:jc w:val="right"/>
        </w:pPr>
        <w:r>
          <w:fldChar w:fldCharType="begin"/>
        </w:r>
        <w:r>
          <w:instrText xml:space="preserve"> PAGE   \* MERGEFORMAT </w:instrText>
        </w:r>
        <w:r>
          <w:fldChar w:fldCharType="separate"/>
        </w:r>
        <w:r w:rsidR="000F0FF2">
          <w:rPr>
            <w:noProof/>
          </w:rPr>
          <w:t>4</w:t>
        </w:r>
        <w:r>
          <w:rPr>
            <w:noProof/>
          </w:rPr>
          <w:fldChar w:fldCharType="end"/>
        </w:r>
      </w:p>
    </w:sdtContent>
  </w:sdt>
  <w:p w14:paraId="3194B1ED" w14:textId="77777777" w:rsidR="00D612D3" w:rsidRDefault="00D6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642E" w14:textId="77777777" w:rsidR="00C2462F" w:rsidRDefault="00C2462F" w:rsidP="004F6AA4">
      <w:pPr>
        <w:spacing w:after="0" w:line="240" w:lineRule="auto"/>
      </w:pPr>
      <w:r>
        <w:separator/>
      </w:r>
    </w:p>
  </w:footnote>
  <w:footnote w:type="continuationSeparator" w:id="0">
    <w:p w14:paraId="2ECB9BFE" w14:textId="77777777" w:rsidR="00C2462F" w:rsidRDefault="00C2462F" w:rsidP="004F6AA4">
      <w:pPr>
        <w:spacing w:after="0" w:line="240" w:lineRule="auto"/>
      </w:pPr>
      <w:r>
        <w:continuationSeparator/>
      </w:r>
    </w:p>
  </w:footnote>
  <w:footnote w:id="1">
    <w:p w14:paraId="2848D77C" w14:textId="77777777" w:rsidR="004F6AA4" w:rsidRPr="003A4A91" w:rsidRDefault="004F6AA4" w:rsidP="004F6AA4">
      <w:pPr>
        <w:pStyle w:val="FootnoteText"/>
      </w:pPr>
      <w:r>
        <w:rPr>
          <w:rStyle w:val="FootnoteReference"/>
        </w:rPr>
        <w:footnoteRef/>
      </w:r>
      <w:r>
        <w:t xml:space="preserve"> According to the </w:t>
      </w:r>
      <w:hyperlink r:id="rId1" w:history="1">
        <w:r w:rsidRPr="003A4A91">
          <w:rPr>
            <w:rStyle w:val="Hyperlink"/>
          </w:rPr>
          <w:t>Guidelines</w:t>
        </w:r>
      </w:hyperlink>
      <w:r>
        <w:t>, g</w:t>
      </w:r>
      <w:r w:rsidRPr="003A4A91">
        <w:t>iven the necessity to scaffold early field-based experiences in order to meet the developmental needs of individual candidates and build towards full readiness for the licensure role, the pre-practicum may be considered to include two, potentially overlap</w:t>
      </w:r>
      <w:r>
        <w:t xml:space="preserve">ping, stages. Stage 1 </w:t>
      </w:r>
      <w:r w:rsidRPr="003A4A91">
        <w:t>supports a candidate’s initial introduction to the PSTs and SMKs through activities such as guided observations, mixed-reality simulations, and mock teaching embedded into</w:t>
      </w:r>
      <w:r>
        <w:t xml:space="preserve"> coursework.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893"/>
    <w:multiLevelType w:val="hybridMultilevel"/>
    <w:tmpl w:val="EA8CA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261B"/>
    <w:multiLevelType w:val="hybridMultilevel"/>
    <w:tmpl w:val="0520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87973"/>
    <w:multiLevelType w:val="hybridMultilevel"/>
    <w:tmpl w:val="E71EEB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C2D17"/>
    <w:multiLevelType w:val="hybridMultilevel"/>
    <w:tmpl w:val="C8BEA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010E9"/>
    <w:multiLevelType w:val="hybridMultilevel"/>
    <w:tmpl w:val="2E3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00CD0"/>
    <w:multiLevelType w:val="hybridMultilevel"/>
    <w:tmpl w:val="1D000072"/>
    <w:lvl w:ilvl="0" w:tplc="0409000F">
      <w:start w:val="1"/>
      <w:numFmt w:val="decimal"/>
      <w:lvlText w:val="%1."/>
      <w:lvlJc w:val="left"/>
      <w:pPr>
        <w:ind w:left="540" w:hanging="360"/>
      </w:pPr>
    </w:lvl>
    <w:lvl w:ilvl="1" w:tplc="68D2D4A6">
      <w:start w:val="1"/>
      <w:numFmt w:val="decimal"/>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31A4E90"/>
    <w:multiLevelType w:val="hybridMultilevel"/>
    <w:tmpl w:val="1CCAE168"/>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3B92"/>
    <w:multiLevelType w:val="hybridMultilevel"/>
    <w:tmpl w:val="14FA3CB6"/>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04695"/>
    <w:multiLevelType w:val="hybridMultilevel"/>
    <w:tmpl w:val="A1A22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913EF"/>
    <w:multiLevelType w:val="hybridMultilevel"/>
    <w:tmpl w:val="CBAAC122"/>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06AC7"/>
    <w:multiLevelType w:val="hybridMultilevel"/>
    <w:tmpl w:val="278C73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68E1C56"/>
    <w:multiLevelType w:val="hybridMultilevel"/>
    <w:tmpl w:val="7C94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11605"/>
    <w:multiLevelType w:val="hybridMultilevel"/>
    <w:tmpl w:val="B2223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C3B1E"/>
    <w:multiLevelType w:val="hybridMultilevel"/>
    <w:tmpl w:val="655E6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005E6"/>
    <w:multiLevelType w:val="hybridMultilevel"/>
    <w:tmpl w:val="8B72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A6D1C"/>
    <w:multiLevelType w:val="hybridMultilevel"/>
    <w:tmpl w:val="49BA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31F96"/>
    <w:multiLevelType w:val="hybridMultilevel"/>
    <w:tmpl w:val="DB1A0CF8"/>
    <w:lvl w:ilvl="0" w:tplc="41D4C6F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425B5D9F"/>
    <w:multiLevelType w:val="hybridMultilevel"/>
    <w:tmpl w:val="D4E86FA4"/>
    <w:lvl w:ilvl="0" w:tplc="CED2F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F5039"/>
    <w:multiLevelType w:val="hybridMultilevel"/>
    <w:tmpl w:val="554A5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30520"/>
    <w:multiLevelType w:val="hybridMultilevel"/>
    <w:tmpl w:val="B290A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94ACF"/>
    <w:multiLevelType w:val="hybridMultilevel"/>
    <w:tmpl w:val="76F6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D5334"/>
    <w:multiLevelType w:val="hybridMultilevel"/>
    <w:tmpl w:val="AF74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E6F08"/>
    <w:multiLevelType w:val="hybridMultilevel"/>
    <w:tmpl w:val="C09E0F40"/>
    <w:lvl w:ilvl="0" w:tplc="CED2F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4646E"/>
    <w:multiLevelType w:val="hybridMultilevel"/>
    <w:tmpl w:val="21B69676"/>
    <w:lvl w:ilvl="0" w:tplc="0409000F">
      <w:start w:val="1"/>
      <w:numFmt w:val="decimal"/>
      <w:lvlText w:val="%1."/>
      <w:lvlJc w:val="left"/>
      <w:pPr>
        <w:ind w:left="3645" w:hanging="360"/>
      </w:p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num w:numId="1">
    <w:abstractNumId w:val="17"/>
  </w:num>
  <w:num w:numId="2">
    <w:abstractNumId w:val="22"/>
  </w:num>
  <w:num w:numId="3">
    <w:abstractNumId w:val="6"/>
  </w:num>
  <w:num w:numId="4">
    <w:abstractNumId w:val="7"/>
  </w:num>
  <w:num w:numId="5">
    <w:abstractNumId w:val="9"/>
  </w:num>
  <w:num w:numId="6">
    <w:abstractNumId w:val="20"/>
  </w:num>
  <w:num w:numId="7">
    <w:abstractNumId w:val="12"/>
  </w:num>
  <w:num w:numId="8">
    <w:abstractNumId w:val="4"/>
  </w:num>
  <w:num w:numId="9">
    <w:abstractNumId w:val="0"/>
  </w:num>
  <w:num w:numId="10">
    <w:abstractNumId w:val="2"/>
  </w:num>
  <w:num w:numId="11">
    <w:abstractNumId w:val="11"/>
  </w:num>
  <w:num w:numId="12">
    <w:abstractNumId w:val="23"/>
  </w:num>
  <w:num w:numId="13">
    <w:abstractNumId w:val="10"/>
  </w:num>
  <w:num w:numId="14">
    <w:abstractNumId w:val="3"/>
  </w:num>
  <w:num w:numId="15">
    <w:abstractNumId w:val="21"/>
  </w:num>
  <w:num w:numId="16">
    <w:abstractNumId w:val="19"/>
  </w:num>
  <w:num w:numId="17">
    <w:abstractNumId w:val="15"/>
  </w:num>
  <w:num w:numId="18">
    <w:abstractNumId w:val="5"/>
  </w:num>
  <w:num w:numId="19">
    <w:abstractNumId w:val="18"/>
  </w:num>
  <w:num w:numId="20">
    <w:abstractNumId w:val="13"/>
  </w:num>
  <w:num w:numId="21">
    <w:abstractNumId w:val="16"/>
  </w:num>
  <w:num w:numId="22">
    <w:abstractNumId w:val="1"/>
  </w:num>
  <w:num w:numId="23">
    <w:abstractNumId w:val="14"/>
  </w:num>
  <w:num w:numId="24">
    <w:abstractNumId w:va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CD"/>
    <w:rsid w:val="00003989"/>
    <w:rsid w:val="00011145"/>
    <w:rsid w:val="0001599D"/>
    <w:rsid w:val="00022EEB"/>
    <w:rsid w:val="000341D6"/>
    <w:rsid w:val="00057ED5"/>
    <w:rsid w:val="00073057"/>
    <w:rsid w:val="00090AB9"/>
    <w:rsid w:val="000B369D"/>
    <w:rsid w:val="000B681E"/>
    <w:rsid w:val="000D38B9"/>
    <w:rsid w:val="000E62A8"/>
    <w:rsid w:val="000F0FF2"/>
    <w:rsid w:val="00107010"/>
    <w:rsid w:val="00111CED"/>
    <w:rsid w:val="00122DDD"/>
    <w:rsid w:val="001425C5"/>
    <w:rsid w:val="00147620"/>
    <w:rsid w:val="00164D94"/>
    <w:rsid w:val="00165F20"/>
    <w:rsid w:val="001756F1"/>
    <w:rsid w:val="0018205B"/>
    <w:rsid w:val="001B50E4"/>
    <w:rsid w:val="001D4ACE"/>
    <w:rsid w:val="0020367E"/>
    <w:rsid w:val="00216C35"/>
    <w:rsid w:val="00221EF3"/>
    <w:rsid w:val="002A355D"/>
    <w:rsid w:val="002B5664"/>
    <w:rsid w:val="002B5E12"/>
    <w:rsid w:val="002D274D"/>
    <w:rsid w:val="002D5CB5"/>
    <w:rsid w:val="002D7340"/>
    <w:rsid w:val="002D7E31"/>
    <w:rsid w:val="00323939"/>
    <w:rsid w:val="00356378"/>
    <w:rsid w:val="00383469"/>
    <w:rsid w:val="00384C68"/>
    <w:rsid w:val="003B58D1"/>
    <w:rsid w:val="003B713E"/>
    <w:rsid w:val="003C303C"/>
    <w:rsid w:val="003D19FE"/>
    <w:rsid w:val="003D3879"/>
    <w:rsid w:val="003E1289"/>
    <w:rsid w:val="003E1776"/>
    <w:rsid w:val="003F08DC"/>
    <w:rsid w:val="004221A8"/>
    <w:rsid w:val="00442996"/>
    <w:rsid w:val="004A4B7C"/>
    <w:rsid w:val="004C3092"/>
    <w:rsid w:val="004F6AA4"/>
    <w:rsid w:val="00510E8D"/>
    <w:rsid w:val="005149B7"/>
    <w:rsid w:val="00516A37"/>
    <w:rsid w:val="00531B07"/>
    <w:rsid w:val="00543C03"/>
    <w:rsid w:val="00562DD0"/>
    <w:rsid w:val="00586F97"/>
    <w:rsid w:val="005946B3"/>
    <w:rsid w:val="00594E8C"/>
    <w:rsid w:val="005B0C10"/>
    <w:rsid w:val="005C43E0"/>
    <w:rsid w:val="005E7442"/>
    <w:rsid w:val="0063298B"/>
    <w:rsid w:val="00634E78"/>
    <w:rsid w:val="00673B31"/>
    <w:rsid w:val="00680FE5"/>
    <w:rsid w:val="006A74C7"/>
    <w:rsid w:val="006B2C90"/>
    <w:rsid w:val="006C0FD2"/>
    <w:rsid w:val="00710385"/>
    <w:rsid w:val="00711490"/>
    <w:rsid w:val="00714C83"/>
    <w:rsid w:val="00740978"/>
    <w:rsid w:val="007621A4"/>
    <w:rsid w:val="0076227D"/>
    <w:rsid w:val="00765685"/>
    <w:rsid w:val="007D0990"/>
    <w:rsid w:val="007E2A99"/>
    <w:rsid w:val="0082711D"/>
    <w:rsid w:val="00830C4B"/>
    <w:rsid w:val="00836F67"/>
    <w:rsid w:val="00845471"/>
    <w:rsid w:val="00857CA3"/>
    <w:rsid w:val="00866558"/>
    <w:rsid w:val="008672A7"/>
    <w:rsid w:val="00867FD6"/>
    <w:rsid w:val="0087577B"/>
    <w:rsid w:val="008A7229"/>
    <w:rsid w:val="008D2DDB"/>
    <w:rsid w:val="008E182F"/>
    <w:rsid w:val="00907FE2"/>
    <w:rsid w:val="00923247"/>
    <w:rsid w:val="00961DF5"/>
    <w:rsid w:val="009677F9"/>
    <w:rsid w:val="009A5FDF"/>
    <w:rsid w:val="009B201D"/>
    <w:rsid w:val="00A41E0B"/>
    <w:rsid w:val="00A43DBD"/>
    <w:rsid w:val="00A97576"/>
    <w:rsid w:val="00AB1D79"/>
    <w:rsid w:val="00AB2CCC"/>
    <w:rsid w:val="00AE6538"/>
    <w:rsid w:val="00AF0DBD"/>
    <w:rsid w:val="00AF6EF2"/>
    <w:rsid w:val="00B07116"/>
    <w:rsid w:val="00B079C1"/>
    <w:rsid w:val="00B16EA4"/>
    <w:rsid w:val="00B31D7D"/>
    <w:rsid w:val="00B33924"/>
    <w:rsid w:val="00B568A5"/>
    <w:rsid w:val="00B61B94"/>
    <w:rsid w:val="00B7309F"/>
    <w:rsid w:val="00B769C8"/>
    <w:rsid w:val="00B87C63"/>
    <w:rsid w:val="00BE4EA8"/>
    <w:rsid w:val="00C063FB"/>
    <w:rsid w:val="00C2462F"/>
    <w:rsid w:val="00C27AE9"/>
    <w:rsid w:val="00C35A72"/>
    <w:rsid w:val="00C66EBA"/>
    <w:rsid w:val="00C87787"/>
    <w:rsid w:val="00C908A8"/>
    <w:rsid w:val="00C945CD"/>
    <w:rsid w:val="00CA3C74"/>
    <w:rsid w:val="00CC5CD5"/>
    <w:rsid w:val="00CF1B45"/>
    <w:rsid w:val="00CF4832"/>
    <w:rsid w:val="00D3791F"/>
    <w:rsid w:val="00D56F9B"/>
    <w:rsid w:val="00D612D3"/>
    <w:rsid w:val="00D70F61"/>
    <w:rsid w:val="00D76CF9"/>
    <w:rsid w:val="00D87BA2"/>
    <w:rsid w:val="00D94284"/>
    <w:rsid w:val="00DB71AF"/>
    <w:rsid w:val="00DE743E"/>
    <w:rsid w:val="00DF2D98"/>
    <w:rsid w:val="00DF6A0F"/>
    <w:rsid w:val="00E20269"/>
    <w:rsid w:val="00E307E9"/>
    <w:rsid w:val="00E933F7"/>
    <w:rsid w:val="00EA6F21"/>
    <w:rsid w:val="00EB05D5"/>
    <w:rsid w:val="00EB6A8C"/>
    <w:rsid w:val="00EC5CCB"/>
    <w:rsid w:val="00EE6316"/>
    <w:rsid w:val="00EF0E8B"/>
    <w:rsid w:val="00F066BD"/>
    <w:rsid w:val="00F145E3"/>
    <w:rsid w:val="00F55093"/>
    <w:rsid w:val="00F5618C"/>
    <w:rsid w:val="00F650E1"/>
    <w:rsid w:val="00F83CDA"/>
    <w:rsid w:val="00FA65BE"/>
    <w:rsid w:val="00FA670B"/>
    <w:rsid w:val="00FB4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809A"/>
  <w15:chartTrackingRefBased/>
  <w15:docId w15:val="{0739182E-B1D5-4B36-BF9E-AA6223BC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A4"/>
    <w:pPr>
      <w:ind w:left="720"/>
      <w:contextualSpacing/>
    </w:pPr>
  </w:style>
  <w:style w:type="character" w:customStyle="1" w:styleId="Heading1Char">
    <w:name w:val="Heading 1 Char"/>
    <w:basedOn w:val="DefaultParagraphFont"/>
    <w:link w:val="Heading1"/>
    <w:uiPriority w:val="9"/>
    <w:rsid w:val="008E182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6227D"/>
    <w:rPr>
      <w:sz w:val="16"/>
      <w:szCs w:val="16"/>
    </w:rPr>
  </w:style>
  <w:style w:type="paragraph" w:styleId="CommentText">
    <w:name w:val="annotation text"/>
    <w:basedOn w:val="Normal"/>
    <w:link w:val="CommentTextChar"/>
    <w:uiPriority w:val="99"/>
    <w:unhideWhenUsed/>
    <w:rsid w:val="0076227D"/>
    <w:pPr>
      <w:spacing w:line="240" w:lineRule="auto"/>
    </w:pPr>
    <w:rPr>
      <w:sz w:val="20"/>
      <w:szCs w:val="20"/>
    </w:rPr>
  </w:style>
  <w:style w:type="character" w:customStyle="1" w:styleId="CommentTextChar">
    <w:name w:val="Comment Text Char"/>
    <w:basedOn w:val="DefaultParagraphFont"/>
    <w:link w:val="CommentText"/>
    <w:uiPriority w:val="99"/>
    <w:rsid w:val="0076227D"/>
    <w:rPr>
      <w:sz w:val="20"/>
      <w:szCs w:val="20"/>
    </w:rPr>
  </w:style>
  <w:style w:type="paragraph" w:styleId="CommentSubject">
    <w:name w:val="annotation subject"/>
    <w:basedOn w:val="CommentText"/>
    <w:next w:val="CommentText"/>
    <w:link w:val="CommentSubjectChar"/>
    <w:uiPriority w:val="99"/>
    <w:semiHidden/>
    <w:unhideWhenUsed/>
    <w:rsid w:val="0076227D"/>
    <w:rPr>
      <w:b/>
      <w:bCs/>
    </w:rPr>
  </w:style>
  <w:style w:type="character" w:customStyle="1" w:styleId="CommentSubjectChar">
    <w:name w:val="Comment Subject Char"/>
    <w:basedOn w:val="CommentTextChar"/>
    <w:link w:val="CommentSubject"/>
    <w:uiPriority w:val="99"/>
    <w:semiHidden/>
    <w:rsid w:val="0076227D"/>
    <w:rPr>
      <w:b/>
      <w:bCs/>
      <w:sz w:val="20"/>
      <w:szCs w:val="20"/>
    </w:rPr>
  </w:style>
  <w:style w:type="paragraph" w:styleId="BalloonText">
    <w:name w:val="Balloon Text"/>
    <w:basedOn w:val="Normal"/>
    <w:link w:val="BalloonTextChar"/>
    <w:uiPriority w:val="99"/>
    <w:semiHidden/>
    <w:unhideWhenUsed/>
    <w:rsid w:val="0076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7D"/>
    <w:rPr>
      <w:rFonts w:ascii="Segoe UI" w:hAnsi="Segoe UI" w:cs="Segoe UI"/>
      <w:sz w:val="18"/>
      <w:szCs w:val="18"/>
    </w:rPr>
  </w:style>
  <w:style w:type="character" w:customStyle="1" w:styleId="Heading2Char">
    <w:name w:val="Heading 2 Char"/>
    <w:basedOn w:val="DefaultParagraphFont"/>
    <w:link w:val="Heading2"/>
    <w:uiPriority w:val="9"/>
    <w:rsid w:val="002B5E1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21EF3"/>
    <w:rPr>
      <w:color w:val="0563C1" w:themeColor="hyperlink"/>
      <w:u w:val="single"/>
    </w:rPr>
  </w:style>
  <w:style w:type="character" w:styleId="FollowedHyperlink">
    <w:name w:val="FollowedHyperlink"/>
    <w:basedOn w:val="DefaultParagraphFont"/>
    <w:uiPriority w:val="99"/>
    <w:semiHidden/>
    <w:unhideWhenUsed/>
    <w:rsid w:val="00845471"/>
    <w:rPr>
      <w:color w:val="954F72" w:themeColor="followedHyperlink"/>
      <w:u w:val="single"/>
    </w:rPr>
  </w:style>
  <w:style w:type="paragraph" w:styleId="FootnoteText">
    <w:name w:val="footnote text"/>
    <w:basedOn w:val="Normal"/>
    <w:link w:val="FootnoteTextChar"/>
    <w:uiPriority w:val="99"/>
    <w:semiHidden/>
    <w:unhideWhenUsed/>
    <w:rsid w:val="004F6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AA4"/>
    <w:rPr>
      <w:sz w:val="20"/>
      <w:szCs w:val="20"/>
    </w:rPr>
  </w:style>
  <w:style w:type="character" w:styleId="FootnoteReference">
    <w:name w:val="footnote reference"/>
    <w:basedOn w:val="DefaultParagraphFont"/>
    <w:uiPriority w:val="99"/>
    <w:semiHidden/>
    <w:unhideWhenUsed/>
    <w:rsid w:val="004F6AA4"/>
    <w:rPr>
      <w:vertAlign w:val="superscript"/>
    </w:rPr>
  </w:style>
  <w:style w:type="table" w:styleId="GridTable2-Accent5">
    <w:name w:val="Grid Table 2 Accent 5"/>
    <w:basedOn w:val="TableNormal"/>
    <w:uiPriority w:val="47"/>
    <w:rsid w:val="003E177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B079C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D6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D3"/>
  </w:style>
  <w:style w:type="paragraph" w:styleId="Footer">
    <w:name w:val="footer"/>
    <w:basedOn w:val="Normal"/>
    <w:link w:val="FooterChar"/>
    <w:uiPriority w:val="99"/>
    <w:unhideWhenUsed/>
    <w:rsid w:val="00D6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03255">
      <w:bodyDiv w:val="1"/>
      <w:marLeft w:val="0"/>
      <w:marRight w:val="0"/>
      <w:marTop w:val="0"/>
      <w:marBottom w:val="0"/>
      <w:divBdr>
        <w:top w:val="none" w:sz="0" w:space="0" w:color="auto"/>
        <w:left w:val="none" w:sz="0" w:space="0" w:color="auto"/>
        <w:bottom w:val="none" w:sz="0" w:space="0" w:color="auto"/>
        <w:right w:val="none" w:sz="0" w:space="0" w:color="auto"/>
      </w:divBdr>
    </w:div>
    <w:div w:id="19811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7.html?section=08" TargetMode="External"/><Relationship Id="rId18" Type="http://schemas.openxmlformats.org/officeDocument/2006/relationships/hyperlink" Target="http://www.doe.mass.edu/frameworks/current.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andi/curate/" TargetMode="External"/><Relationship Id="rId2" Type="http://schemas.openxmlformats.org/officeDocument/2006/relationships/customXml" Target="../customXml/item2.xml"/><Relationship Id="rId16" Type="http://schemas.openxmlformats.org/officeDocument/2006/relationships/hyperlink" Target="http://www.doe.mass.edu/candi/impd/" TargetMode="External"/><Relationship Id="rId20" Type="http://schemas.openxmlformats.org/officeDocument/2006/relationships/hyperlink" Target="https://tntp.org/publications/view/student-experiences/the-opportunity-myt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andi/curat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ntp.org/publications/view/student-experiences/the-opportunity-myt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andi/imp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prep/resources/pre-practic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DESE-231-55286</_dlc_DocId>
    <_dlc_DocIdUrl xmlns="733efe1c-5bbe-4968-87dc-d400e65c879f">
      <Url>https://sharepoint.doemass.org/ese/webteam/cps/_layouts/DocIdRedir.aspx?ID=DESE-231-55286</Url>
      <Description>DESE-231-55286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TNT18</b:Tag>
    <b:SourceType>Book</b:SourceType>
    <b:Guid>{B937524D-0413-455D-BB22-4140382376D7}</b:Guid>
    <b:Author>
      <b:Author>
        <b:NameList>
          <b:Person>
            <b:Last>TNTP</b:Last>
          </b:Person>
        </b:NameList>
      </b:Author>
    </b:Author>
    <b:Title>The Opportunity Myth</b:Title>
    <b:Year>2018</b:Year>
    <b:RefOrder>1</b:RefOrder>
  </b:Source>
</b:Sources>
</file>

<file path=customXml/itemProps1.xml><?xml version="1.0" encoding="utf-8"?>
<ds:datastoreItem xmlns:ds="http://schemas.openxmlformats.org/officeDocument/2006/customXml" ds:itemID="{E2A94952-1827-42F8-BB06-740B9923B1D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69CF059-4982-4383-8F27-CCCCBA15FD38}">
  <ds:schemaRefs>
    <ds:schemaRef ds:uri="http://schemas.microsoft.com/sharepoint/events"/>
  </ds:schemaRefs>
</ds:datastoreItem>
</file>

<file path=customXml/itemProps3.xml><?xml version="1.0" encoding="utf-8"?>
<ds:datastoreItem xmlns:ds="http://schemas.openxmlformats.org/officeDocument/2006/customXml" ds:itemID="{53F8C976-BBA8-48F6-A9CE-B38ED3A8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90430-4606-472A-8FD8-852C6B09A372}">
  <ds:schemaRefs>
    <ds:schemaRef ds:uri="http://schemas.microsoft.com/sharepoint/v3/contenttype/forms"/>
  </ds:schemaRefs>
</ds:datastoreItem>
</file>

<file path=customXml/itemProps5.xml><?xml version="1.0" encoding="utf-8"?>
<ds:datastoreItem xmlns:ds="http://schemas.openxmlformats.org/officeDocument/2006/customXml" ds:itemID="{6FE37017-208F-4916-82E8-996E55F8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Pre-Practicum Gateway Task: Adapting Instructional Materials</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Task Template: Adapting Instructional Materials</dc:title>
  <dc:subject/>
  <dc:creator>DESE</dc:creator>
  <cp:keywords/>
  <dc:description/>
  <cp:lastModifiedBy>Zou, Dong (EOE)</cp:lastModifiedBy>
  <cp:revision>7</cp:revision>
  <dcterms:created xsi:type="dcterms:W3CDTF">2019-10-09T17:09:00Z</dcterms:created>
  <dcterms:modified xsi:type="dcterms:W3CDTF">2019-10-18T16:57:00Z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2019</vt:lpwstr>
  </property>
</Properties>
</file>